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Times New Roman" w:hAnsi="Times New Roman"/>
          <w:b/>
          <w:sz w:val="22"/>
        </w:rPr>
        <w:t>Table 3. Sensitivity analysis results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216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Analysis</w:t>
            </w:r>
          </w:p>
        </w:tc>
        <w:tc>
          <w:tcPr>
            <w:tcW w:type="dxa" w:w="864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Model</w:t>
            </w:r>
          </w:p>
        </w:tc>
        <w:tc>
          <w:tcPr>
            <w:tcW w:type="dxa" w:w="259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Comparison</w:t>
            </w:r>
          </w:p>
        </w:tc>
        <w:tc>
          <w:tcPr>
            <w:tcW w:type="dxa" w:w="129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Test AUC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top w:val="single" w:sz="12" w:space="0" w:color="000000"/>
            </w:tcBorders>
            <w:tcBorders>
              <w:bottom w:val="single" w:sz="8" w:space="0" w:color="000000"/>
            </w:tcBorders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0"/>
              </w:rPr>
            </w:r>
            <w:r>
              <w:rPr>
                <w:rFonts w:ascii="Times New Roman" w:hAnsi="Times New Roman"/>
                <w:b/>
                <w:sz w:val="20"/>
              </w:rPr>
              <w:t>ΔAUC</w:t>
            </w:r>
          </w:p>
        </w:tc>
      </w:tr>
      <w:tr>
        <w:tc>
          <w:tcPr>
            <w:tcW w:type="dxa" w:w="216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SA1: Predictor progression</w:t>
            </w:r>
          </w:p>
        </w:tc>
        <w:tc>
          <w:tcPr>
            <w:tcW w:type="dxa" w:w="864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LR</w:t>
            </w:r>
          </w:p>
        </w:tc>
        <w:tc>
          <w:tcPr>
            <w:tcW w:type="dxa" w:w="259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Primary → + interventions</w:t>
            </w:r>
          </w:p>
        </w:tc>
        <w:tc>
          <w:tcPr>
            <w:tcW w:type="dxa" w:w="129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0.7226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+0.0018</w:t>
            </w:r>
          </w:p>
        </w:tc>
      </w:tr>
      <w:tr>
        <w:tc>
          <w:tcPr>
            <w:tcW w:type="dxa" w:w="216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RF</w:t>
            </w:r>
          </w:p>
        </w:tc>
        <w:tc>
          <w:tcPr>
            <w:tcW w:type="dxa" w:w="259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Primary → + interventions</w:t>
            </w:r>
          </w:p>
        </w:tc>
        <w:tc>
          <w:tcPr>
            <w:tcW w:type="dxa" w:w="129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0.7149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-0.0016</w:t>
            </w:r>
          </w:p>
        </w:tc>
      </w:tr>
      <w:tr>
        <w:tc>
          <w:tcPr>
            <w:tcW w:type="dxa" w:w="216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XGB</w:t>
            </w:r>
          </w:p>
        </w:tc>
        <w:tc>
          <w:tcPr>
            <w:tcW w:type="dxa" w:w="259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Primary → + interventions</w:t>
            </w:r>
          </w:p>
        </w:tc>
        <w:tc>
          <w:tcPr>
            <w:tcW w:type="dxa" w:w="129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0.6959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+0.0124</w:t>
            </w:r>
          </w:p>
        </w:tc>
      </w:tr>
      <w:tr>
        <w:tc>
          <w:tcPr>
            <w:tcW w:type="dxa" w:w="216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SA2: Imputation</w:t>
            </w:r>
          </w:p>
        </w:tc>
        <w:tc>
          <w:tcPr>
            <w:tcW w:type="dxa" w:w="864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XGB</w:t>
            </w:r>
          </w:p>
        </w:tc>
        <w:tc>
          <w:tcPr>
            <w:tcW w:type="dxa" w:w="259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MICE → KNN</w:t>
            </w:r>
          </w:p>
        </w:tc>
        <w:tc>
          <w:tcPr>
            <w:tcW w:type="dxa" w:w="129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0.7058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+0.0223</w:t>
            </w:r>
          </w:p>
        </w:tc>
      </w:tr>
      <w:tr>
        <w:tc>
          <w:tcPr>
            <w:tcW w:type="dxa" w:w="216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SA3: Class weighting</w:t>
            </w:r>
          </w:p>
        </w:tc>
        <w:tc>
          <w:tcPr>
            <w:tcW w:type="dxa" w:w="864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XGB</w:t>
            </w:r>
          </w:p>
        </w:tc>
        <w:tc>
          <w:tcPr>
            <w:tcW w:type="dxa" w:w="259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Unweighted → weighted</w:t>
            </w:r>
          </w:p>
        </w:tc>
        <w:tc>
          <w:tcPr>
            <w:tcW w:type="dxa" w:w="129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0.6849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+0.0014</w:t>
            </w:r>
          </w:p>
        </w:tc>
      </w:tr>
      <w:tr>
        <w:tc>
          <w:tcPr>
            <w:tcW w:type="dxa" w:w="216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  <w:t>SA4: Full predictors</w:t>
            </w:r>
          </w:p>
        </w:tc>
        <w:tc>
          <w:tcPr>
            <w:tcW w:type="dxa" w:w="864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RF</w:t>
            </w:r>
          </w:p>
        </w:tc>
        <w:tc>
          <w:tcPr>
            <w:tcW w:type="dxa" w:w="259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Tier 1 (21) → Full (44)</w:t>
            </w:r>
          </w:p>
        </w:tc>
        <w:tc>
          <w:tcPr>
            <w:tcW w:type="dxa" w:w="129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0.7228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+0.0063</w:t>
            </w:r>
          </w:p>
        </w:tc>
      </w:tr>
      <w:tr>
        <w:tc>
          <w:tcPr>
            <w:tcW w:type="dxa" w:w="2160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left"/>
            </w:pPr>
            <w:r/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864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XGB</w:t>
            </w:r>
          </w:p>
        </w:tc>
        <w:tc>
          <w:tcPr>
            <w:tcW w:type="dxa" w:w="259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Primary (assessment only)(21) → Full (44)</w:t>
            </w:r>
          </w:p>
        </w:tc>
        <w:tc>
          <w:tcPr>
            <w:tcW w:type="dxa" w:w="1296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0.6840</w:t>
            </w:r>
          </w:p>
        </w:tc>
        <w:tc>
          <w:tcPr>
            <w:tcW w:type="dxa" w:w="1152"/>
            <w:tcBorders>
              <w:top w:val="none" w:sz="0" w:space="0" w:color="000000"/>
              <w:bottom w:val="none" w:sz="0" w:space="0" w:color="000000"/>
              <w:left w:val="none" w:sz="0" w:space="0" w:color="000000"/>
              <w:right w:val="none" w:sz="0" w:space="0" w:color="000000"/>
            </w:tcBorders>
            <w:tcBorders>
              <w:bottom w:val="single" w:sz="12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20"/>
              </w:rPr>
              <w:t>+0.0004</w:t>
            </w:r>
          </w:p>
        </w:tc>
      </w:tr>
    </w:tbl>
    <w:p>
      <w:pPr>
        <w:spacing w:before="80" w:after="40"/>
      </w:pPr>
      <w:r>
        <w:rPr>
          <w:rFonts w:ascii="Times New Roman" w:hAnsi="Times New Roman"/>
          <w:i/>
          <w:sz w:val="18"/>
        </w:rPr>
        <w:t>ΔAUC = difference in test AUC relative to primary predictor set result. SA1 tests whether adding prehospital interventions improves prediction beyond the assessment-only primary set.</w:t>
      </w:r>
    </w:p>
    <w:p>
      <w:pPr>
        <w:spacing w:before="80" w:after="40"/>
      </w:pPr>
      <w:r>
        <w:rPr>
          <w:rFonts w:ascii="Times New Roman" w:hAnsi="Times New Roman"/>
          <w:i/>
          <w:sz w:val="18"/>
        </w:rPr>
        <w:t>SA3 scale_pos_weight computed as n_negative / n_positive on training data. SA4 full set adds individual comorbidity flags and measurement flags to the primary + interventions predictor set.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