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Table 4. Characteristics by ISS group</w:t>
      </w:r>
    </w:p>
    <w:p>
      <w:r>
        <w:rPr>
          <w:rFonts w:ascii="Times New Roman" w:hAnsi="Times New Roman"/>
          <w:b/>
          <w:sz w:val="20"/>
        </w:rPr>
        <w:t>Panel A: Clinical characteristics (full cohort, N = 1,809)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&lt;16</w:t>
              <w:br/>
              <w:t>(n=392)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16–19</w:t>
              <w:br/>
              <w:t>(n=414)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≥20</w:t>
              <w:br/>
              <w:t>(n=1,003)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Demographics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Age, years,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55 (36–68)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57 (39–71)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58 (38–74)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Male sex,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279 (71.2)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298 (72.0)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736 (73.4)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ISS,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 (9–13)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 (16–17)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 (24–34)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Injury mechanism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Accident type,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High-energy vehicle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74 (18.9)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103 (24.9)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235 (23.4)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Low-energy vehicle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47 (12.0)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58 (14.0)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110 (11.0)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High-energy fall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56 (14.3)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73 (17.6)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266 (26.5)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Low-energy fall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147 (37.5)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126 (30.4)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260 (25.9)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Penetrating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 (3.3)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 (2.4)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30 (3.0)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  Other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52 (13.3)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43 (10.4)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97 (9.7)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STB mechanism met,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193 (49.2)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246 (59.4)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647 (64.5)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Prehospital presentation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Systolic BP, mmHg,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135 (120–152)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131.5 (115.0–150.0)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130 (110–150)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Pulse, bpm,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82.0 (70.5–96.0)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82 (71–92)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85 (71–100)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Oxygen saturation, %,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96 (93–98)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96 (93–98)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95 (90–98)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total,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(14–15)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 (13–15)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14 (7–15)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verbal,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 (4–5)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 (4–5)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(2–5)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GCS motor,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(6–6)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(6–6)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(4–6)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Prehospital intubation,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 (4.8)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 (6.3)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250 (24.9)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Injury characteristics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Max AIS,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 (3–3)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 (3–4)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 (4–5)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AIS head ≥3,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172 (43.9)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152 (36.7)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592 (59.0)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Head injury,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263 (67.1)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261 (63.0)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740 (73.8)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Thoracic injury,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109 (27.8)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197 (47.6)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635 (63.3)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Abdominal injury,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32 (8.2)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69 (16.7)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245 (24.4)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Lower extremity/pelvis,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89 (22.7)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130 (31.4)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399 (39.8)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Outcomes and resource use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4" w:space="0" w:color="999999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Hospital LOS, days,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 (4–11)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9 (6–14)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 (5–18)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In-hospital survival,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383 (97.7)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396 (95.7)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791 (78.9)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ICU admission,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279 (71.2)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265 (64.0)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849 (84.6)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Mechanical ventilation,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51 (13.0)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69 (16.7)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455 (45.4)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Any complication,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59 (15.1)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78 (18.8)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370 (36.9)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Whole-body CT,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226 (57.7)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297 (71.7)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812 (81.0)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Emergency surgery ≤24h,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82 (20.9)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116 (28.0)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419 (41.8)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Any surgery,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206 (52.6)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280 (67.6)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730 (72.8)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Neurosurgery,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10 (2.6)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29 (7.0)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208 (20.7)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 xml:space="preserve">  Thoracic/respiratory surgery,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20 (5.1)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 (8.5)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249 (24.8)</w:t>
            </w:r>
          </w:p>
        </w:tc>
      </w:tr>
    </w:tbl>
    <w:p/>
    <w:p>
      <w:r>
        <w:rPr>
          <w:rFonts w:ascii="Times New Roman" w:hAnsi="Times New Roman"/>
          <w:b/>
          <w:sz w:val="20"/>
        </w:rPr>
        <w:t>Panel B: Model predictions (test set, n = 362)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&lt;16</w:t>
              <w:br/>
              <w:t>(n=88)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16–19</w:t>
              <w:br/>
              <w:t>(n=73)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ISS ≥20</w:t>
              <w:br/>
              <w:t>(n=201)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Predicted probability, median (IQR)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 (0.4–0.6)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0.5 (0.5–0.5)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 (0.5–0.7)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Flagged at ACS-COT threshold (0.415),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81 (92.0)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63 (86.3)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189 (94.0)</w:t>
            </w:r>
          </w:p>
        </w:tc>
      </w:tr>
      <w:tr>
        <w:tc>
          <w:tcPr>
            <w:tcW w:type="dxa" w:w="36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Flagged at 0.5 threshold, n (%)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35 (39.8)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31 (42.5)</w:t>
            </w:r>
          </w:p>
        </w:tc>
        <w:tc>
          <w:tcPr>
            <w:tcW w:type="dxa" w:w="1728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131 (65.2)</w:t>
            </w:r>
          </w:p>
        </w:tc>
      </w:tr>
    </w:tbl>
    <w:p>
      <w:pPr>
        <w:spacing w:before="80" w:after="40"/>
      </w:pPr>
      <w:r>
        <w:rPr>
          <w:rFonts w:ascii="Times New Roman" w:hAnsi="Times New Roman"/>
          <w:i/>
          <w:sz w:val="18"/>
        </w:rPr>
        <w:t>Data are median (IQR) for continuous variables and n (%) for categorical variables. No inferential comparisons performed.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Panel A: full analytic cohort. Panel B: test set only. Predicted probabilities from XGBoost primary predictor set model. ACS-COT threshold = 0.4154 (selected via CV on training data).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ISS = Injury Severity Score; AIS = Abbreviated Injury Scale; GCS = Glasgow Coma Scale; LOS = length of stay; ICU = intensive care unit; STB = Swiss Trauma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