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2"/>
        </w:rPr>
        <w:t>Table 5. XGBoost and STB performance by Notarzt dispatch level (test set)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Subgroup</w:t>
            </w:r>
          </w:p>
        </w:tc>
        <w:tc>
          <w:tcPr>
            <w:tcW w:type="dxa" w:w="72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≥20</w:t>
              <w:br/>
              <w:t>prevalence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XGB</w:t>
              <w:br/>
              <w:t>AUC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XGB</w:t>
              <w:br/>
              <w:t>Sens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XGB</w:t>
              <w:br/>
              <w:t>Spec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STB</w:t>
              <w:br/>
              <w:t>Sens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STB</w:t>
              <w:br/>
              <w:t>Overt</w:t>
            </w:r>
          </w:p>
        </w:tc>
      </w:tr>
      <w:tr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Level 0</w:t>
            </w:r>
          </w:p>
        </w:tc>
        <w:tc>
          <w:tcPr>
            <w:tcW w:type="dxa" w:w="72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23.1%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0.333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0.400</w:t>
            </w:r>
          </w:p>
        </w:tc>
      </w:tr>
      <w:tr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Level 1</w:t>
            </w:r>
          </w:p>
        </w:tc>
        <w:tc>
          <w:tcPr>
            <w:tcW w:type="dxa" w:w="72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44.4%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0.551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0.536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0.571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0.536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0.429</w:t>
            </w:r>
          </w:p>
        </w:tc>
      </w:tr>
      <w:tr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Level 2</w:t>
            </w:r>
          </w:p>
        </w:tc>
        <w:tc>
          <w:tcPr>
            <w:tcW w:type="dxa" w:w="72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286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59.4%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0.707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0.671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0.603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0.735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0.655</w:t>
            </w:r>
          </w:p>
        </w:tc>
      </w:tr>
      <w:tr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Levels 0+1</w:t>
            </w:r>
          </w:p>
        </w:tc>
        <w:tc>
          <w:tcPr>
            <w:tcW w:type="dxa" w:w="72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40.8%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0.546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0.548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0.556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0.516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0.422</w:t>
            </w:r>
          </w:p>
        </w:tc>
      </w:tr>
      <w:tr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Overall</w:t>
            </w:r>
          </w:p>
        </w:tc>
        <w:tc>
          <w:tcPr>
            <w:tcW w:type="dxa" w:w="72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362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55.5%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0.684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0.652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0.590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0.701</w:t>
            </w:r>
          </w:p>
        </w:tc>
        <w:tc>
          <w:tcPr>
            <w:tcW w:type="dxa" w:w="100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0.590</w:t>
            </w:r>
          </w:p>
        </w:tc>
      </w:tr>
    </w:tbl>
    <w:p>
      <w:pPr>
        <w:spacing w:before="80" w:after="40"/>
      </w:pPr>
      <w:r>
        <w:rPr>
          <w:rFonts w:ascii="Times New Roman" w:hAnsi="Times New Roman"/>
          <w:i/>
          <w:sz w:val="18"/>
        </w:rPr>
        <w:t>XGB = XGBoost Tier 1. STB = Swiss Trauma Board (partial implementation). Sens = sensitivity at 0.5 threshold. Overt = overtriage.</w:t>
      </w:r>
    </w:p>
    <w:p>
      <w:pPr>
        <w:spacing w:before="80" w:after="40"/>
      </w:pPr>
      <w:r>
        <w:rPr>
          <w:rFonts w:ascii="Times New Roman" w:hAnsi="Times New Roman"/>
          <w:i/>
          <w:sz w:val="18"/>
        </w:rPr>
        <w:t>Level 0 n=26; interpret with caution.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