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Agent Governance: Three-Layer Stack &amp; Key Research Papers</w:t>
      </w:r>
    </w:p>
    <w:p>
      <w:pPr>
        <w:jc w:val="center"/>
      </w:pPr>
      <w:r>
        <w:rPr>
          <w:i/>
        </w:rPr>
        <w:t>Prepared: 2026-05-30 | Compiled by EvaPaper</w:t>
      </w:r>
    </w:p>
    <w:p>
      <w:r>
        <w:br w:type="page"/>
      </w:r>
    </w:p>
    <w:p>
      <w:pPr>
        <w:pStyle w:val="Heading1"/>
      </w:pPr>
      <w:r>
        <w:t>1. Executive Summary</w:t>
      </w:r>
    </w:p>
    <w:p>
      <w:r>
        <w:t>The rapid deployment of autonomous AI agents across enterprise environments has exposed a critical governance gap: the disconnect between what skill specifications claim, what runtime policies enforce, and what agents actually do. This document synthesizes the latest research (2024–2026) into a Three-Layer Governance Stack, provides abstracts and links to key papers and products, and offers ranked recommendations for practitioners.</w:t>
      </w:r>
    </w:p>
    <w:p>
      <w:pPr>
        <w:pStyle w:val="Heading1"/>
      </w:pPr>
      <w:r>
        <w:t>2. The Three-Layer Governance Stack</w:t>
      </w:r>
    </w:p>
    <w:p>
      <w:pPr>
        <w:pStyle w:val="Heading2"/>
      </w:pPr>
      <w:r>
        <w:t>Layer 0 — Format Conformance (Soundness-0)</w:t>
      </w:r>
    </w:p>
    <w:p>
      <w:r>
        <w:rPr>
          <w:b/>
        </w:rPr>
        <w:t xml:space="preserve">What it checks: </w:t>
      </w:r>
      <w:r>
        <w:t>Whether a SKILL.md or agent specification file conforms to structural syntax—frontmatter validity, field presence, line count, and format compliance.</w:t>
      </w:r>
    </w:p>
    <w:p>
      <w:r>
        <w:t>Current state: Available. Tools like Anthropic’s skill validator and Microsoft’s schema validation perform this check.</w:t>
      </w:r>
    </w:p>
    <w:p>
      <w:r>
        <w:t>Soundness question: "Does the file parse correctly?" This is the minimum bar. It does NOT verify that the described tool exists or that the boundaries are enforceable.</w:t>
      </w:r>
    </w:p>
    <w:p>
      <w:pPr>
        <w:pStyle w:val="Heading2"/>
      </w:pPr>
      <w:r>
        <w:t>Layer 1 — Semantic / Contractual Soundness (Soundness-1)</w:t>
      </w:r>
    </w:p>
    <w:p>
      <w:r>
        <w:rPr>
          <w:b/>
        </w:rPr>
        <w:t xml:space="preserve">What it checks: </w:t>
      </w:r>
      <w:r>
        <w:t>Whether the skill specification accurately describes the capabilities, boundaries, failure modes, and side effects of the underlying tool.</w:t>
      </w:r>
    </w:p>
    <w:p>
      <w:r>
        <w:t>Current state: NOT available. No existing framework automatically verifies that a SKILL.md description matches the actual tool implementation.</w:t>
      </w:r>
    </w:p>
    <w:p>
      <w:r>
        <w:t>Soundness question: "If the agent believes the spec, will it be correct?" This requires verifying tool existence, signature matching, and boundary completeness.</w:t>
      </w:r>
    </w:p>
    <w:p>
      <w:pPr>
        <w:pStyle w:val="Heading2"/>
      </w:pPr>
      <w:r>
        <w:t>Layer 2 — Cross-Layer / Behavioral Verification (Soundness-2)</w:t>
      </w:r>
    </w:p>
    <w:p>
      <w:r>
        <w:rPr>
          <w:b/>
        </w:rPr>
        <w:t xml:space="preserve">What it checks: </w:t>
      </w:r>
      <w:r>
        <w:t>Whether the runtime behavior of the agent matches the spec claims and the policy enforcement. This connects the static file to dynamic execution.</w:t>
      </w:r>
    </w:p>
    <w:p>
      <w:r>
        <w:t>Current state: Emerging. BeSafe-Bench and ST-WebAgentBench provide functional-environment testing, but no system automatically verifies that a specific SKILL.md produces safe behavior.</w:t>
      </w:r>
    </w:p>
    <w:p>
      <w:r>
        <w:t>Soundness question: "Does the whole system—spec + runtime + agent—actually behave as claimed?" This is the gold standard and remains an open research problem.</w:t>
      </w:r>
    </w:p>
    <w:p>
      <w:pPr>
        <w:pStyle w:val="Heading2"/>
      </w:pPr>
      <w:r>
        <w:t>Critical Insight: The Vertical Disconnect</w:t>
      </w:r>
    </w:p>
    <w:p>
      <w:r>
        <w:t>A SKILL.md can pass all format checks (Layer 0) while describing a tool with no safety guardrails (failing Layer 1). The runtime can enforce policies (Layer 2) that the spec never defined. And the agent can optimize for task completion while systematically violating both. A vertically sound system requires a proof connecting all three layers—something no existing framework provides.</w:t>
      </w:r>
    </w:p>
    <w:p>
      <w:r>
        <w:br w:type="page"/>
      </w:r>
    </w:p>
    <w:p>
      <w:pPr>
        <w:pStyle w:val="Heading1"/>
      </w:pPr>
      <w:r>
        <w:t>3. Key Papers and Products (2024–2026)</w:t>
      </w:r>
    </w:p>
    <w:p>
      <w:r>
        <w:t>Each entry includes a summary of the abstract and the primary source link.</w:t>
      </w:r>
    </w:p>
    <w:p>
      <w:pPr>
        <w:pStyle w:val="Heading2"/>
      </w:pPr>
      <w:r>
        <w:t>Paper 1: BeSafe-Bench (BSB)</w:t>
      </w:r>
    </w:p>
    <w:p>
      <w:r>
        <w:t>Title: BeSafe-Bench: Unveiling Behavioral Safety Risks of Situated Agents in Functional Environments</w:t>
        <w:br/>
        <w:t>Authors: Xuetao Wei et al. (Huawei RAMS Lab)</w:t>
        <w:br/>
        <w:t>Date: 2026-01-30 | Source: arXiv:2603.25747</w:t>
      </w:r>
    </w:p>
    <w:p>
      <w:r>
        <w:rPr>
          <w:b/>
        </w:rPr>
        <w:t xml:space="preserve">Abstract Summary: </w:t>
      </w:r>
      <w:r>
        <w:t>The rapid evolution of Large Multimodal Models (LMMs) has enabled agents to perform complex digital and physical tasks, yet their deployment introduces substantial unintentional behavioral safety risks. The absence of a comprehensive safety benchmark remains a major bottleneck, as existing evaluations rely on low-fidelity environments or simulated APIs. BeSafe-Bench presents a benchmark for exposing behavioral safety risks of situated agents in functional environments, covering four domains: Web, Mobile, Embodied VLM, and Embodied VLA. It constructs a diverse instruction space by augmenting tasks with nine categories of safety-critical risks, and adopts a hybrid evaluation framework combining rule-based checks with LLM-as-a-judge reasoning. Evaluating 13 popular agents reveals that even the best-performing agent completes fewer than 40% of tasks while fully adhering to safety constraints, and strong task performance frequently coincides with severe safety violations.</w:t>
      </w:r>
    </w:p>
    <w:p>
      <w:r>
        <w:rPr>
          <w:b/>
        </w:rPr>
        <w:t xml:space="preserve">Source Link: </w:t>
      </w:r>
      <w:r>
        <w:t>https://arxiv.org/abs/2603.25747</w:t>
      </w:r>
    </w:p>
    <w:p>
      <w:pPr>
        <w:pStyle w:val="Heading2"/>
      </w:pPr>
      <w:r>
        <w:t>Paper 2: ST-WebAgentBench</w:t>
      </w:r>
    </w:p>
    <w:p>
      <w:r>
        <w:t>Title: ST-WebAgentBench: A Benchmark for Evaluating Safety and Trustworthiness in Web Agents</w:t>
        <w:br/>
        <w:t>Authors: Ido Levy, Ben Wiesel, Sami Marreed, Alon Oved, Avi Yaeli, Segev Shlomov (IBM Research)</w:t>
        <w:br/>
        <w:t>Date: 2024-10 (ICLR 2026) | Source: arXiv:2410.06703</w:t>
      </w:r>
    </w:p>
    <w:p>
      <w:r>
        <w:rPr>
          <w:b/>
        </w:rPr>
        <w:t xml:space="preserve">Abstract Summary: </w:t>
      </w:r>
      <w:r>
        <w:t>Autonomous web agents solve complex browsing tasks, yet existing benchmarks measure only whether an agent finishes a task, ignoring whether it does so safely or in a way enterprises can trust. Safety and trustworthiness (ST) are prerequisite conditions for adoption. This paper introduces ST-WebAgentBench, a configurable suite for evaluating web agent ST across realistic enterprise scenarios. Each of its 222 tasks is paired with ST policies—concise rules encoding constraints—and is scored along six orthogonal dimensions (e.g., user consent, robustness). The paper proposes the Completion Under Policy (CuP) metric, which credits only completions that respect all applicable policies, and the Risk Ratio, which quantifies ST breaches across dimensions. Evaluating three open state-of-the-art agents reveals their average CuP is less than two-thirds of their nominal completion rate, exposing critical safety gaps. Code, evaluation templates, and a policy-authoring interface are released.</w:t>
      </w:r>
    </w:p>
    <w:p>
      <w:r>
        <w:rPr>
          <w:b/>
        </w:rPr>
        <w:t xml:space="preserve">Source Link: </w:t>
      </w:r>
      <w:r>
        <w:t>https://arxiv.org/abs/2410.06703</w:t>
      </w:r>
    </w:p>
    <w:p>
      <w:pPr>
        <w:pStyle w:val="Heading2"/>
      </w:pPr>
      <w:r>
        <w:t>Paper 3: Layered Governance Architecture (LGA)</w:t>
      </w:r>
    </w:p>
    <w:p>
      <w:r>
        <w:t>Title: Governance Architecture for Autonomous Agent Systems: Threats, Framework, and Engineering Practice</w:t>
        <w:br/>
        <w:t>Authors: Yuxu Ge et al.</w:t>
        <w:br/>
        <w:t>Date: 2026-03-05 | Source: arXiv:2603.07191</w:t>
      </w:r>
    </w:p>
    <w:p>
      <w:r>
        <w:rPr>
          <w:b/>
        </w:rPr>
        <w:t xml:space="preserve">Abstract Summary: </w:t>
      </w:r>
      <w:r>
        <w:t>Autonomous agents powered by large language models introduce execution-layer vulnerabilities—prompt injection, retrieval poisoning, and uncontrolled tool invocation—that existing guardrails fail to address systematically. This work proposes the Layered Governance Architecture (LGA), a four-layer framework comprising execution sandboxing (L1), intent verification (L2), zero-trust inter-agent authorization (L3), and immutable audit logging (L4). To evaluate LGA, the authors construct a bilingual benchmark of 1,081 tool-call samples covering prompt injection, RAG poisoning, and malicious skill plugins, and apply it to OpenClaw. Experimental results on Layer 2 intent verification show that LLM judges intercept 93.0–98.5% of malicious tool calls, while lightweight NLI baselines remain below 10%. An end-to-end pipeline evaluation demonstrates that all four layers operate in concert with 96% interception rate and a total P50 latency of approximately 980 ms.</w:t>
      </w:r>
    </w:p>
    <w:p>
      <w:r>
        <w:rPr>
          <w:b/>
        </w:rPr>
        <w:t xml:space="preserve">Source Link: </w:t>
      </w:r>
      <w:r>
        <w:t>https://arxiv.org/abs/2603.07191</w:t>
      </w:r>
    </w:p>
    <w:p>
      <w:pPr>
        <w:pStyle w:val="Heading2"/>
      </w:pPr>
      <w:r>
        <w:t>Paper 4: Skilldex</w:t>
      </w:r>
    </w:p>
    <w:p>
      <w:r>
        <w:t>Title: Skilldex: A Package Manager for Agent Skills</w:t>
        <w:br/>
        <w:t>Authors: Sampriti Saha et al.</w:t>
        <w:br/>
        <w:t>Date: 2026-04-18 | Source: arXiv:2604.16911</w:t>
      </w:r>
    </w:p>
    <w:p>
      <w:r>
        <w:rPr>
          <w:b/>
        </w:rPr>
        <w:t xml:space="preserve">Abstract Summary: </w:t>
      </w:r>
      <w:r>
        <w:t>LLM agents are increasingly extended at runtime via skill packages—structured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shared context for mutual coherence. Skilldex addresses both gaps with (1) compiler-style format conformance scoring producing line-level diagnostics, and (2) the skillset abstraction—a bundled collection of related skills with shared assets. It also provides a three-tier hierarchical scope system, a human-in-the-loop suggestion loop, a metadata-only community registry, and an MCP server. The system is implemented as a TypeScript CLI with a Hono/Supabase registry backend, open-source.</w:t>
      </w:r>
    </w:p>
    <w:p>
      <w:r>
        <w:rPr>
          <w:b/>
        </w:rPr>
        <w:t xml:space="preserve">Source Link: </w:t>
      </w:r>
      <w:r>
        <w:t>https://arxiv.org/abs/2604.16911</w:t>
      </w:r>
    </w:p>
    <w:p>
      <w:pPr>
        <w:pStyle w:val="Heading2"/>
      </w:pPr>
      <w:r>
        <w:t>Paper 5: GovernSpec / Contractual Skills</w:t>
      </w:r>
    </w:p>
    <w:p>
      <w:r>
        <w:t>Title: A GovernSpec Design Framework for Enterprise AI Agents (arXiv:2605.22634)</w:t>
        <w:br/>
        <w:t>Also: Contractual Skills paper (same framework, different focus)</w:t>
        <w:br/>
        <w:t>Authors: Ting Liu et al.</w:t>
        <w:br/>
        <w:t>Date: 2026-05-21 | Source: arXiv:2605.22634</w:t>
      </w:r>
    </w:p>
    <w:p>
      <w:r>
        <w:rPr>
          <w:b/>
        </w:rPr>
        <w:t xml:space="preserve">Abstract Summary: </w:t>
      </w:r>
      <w:r>
        <w:t>Skills are increasingly used to package agent instructions, workflows, scripts, and reference materials. In enterprise settings, skills must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these files as readable task contracts while preserving lightweight skill discovery and progressive loading. The framework clarifies the boundary between contractual skills, GovernSpec YAML contracts, MCP surfaces, tool adapters, runtime guardrails, tracing, and evaluation systems. Two offline experiments show contractual skills outperform no-skill and minimal-skill baselines. The results suggest contractual skills are best understood as a governance layer that makes task intent, boundaries, and acceptance criteria explicit, not as a standalone safety mechanism.</w:t>
      </w:r>
    </w:p>
    <w:p>
      <w:r>
        <w:rPr>
          <w:b/>
        </w:rPr>
        <w:t xml:space="preserve">Source Link: </w:t>
      </w:r>
      <w:r>
        <w:t>https://arxiv.org/abs/2605.22634</w:t>
      </w:r>
    </w:p>
    <w:p>
      <w:pPr>
        <w:pStyle w:val="Heading2"/>
      </w:pPr>
      <w:r>
        <w:t>Product 1: Microsoft Agent Governance Toolkit</w:t>
      </w:r>
    </w:p>
    <w:p>
      <w:r>
        <w:t>Publisher: Microsoft</w:t>
        <w:br/>
        <w:t>License: MIT</w:t>
        <w:br/>
        <w:t>Date: 2026-04-02</w:t>
      </w:r>
    </w:p>
    <w:p>
      <w:r>
        <w:rPr>
          <w:b/>
        </w:rPr>
        <w:t xml:space="preserve">Description: </w:t>
      </w:r>
      <w:r>
        <w:t>The first open-source toolkit to address all 10 OWASP Agentic AI risks with deterministic, sub-millisecond policy enforcement. Seven independently installable packages: Agent OS (stateless policy engine, &lt;0.1ms p99), Agent Mesh (DID-based identity with dynamic trust scoring), Agent Runtime (execution rings inspired by CPU privilege levels), Agent SRE (SLOs, circuit breakers, chaos engineering), Agent Compliance (automated EU AI Act / HIPAA / SOC2 mapping), Agent Marketplace (Ed25519 signing, trust-tiered gating), and Agent Lightning (RL training governance). Framework-agnostic integrations for LangChain, CrewAI, Google ADK, Microsoft Agent Framework, OpenAI Agents SDK, and more.</w:t>
      </w:r>
    </w:p>
    <w:p>
      <w:r>
        <w:rPr>
          <w:b/>
        </w:rPr>
        <w:t xml:space="preserve">Source Link: </w:t>
      </w:r>
      <w:r>
        <w:t>https://opensource.microsoft.com/blog/2026/04/02/introducing-the-agent-governance-toolkit-open-source-runtime-security-for-ai-agents/</w:t>
      </w:r>
    </w:p>
    <w:p>
      <w:r>
        <w:rPr>
          <w:b/>
        </w:rPr>
        <w:t xml:space="preserve">GitHub: </w:t>
      </w:r>
      <w:r>
        <w:t>https://github.com/microsoft/agent-governance-toolkit</w:t>
      </w:r>
    </w:p>
    <w:p>
      <w:pPr>
        <w:pStyle w:val="Heading2"/>
      </w:pPr>
      <w:r>
        <w:t>Product 2: OWASP Top 10 for Agentic Applications (2026)</w:t>
      </w:r>
    </w:p>
    <w:p>
      <w:r>
        <w:t>Publisher: OWASP Foundation</w:t>
        <w:br/>
        <w:t>Date: December 2025</w:t>
      </w:r>
    </w:p>
    <w:p>
      <w:r>
        <w:rPr>
          <w:b/>
        </w:rPr>
        <w:t xml:space="preserve">Description: </w:t>
      </w:r>
      <w:r>
        <w:t>The first formal taxonomy of risks specific to autonomous AI agents. The 2026 edition codifies 10 critical risks: Goal Hijacking, Tool Misuse, Identity Abuse, Memory Poisoning, Cascading Failures, Rogue Agents, Prompt Injection, Data Leakage, Over-Privilege, and Supply Chain. This taxonomy serves as the industry standard for agent security assessment and is mapped directly by the Microsoft Agent Governance Toolkit and other compliance frameworks.</w:t>
      </w:r>
    </w:p>
    <w:p>
      <w:r>
        <w:rPr>
          <w:b/>
        </w:rPr>
        <w:t xml:space="preserve">Source Link: </w:t>
      </w:r>
      <w:r>
        <w:t>https://owasp.org/www-project-top-10-for-agentic-applications/</w:t>
      </w:r>
    </w:p>
    <w:p>
      <w:pPr>
        <w:pStyle w:val="Heading2"/>
      </w:pPr>
      <w:r>
        <w:t>Product 3: How to Evaluate AI Agents in Production (Ruh AI)</w:t>
      </w:r>
    </w:p>
    <w:p>
      <w:r>
        <w:t>Publisher: Ruh AI</w:t>
        <w:br/>
        <w:t>Date: 2026-05-24</w:t>
      </w:r>
    </w:p>
    <w:p>
      <w:r>
        <w:rPr>
          <w:b/>
        </w:rPr>
        <w:t xml:space="preserve">Description: </w:t>
      </w:r>
      <w:r>
        <w:t>A comprehensive production guide synthesizing industry data from Gartner, LangChain, and multiple practitioner sources. Documents the "quality crisis" in agentic AI: 40%+ of projects forecast for cancellation by 2027, 57% of organizations have agents in production, and quality is the #1 deployment barrier. Introduces a seven-step production evaluation playbook including real-failure tasks, OpenTelemetry instrumentation, core metric triads (Task Completion, Tool Correctness, Answer Relevancy), offline and online evaluation loops, and hybrid judging (LLM-as-Judge + Agent-as-a-Judge). Reviews 2026 tooling landscape: LangSmith, Braintrust, Arize, Langfuse, Confident AI, Galileo, and the OpenTelemetry GenAI Semantic Conventions.</w:t>
      </w:r>
    </w:p>
    <w:p>
      <w:r>
        <w:rPr>
          <w:b/>
        </w:rPr>
        <w:t xml:space="preserve">Source Link: </w:t>
      </w:r>
      <w:r>
        <w:t>https://www.ruh.ai/blogs/how-to-evaluate-ai-agents-in-production-guide</w:t>
      </w:r>
    </w:p>
    <w:p>
      <w:r>
        <w:br w:type="page"/>
      </w:r>
    </w:p>
    <w:p>
      <w:pPr>
        <w:pStyle w:val="Heading1"/>
      </w:pPr>
      <w:r>
        <w:t>4. Ranked Recommendations for Practitioners</w:t>
      </w:r>
    </w:p>
    <w:p>
      <w:pPr>
        <w:pStyle w:val="Heading2"/>
      </w:pPr>
      <w:r>
        <w:t>Immediate (Next 30 Days)</w:t>
      </w:r>
    </w:p>
    <w:p>
      <w:r>
        <w:rPr>
          <w:b/>
        </w:rPr>
        <w:t>1. Adopt the 3-Layer Verification Model</w:t>
      </w:r>
      <w:r>
        <w:t>: Separate format checks (Layer 0), semantic linting (Layer 1), and runtime contract tests (Layer 2). No existing tool does all three—you must build the glue.</w:t>
      </w:r>
    </w:p>
    <w:p>
      <w:r>
        <w:rPr>
          <w:b/>
        </w:rPr>
        <w:t>2. Replace completion rate with CuP</w:t>
      </w:r>
      <w:r>
        <w:t>: Completion Under Policy (from ST-WebAgentBench) is the primary success metric. Optimizing completion without policy awareness is dangerous.</w:t>
      </w:r>
    </w:p>
    <w:p>
      <w:r>
        <w:rPr>
          <w:b/>
        </w:rPr>
        <w:t>3. Map your agent to OWASP Top 10</w:t>
      </w:r>
      <w:r>
        <w:t>: Identify which risks your system currently has no mitigation for. EU AI Act high-risk obligations take effect August 2026.</w:t>
      </w:r>
    </w:p>
    <w:p>
      <w:r>
        <w:rPr>
          <w:b/>
        </w:rPr>
        <w:t>4. Run BeSafe-Bench or ST-WebAgentBench</w:t>
      </w:r>
      <w:r>
        <w:t>: If your agent operates in web, mobile, or embodied domains, you need to know where you stand. Best agents fail 60%+ of safety scenarios.</w:t>
      </w:r>
    </w:p>
    <w:p>
      <w:pPr>
        <w:pStyle w:val="Heading2"/>
      </w:pPr>
      <w:r>
        <w:t>Short-Term (Next 90 Days)</w:t>
      </w:r>
    </w:p>
    <w:p>
      <w:r>
        <w:rPr>
          <w:b/>
        </w:rPr>
        <w:t>5. Implement deterministic policy enforcement</w:t>
      </w:r>
      <w:r>
        <w:t>: Sub-millisecond, deterministic policy enforcement (Microsoft Agent Governance Toolkit or equivalent) is the only way to guarantee safety under pressure.</w:t>
      </w:r>
    </w:p>
    <w:p>
      <w:r>
        <w:rPr>
          <w:b/>
        </w:rPr>
        <w:t>6. Build a skill spec linter beyond format checks</w:t>
      </w:r>
      <w:r>
        <w:t>: Verify tool existence, signature matching, boundary description completeness, and version compatibility. The gap between "format valid" and "semantically sound" is where most skill failures originate.</w:t>
      </w:r>
    </w:p>
    <w:p>
      <w:r>
        <w:rPr>
          <w:b/>
        </w:rPr>
        <w:t>7. Add non-bypassable human-in-the-loop hooks</w:t>
      </w:r>
      <w:r>
        <w:t>: ST-WebAgentBench found agents routinely bypass "ask the user" safeguards. Make these non-bypassable at the runtime layer.</w:t>
      </w:r>
    </w:p>
    <w:p>
      <w:r>
        <w:rPr>
          <w:b/>
        </w:rPr>
        <w:t>8. Instrument the 12 production metrics</w:t>
      </w:r>
      <w:r>
        <w:t>: Especially Safety Violation Rate and Policy Compliance Rate. You cannot manage what you do not measure.</w:t>
      </w:r>
    </w:p>
    <w:p>
      <w:pPr>
        <w:pStyle w:val="Heading2"/>
      </w:pPr>
      <w:r>
        <w:t>Strategic (Next 12 Months)</w:t>
      </w:r>
    </w:p>
    <w:p>
      <w:r>
        <w:rPr>
          <w:b/>
        </w:rPr>
        <w:t>9. Contribute to / adopt a cross-layer verification framework</w:t>
      </w:r>
      <w:r>
        <w:t>: Connect SKILL.md specs to runtime policy enforcement to behavioral benchmarks. The industry needs a vertical proof. This is a research and engineering opportunity.</w:t>
      </w:r>
    </w:p>
    <w:p>
      <w:r>
        <w:rPr>
          <w:b/>
        </w:rPr>
        <w:t>10. Prepare for EU AI Act high-risk obligations</w:t>
      </w:r>
      <w:r>
        <w:t>: August 2026 deadline. Document risk management systems, automatic event logging, and human oversight mechanisms. Penalties up to €15M or 3% of turnover.</w:t>
      </w:r>
    </w:p>
    <w:p>
      <w:r>
        <w:rPr>
          <w:b/>
        </w:rPr>
        <w:t>11. Participate in safety leaderboards</w:t>
      </w:r>
      <w:r>
        <w:t>: BeSafe-Bench and ST-WebAgentBench leaderboards establish baseline safety scores and track improvement. Industry transparency is currently near zero.</w:t>
      </w:r>
    </w:p>
    <w:p>
      <w:r>
        <w:br w:type="page"/>
      </w:r>
    </w:p>
    <w:p>
      <w:pPr>
        <w:pStyle w:val="Heading1"/>
      </w:pPr>
      <w:r>
        <w:t>5. The Critical Research Gap: Semantic Verification of Skill Descriptions</w:t>
      </w:r>
    </w:p>
    <w:p>
      <w:r>
        <w:t>The most glaring gap in the current landscape: no one is doing semantic verification of skill descriptions. A SKILL.md can score 100% on format checks while describing a tool that does not exist, declaring "I only read data" while the underlying tool has write permissions, or stating "ask the user before deleting" while the tool implementation has no such guardrail.</w:t>
        <w:br/>
        <w:br/>
        <w:t>What is needed: A verification framework that takes a SKILL.md, extracts its claimed capabilities and boundaries, and produces a proof (or at least a test) that those claims hold against the actual tool implementation. This would be the bridge between Layer 0 and Layer 1—something between a type checker and a contract verifier. The components are all available: Anthropic’s validation schema, Microsoft’s allowed-tools metadata, GovernSpec’s contract framework, and ST-WebAgentBench’s policy evaluator. No one has stitched them together yet.</w:t>
      </w:r>
    </w:p>
    <w:p/>
    <w:p>
      <w:pPr>
        <w:jc w:val="center"/>
      </w:pPr>
      <w:r>
        <w:rPr>
          <w:i/>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