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pPr>
      <w:r>
        <w:rPr>
          <w:rFonts w:ascii="Calibri Light" w:hAnsi="Calibri Light"/>
          <w:b/>
          <w:sz w:val="36"/>
        </w:rPr>
        <w:t>SkillC: architecture, cases, and integration evidence</w:t>
      </w:r>
    </w:p>
    <w:p>
      <w:r>
        <w:rPr>
          <w:sz w:val="20"/>
        </w:rPr>
        <w:t>Supplementary material | Read alongside MLADS_AGENT_Submission.docx</w:t>
      </w:r>
    </w:p>
    <w:p>
      <w:pPr>
        <w:pStyle w:val="Heading1"/>
        <w:pageBreakBefore w:val="0"/>
      </w:pPr>
      <w:r>
        <w:t>S1. What is carried over from the source paper</w:t>
      </w:r>
    </w:p>
    <w:p>
      <w:r>
        <w:t>This supplement restores the source paper's substantive figures, cases, tables, and theoretical foundations while keeping implementation central. It keeps three evidence types separate: the original pack-level study, later repository experiments, and a proposed Microsoft Agent Framework adapter. No later experiment is attributed to the original paper.</w:t>
      </w:r>
    </w:p>
    <w:p>
      <w:pPr>
        <w:keepNext/>
        <w:spacing w:after="40"/>
        <w:jc w:val="center"/>
      </w:pPr>
      <w:r>
        <w:drawing>
          <wp:inline xmlns:a="http://schemas.openxmlformats.org/drawingml/2006/main" xmlns:pic="http://schemas.openxmlformats.org/drawingml/2006/picture">
            <wp:extent cx="5669280" cy="3017975"/>
            <wp:docPr id="1" name="Picture 1" descr="Original source-paper trust-boundary figure: an untrusted LLM creates a pack and a deterministic checker returns witness, abstention, or refutation evidence."/>
            <wp:cNvGraphicFramePr>
              <a:graphicFrameLocks noChangeAspect="1"/>
            </wp:cNvGraphicFramePr>
            <a:graphic>
              <a:graphicData uri="http://schemas.openxmlformats.org/drawingml/2006/picture">
                <pic:pic>
                  <pic:nvPicPr>
                    <pic:cNvPr id="0" name="mlads_source_trust_boundary.png"/>
                    <pic:cNvPicPr/>
                  </pic:nvPicPr>
                  <pic:blipFill>
                    <a:blip r:embed="rId17"/>
                    <a:stretch>
                      <a:fillRect/>
                    </a:stretch>
                  </pic:blipFill>
                  <pic:spPr>
                    <a:xfrm>
                      <a:off x="0" y="0"/>
                      <a:ext cx="5669280" cy="3017975"/>
                    </a:xfrm>
                    <a:prstGeom prst="rect"/>
                  </pic:spPr>
                </pic:pic>
              </a:graphicData>
            </a:graphic>
          </wp:inline>
        </w:drawing>
      </w:r>
    </w:p>
    <w:p>
      <w:pPr>
        <w:keepLines/>
        <w:spacing w:after="100" w:line="240" w:lineRule="auto"/>
      </w:pPr>
      <w:r>
        <w:rPr>
          <w:sz w:val="18"/>
        </w:rPr>
        <w:t>Figure S1. Original Figure 1 extracted from our main_submission.pdf, page 2. Its pack-relative guarantee must not be read as end-to-end mechanization of the executable checker.</w:t>
      </w:r>
    </w:p>
    <w:tbl>
      <w:tblPr>
        <w:tblW w:type="auto" w:w="0"/>
        <w:tblLayout w:type="fixed"/>
        <w:tblLook w:firstColumn="1" w:firstRow="1" w:lastColumn="0" w:lastRow="0" w:noHBand="0" w:noVBand="1" w:val="04A0"/>
        <w:tblBorders>
          <w:top w:val="single" w:sz="4" w:color="B8C5D6"/>
          <w:left w:val="single" w:sz="4" w:color="B8C5D6"/>
          <w:bottom w:val="single" w:sz="4" w:color="B8C5D6"/>
          <w:right w:val="single" w:sz="4" w:color="B8C5D6"/>
          <w:insideH w:val="single" w:sz="4" w:color="B8C5D6"/>
          <w:insideV w:val="single" w:sz="4" w:color="B8C5D6"/>
        </w:tblBorders>
      </w:tblPr>
      <w:tblGrid>
        <w:gridCol w:w="3672"/>
        <w:gridCol w:w="5688"/>
      </w:tblGrid>
      <w:tr>
        <w:trPr>
          <w:tblHeader/>
          <w:cantSplit/>
        </w:trPr>
        <w:tc>
          <w:tcPr>
            <w:tcW w:type="dxa" w:w="3672"/>
            <w:shd w:fill="E8EEF7"/>
          </w:tcPr>
          <w:p>
            <w:pPr>
              <w:spacing w:before="40" w:after="40" w:line="240" w:lineRule="auto"/>
            </w:pPr>
            <w:r>
              <w:rPr>
                <w:b/>
                <w:sz w:val="19"/>
              </w:rPr>
              <w:t>Source-paper item</w:t>
            </w:r>
          </w:p>
        </w:tc>
        <w:tc>
          <w:tcPr>
            <w:tcW w:type="dxa" w:w="5688"/>
            <w:shd w:fill="E8EEF7"/>
          </w:tcPr>
          <w:p>
            <w:pPr>
              <w:spacing w:before="40" w:after="40" w:line="240" w:lineRule="auto"/>
            </w:pPr>
            <w:r>
              <w:rPr>
                <w:b/>
                <w:sz w:val="19"/>
              </w:rPr>
              <w:t>Where it is used in the MLADS package</w:t>
            </w:r>
          </w:p>
        </w:tc>
      </w:tr>
      <w:tr>
        <w:trPr>
          <w:cantSplit/>
        </w:trPr>
        <w:tc>
          <w:tcPr>
            <w:tcW w:type="dxa" w:w="3672"/>
          </w:tcPr>
          <w:p>
            <w:pPr>
              <w:spacing w:before="40" w:after="40" w:line="240" w:lineRule="auto"/>
            </w:pPr>
            <w:r>
              <w:rPr>
                <w:sz w:val="19"/>
              </w:rPr>
              <w:t>Trust-boundary figure (p. 2)</w:t>
            </w:r>
          </w:p>
        </w:tc>
        <w:tc>
          <w:tcPr>
            <w:tcW w:type="dxa" w:w="5688"/>
          </w:tcPr>
          <w:p>
            <w:pPr>
              <w:spacing w:before="40" w:after="40" w:line="240" w:lineRule="auto"/>
            </w:pPr>
            <w:r>
              <w:rPr>
                <w:sz w:val="19"/>
              </w:rPr>
              <w:t>Redrawn in main Figure 1; original above.</w:t>
            </w:r>
          </w:p>
        </w:tc>
      </w:tr>
      <w:tr>
        <w:trPr>
          <w:cantSplit/>
        </w:trPr>
        <w:tc>
          <w:tcPr>
            <w:tcW w:type="dxa" w:w="3672"/>
          </w:tcPr>
          <w:p>
            <w:pPr>
              <w:spacing w:before="40" w:after="40" w:line="240" w:lineRule="auto"/>
            </w:pPr>
            <w:r>
              <w:rPr>
                <w:sz w:val="19"/>
              </w:rPr>
              <w:t>Flight example (pp. 3-4)</w:t>
            </w:r>
          </w:p>
        </w:tc>
        <w:tc>
          <w:tcPr>
            <w:tcW w:type="dxa" w:w="5688"/>
          </w:tcPr>
          <w:p>
            <w:pPr>
              <w:spacing w:before="40" w:after="40" w:line="240" w:lineRule="auto"/>
            </w:pPr>
            <w:r>
              <w:rPr>
                <w:sz w:val="19"/>
              </w:rPr>
              <w:t>S3 capability table and witness.</w:t>
            </w:r>
          </w:p>
        </w:tc>
      </w:tr>
      <w:tr>
        <w:trPr>
          <w:cantSplit/>
        </w:trPr>
        <w:tc>
          <w:tcPr>
            <w:tcW w:type="dxa" w:w="3672"/>
          </w:tcPr>
          <w:p>
            <w:pPr>
              <w:spacing w:before="40" w:after="40" w:line="240" w:lineRule="auto"/>
            </w:pPr>
            <w:r>
              <w:rPr>
                <w:sz w:val="19"/>
              </w:rPr>
              <w:t>Validation signals (p. 4)</w:t>
            </w:r>
          </w:p>
        </w:tc>
        <w:tc>
          <w:tcPr>
            <w:tcW w:type="dxa" w:w="5688"/>
          </w:tcPr>
          <w:p>
            <w:pPr>
              <w:spacing w:before="40" w:after="40" w:line="240" w:lineRule="auto"/>
            </w:pPr>
            <w:r>
              <w:rPr>
                <w:sz w:val="19"/>
              </w:rPr>
              <w:t>Main Table 1; implementation interpretation in S2.</w:t>
            </w:r>
          </w:p>
        </w:tc>
      </w:tr>
      <w:tr>
        <w:trPr>
          <w:cantSplit/>
        </w:trPr>
        <w:tc>
          <w:tcPr>
            <w:tcW w:type="dxa" w:w="3672"/>
          </w:tcPr>
          <w:p>
            <w:pPr>
              <w:spacing w:before="40" w:after="40" w:line="240" w:lineRule="auto"/>
            </w:pPr>
            <w:r>
              <w:rPr>
                <w:sz w:val="19"/>
              </w:rPr>
              <w:t>15-case matrix and failure modes (p. 5)</w:t>
            </w:r>
          </w:p>
        </w:tc>
        <w:tc>
          <w:tcPr>
            <w:tcW w:type="dxa" w:w="5688"/>
          </w:tcPr>
          <w:p>
            <w:pPr>
              <w:spacing w:before="40" w:after="40" w:line="240" w:lineRule="auto"/>
            </w:pPr>
            <w:r>
              <w:rPr>
                <w:sz w:val="19"/>
              </w:rPr>
              <w:t>S8 matrix; S3 worked cases.</w:t>
            </w:r>
          </w:p>
        </w:tc>
      </w:tr>
      <w:tr>
        <w:trPr>
          <w:cantSplit/>
        </w:trPr>
        <w:tc>
          <w:tcPr>
            <w:tcW w:type="dxa" w:w="3672"/>
          </w:tcPr>
          <w:p>
            <w:pPr>
              <w:spacing w:before="40" w:after="40" w:line="240" w:lineRule="auto"/>
            </w:pPr>
            <w:r>
              <w:rPr>
                <w:sz w:val="19"/>
              </w:rPr>
              <w:t>Six-case extension; theory (pp. 6, 13-18)</w:t>
            </w:r>
          </w:p>
        </w:tc>
        <w:tc>
          <w:tcPr>
            <w:tcW w:type="dxa" w:w="5688"/>
          </w:tcPr>
          <w:p>
            <w:pPr>
              <w:spacing w:before="40" w:after="40" w:line="240" w:lineRule="auto"/>
            </w:pPr>
            <w:r>
              <w:rPr>
                <w:sz w:val="19"/>
              </w:rPr>
              <w:t>S8 extension; main Formal foundation and S9-S10 proof scope.</w:t>
            </w:r>
          </w:p>
        </w:tc>
      </w:tr>
      <w:tr>
        <w:trPr>
          <w:cantSplit/>
        </w:trPr>
        <w:tc>
          <w:tcPr>
            <w:tcW w:type="dxa" w:w="3672"/>
          </w:tcPr>
          <w:p>
            <w:pPr>
              <w:spacing w:before="40" w:after="40" w:line="240" w:lineRule="auto"/>
            </w:pPr>
            <w:r>
              <w:rPr>
                <w:sz w:val="19"/>
              </w:rPr>
              <w:t>Partition of obligations (p. 18)</w:t>
            </w:r>
          </w:p>
        </w:tc>
        <w:tc>
          <w:tcPr>
            <w:tcW w:type="dxa" w:w="5688"/>
          </w:tcPr>
          <w:p>
            <w:pPr>
              <w:spacing w:before="40" w:after="40" w:line="240" w:lineRule="auto"/>
            </w:pPr>
            <w:r>
              <w:rPr>
                <w:sz w:val="19"/>
              </w:rPr>
              <w:t>Updated implementation-status table in S7.</w:t>
            </w:r>
          </w:p>
        </w:tc>
      </w:tr>
      <w:tr>
        <w:trPr>
          <w:cantSplit/>
        </w:trPr>
        <w:tc>
          <w:tcPr>
            <w:tcW w:type="dxa" w:w="3672"/>
          </w:tcPr>
          <w:p>
            <w:pPr>
              <w:spacing w:before="40" w:after="40" w:line="240" w:lineRule="auto"/>
            </w:pPr>
            <w:r>
              <w:rPr>
                <w:sz w:val="19"/>
              </w:rPr>
              <w:t>Token-economics table (p. 19)</w:t>
            </w:r>
          </w:p>
        </w:tc>
        <w:tc>
          <w:tcPr>
            <w:tcW w:type="dxa" w:w="5688"/>
          </w:tcPr>
          <w:p>
            <w:pPr>
              <w:spacing w:before="40" w:after="40" w:line="240" w:lineRule="auto"/>
            </w:pPr>
            <w:r>
              <w:rPr>
                <w:sz w:val="19"/>
              </w:rPr>
              <w:t>S5, explicitly modeled rather than measured.</w:t>
            </w:r>
          </w:p>
        </w:tc>
      </w:tr>
    </w:tbl>
    <w:p>
      <w:pPr>
        <w:spacing w:after="40" w:line="20" w:lineRule="exact"/>
      </w:pPr>
      <w:r>
        <w:rPr>
          <w:sz w:val="2"/>
        </w:rPr>
      </w:r>
    </w:p>
    <w:p>
      <w:r>
        <w:t>A pack P comprises capabilities, global protocol, goal, and initial world. Capabilities carry guards and Boolean/numeric effects. A protocol goal marker means 'the goal holds here', not 'eventually do this'. Schema acceptance does not certify intent fidelity or actual backend effects. An abstract witness is conditional, and a refutation has an explicit scope.</w:t>
      </w:r>
    </w:p>
    <w:p>
      <w:pPr>
        <w:pStyle w:val="Heading1"/>
        <w:pageBreakBefore/>
      </w:pPr>
      <w:r>
        <w:t>S2. How the implementation is assembled</w:t>
      </w:r>
    </w:p>
    <w:p>
      <w:pPr>
        <w:keepNext/>
        <w:spacing w:after="40"/>
        <w:jc w:val="center"/>
      </w:pPr>
      <w:r>
        <w:drawing>
          <wp:inline xmlns:a="http://schemas.openxmlformats.org/drawingml/2006/main" xmlns:pic="http://schemas.openxmlformats.org/drawingml/2006/picture">
            <wp:extent cx="5943600" cy="2788920"/>
            <wp:docPr id="2" name="Picture 2" descr="SkillC implementation architecture showing reviewed contracts, context-only preflight, candidate generation, schema binding, protocol validation, symbolic reachability and scoped evidence."/>
            <wp:cNvGraphicFramePr>
              <a:graphicFrameLocks noChangeAspect="1"/>
            </wp:cNvGraphicFramePr>
            <a:graphic>
              <a:graphicData uri="http://schemas.openxmlformats.org/drawingml/2006/picture">
                <pic:pic>
                  <pic:nvPicPr>
                    <pic:cNvPr id="0" name="mlads_skillc_architecture.png"/>
                    <pic:cNvPicPr/>
                  </pic:nvPicPr>
                  <pic:blipFill>
                    <a:blip r:embed="rId18"/>
                    <a:stretch>
                      <a:fillRect/>
                    </a:stretch>
                  </pic:blipFill>
                  <pic:spPr>
                    <a:xfrm>
                      <a:off x="0" y="0"/>
                      <a:ext cx="5943600" cy="2788920"/>
                    </a:xfrm>
                    <a:prstGeom prst="rect"/>
                  </pic:spPr>
                </pic:pic>
              </a:graphicData>
            </a:graphic>
          </wp:inline>
        </w:drawing>
      </w:r>
    </w:p>
    <w:p>
      <w:pPr>
        <w:keepLines/>
        <w:spacing w:after="100" w:line="240" w:lineRule="auto"/>
      </w:pPr>
      <w:r>
        <w:rPr>
          <w:sz w:val="18"/>
        </w:rPr>
        <w:t>Figure S2. Implemented compiler/admission components; paths are chosen explicitly.</w:t>
      </w:r>
    </w:p>
    <w:tbl>
      <w:tblPr>
        <w:tblW w:type="auto" w:w="0"/>
        <w:tblLayout w:type="fixed"/>
        <w:tblLook w:firstColumn="1" w:firstRow="1" w:lastColumn="0" w:lastRow="0" w:noHBand="0" w:noVBand="1" w:val="04A0"/>
        <w:tblBorders>
          <w:top w:val="single" w:sz="4" w:color="B8C5D6"/>
          <w:left w:val="single" w:sz="4" w:color="B8C5D6"/>
          <w:bottom w:val="single" w:sz="4" w:color="B8C5D6"/>
          <w:right w:val="single" w:sz="4" w:color="B8C5D6"/>
          <w:insideH w:val="single" w:sz="4" w:color="B8C5D6"/>
          <w:insideV w:val="single" w:sz="4" w:color="B8C5D6"/>
        </w:tblBorders>
      </w:tblPr>
      <w:tblGrid>
        <w:gridCol w:w="2880"/>
        <w:gridCol w:w="6480"/>
      </w:tblGrid>
      <w:tr>
        <w:trPr>
          <w:tblHeader/>
          <w:cantSplit/>
        </w:trPr>
        <w:tc>
          <w:tcPr>
            <w:tcW w:type="dxa" w:w="2880"/>
            <w:shd w:fill="E8EEF7"/>
          </w:tcPr>
          <w:p>
            <w:pPr>
              <w:spacing w:before="40" w:after="40" w:line="240" w:lineRule="auto"/>
            </w:pPr>
            <w:r>
              <w:rPr>
                <w:b/>
                <w:sz w:val="19"/>
              </w:rPr>
              <w:t>Module / surface</w:t>
            </w:r>
          </w:p>
        </w:tc>
        <w:tc>
          <w:tcPr>
            <w:tcW w:type="dxa" w:w="6480"/>
            <w:shd w:fill="E8EEF7"/>
          </w:tcPr>
          <w:p>
            <w:pPr>
              <w:spacing w:before="40" w:after="40" w:line="240" w:lineRule="auto"/>
            </w:pPr>
            <w:r>
              <w:rPr>
                <w:b/>
                <w:sz w:val="19"/>
              </w:rPr>
              <w:t>Responsibility and boundary</w:t>
            </w:r>
          </w:p>
        </w:tc>
      </w:tr>
      <w:tr>
        <w:trPr>
          <w:cantSplit/>
        </w:trPr>
        <w:tc>
          <w:tcPr>
            <w:tcW w:type="dxa" w:w="2880"/>
          </w:tcPr>
          <w:p>
            <w:pPr>
              <w:spacing w:before="40" w:after="40" w:line="240" w:lineRule="auto"/>
            </w:pPr>
            <w:r>
              <w:rPr>
                <w:sz w:val="19"/>
              </w:rPr>
              <w:t>frontend\markdown.py</w:t>
            </w:r>
          </w:p>
        </w:tc>
        <w:tc>
          <w:tcPr>
            <w:tcW w:type="dxa" w:w="6480"/>
          </w:tcPr>
          <w:p>
            <w:pPr>
              <w:spacing w:before="40" w:after="40" w:line="240" w:lineRule="auto"/>
            </w:pPr>
            <w:r>
              <w:rPr>
                <w:sz w:val="19"/>
              </w:rPr>
              <w:t>Embedded packs, supported prose extraction, source provenance; tool-only fallback is not a semantic goal.</w:t>
            </w:r>
          </w:p>
        </w:tc>
      </w:tr>
      <w:tr>
        <w:trPr>
          <w:cantSplit/>
        </w:trPr>
        <w:tc>
          <w:tcPr>
            <w:tcW w:type="dxa" w:w="2880"/>
          </w:tcPr>
          <w:p>
            <w:pPr>
              <w:spacing w:before="40" w:after="40" w:line="240" w:lineRule="auto"/>
            </w:pPr>
            <w:r>
              <w:rPr>
                <w:sz w:val="19"/>
              </w:rPr>
              <w:t>frontend\llm.py</w:t>
            </w:r>
          </w:p>
        </w:tc>
        <w:tc>
          <w:tcPr>
            <w:tcW w:type="dxa" w:w="6480"/>
          </w:tcPr>
          <w:p>
            <w:pPr>
              <w:spacing w:before="40" w:after="40" w:line="240" w:lineRule="auto"/>
            </w:pPr>
            <w:r>
              <w:rPr>
                <w:sz w:val="19"/>
              </w:rPr>
              <w:t>Optional Azure OpenAI or Anthropic extraction. The provider output remains untrusted.</w:t>
            </w:r>
          </w:p>
        </w:tc>
      </w:tr>
      <w:tr>
        <w:trPr>
          <w:cantSplit/>
        </w:trPr>
        <w:tc>
          <w:tcPr>
            <w:tcW w:type="dxa" w:w="2880"/>
          </w:tcPr>
          <w:p>
            <w:pPr>
              <w:spacing w:before="40" w:after="40" w:line="240" w:lineRule="auto"/>
            </w:pPr>
            <w:r>
              <w:rPr>
                <w:sz w:val="19"/>
              </w:rPr>
              <w:t>frontend\contract.py</w:t>
            </w:r>
          </w:p>
        </w:tc>
        <w:tc>
          <w:tcPr>
            <w:tcW w:type="dxa" w:w="6480"/>
          </w:tcPr>
          <w:p>
            <w:pPr>
              <w:spacing w:before="40" w:after="40" w:line="240" w:lineRule="auto"/>
            </w:pPr>
            <w:r>
              <w:rPr>
                <w:sz w:val="19"/>
              </w:rPr>
              <w:t>Bind reviewed goal, grants/effects and initial context while retaining the candidate protocol.</w:t>
            </w:r>
          </w:p>
        </w:tc>
      </w:tr>
      <w:tr>
        <w:trPr>
          <w:cantSplit/>
        </w:trPr>
        <w:tc>
          <w:tcPr>
            <w:tcW w:type="dxa" w:w="2880"/>
          </w:tcPr>
          <w:p>
            <w:pPr>
              <w:spacing w:before="40" w:after="40" w:line="240" w:lineRule="auto"/>
            </w:pPr>
            <w:r>
              <w:rPr>
                <w:sz w:val="19"/>
              </w:rPr>
              <w:t>pack.py</w:t>
            </w:r>
          </w:p>
        </w:tc>
        <w:tc>
          <w:tcPr>
            <w:tcW w:type="dxa" w:w="6480"/>
          </w:tcPr>
          <w:p>
            <w:pPr>
              <w:spacing w:before="40" w:after="40" w:line="240" w:lineRule="auto"/>
            </w:pPr>
            <w:r>
              <w:rPr>
                <w:sz w:val="19"/>
              </w:rPr>
              <w:t>Schema validation and normalization; reject malformed packs explicitly.</w:t>
            </w:r>
          </w:p>
        </w:tc>
      </w:tr>
      <w:tr>
        <w:trPr>
          <w:cantSplit/>
        </w:trPr>
        <w:tc>
          <w:tcPr>
            <w:tcW w:type="dxa" w:w="2880"/>
          </w:tcPr>
          <w:p>
            <w:pPr>
              <w:spacing w:before="40" w:after="40" w:line="240" w:lineRule="auto"/>
            </w:pPr>
            <w:r>
              <w:rPr>
                <w:sz w:val="19"/>
              </w:rPr>
              <w:t>planning.py</w:t>
            </w:r>
          </w:p>
        </w:tc>
        <w:tc>
          <w:tcPr>
            <w:tcW w:type="dxa" w:w="6480"/>
          </w:tcPr>
          <w:p>
            <w:pPr>
              <w:spacing w:before="40" w:after="40" w:line="240" w:lineRule="auto"/>
            </w:pPr>
            <w:r>
              <w:rPr>
                <w:sz w:val="19"/>
              </w:rPr>
              <w:t>Bounded Boolean breadth-first search for one role; candidates go through the normal checker.</w:t>
            </w:r>
          </w:p>
        </w:tc>
      </w:tr>
      <w:tr>
        <w:trPr>
          <w:cantSplit/>
        </w:trPr>
        <w:tc>
          <w:tcPr>
            <w:tcW w:type="dxa" w:w="2880"/>
          </w:tcPr>
          <w:p>
            <w:pPr>
              <w:spacing w:before="40" w:after="40" w:line="240" w:lineRule="auto"/>
            </w:pPr>
            <w:r>
              <w:rPr>
                <w:sz w:val="19"/>
              </w:rPr>
              <w:t>session.py / checker.py</w:t>
            </w:r>
          </w:p>
        </w:tc>
        <w:tc>
          <w:tcPr>
            <w:tcW w:type="dxa" w:w="6480"/>
          </w:tcPr>
          <w:p>
            <w:pPr>
              <w:spacing w:before="40" w:after="40" w:line="240" w:lineRule="auto"/>
            </w:pPr>
            <w:r>
              <w:rPr>
                <w:sz w:val="19"/>
              </w:rPr>
              <w:t>Projection/conformance plus guarded symbolic reachability and Z3 queries.</w:t>
            </w:r>
          </w:p>
        </w:tc>
      </w:tr>
      <w:tr>
        <w:trPr>
          <w:cantSplit/>
        </w:trPr>
        <w:tc>
          <w:tcPr>
            <w:tcW w:type="dxa" w:w="2880"/>
          </w:tcPr>
          <w:p>
            <w:pPr>
              <w:spacing w:before="40" w:after="40" w:line="240" w:lineRule="auto"/>
            </w:pPr>
            <w:r>
              <w:rPr>
                <w:sz w:val="19"/>
              </w:rPr>
              <w:t>cli.py / Verdict</w:t>
            </w:r>
          </w:p>
        </w:tc>
        <w:tc>
          <w:tcPr>
            <w:tcW w:type="dxa" w:w="6480"/>
          </w:tcPr>
          <w:p>
            <w:pPr>
              <w:spacing w:before="40" w:after="40" w:line="240" w:lineRule="auto"/>
            </w:pPr>
            <w:r>
              <w:rPr>
                <w:sz w:val="19"/>
              </w:rPr>
              <w:t>Machine-readable identity, scope, witness/frontier and obligations; distinct exit codes.</w:t>
            </w:r>
          </w:p>
        </w:tc>
      </w:tr>
    </w:tbl>
    <w:p>
      <w:pPr>
        <w:spacing w:after="40" w:line="20" w:lineRule="exact"/>
      </w:pPr>
      <w:r>
        <w:rPr>
          <w:sz w:val="2"/>
        </w:rPr>
      </w:r>
    </w:p>
    <w:p>
      <w:r>
        <w:rPr>
          <w:b/>
        </w:rPr>
        <w:t xml:space="preserve">Ordering matters. </w:t>
      </w:r>
      <w:r>
        <w:t>The goal-only CLI path first builds a context-only pack from the reviewed contract. A capability-context certificate can end the request before LLM compaction. If no such certificate exists, the caller may request supported deterministic synthesis or use extraction. Context preflight is conservative: its failure to refute is not an admission.</w:t>
      </w:r>
    </w:p>
    <w:p>
      <w:r>
        <w:rPr>
          <w:b/>
        </w:rPr>
        <w:t xml:space="preserve">Positive planning is deliberately narrow. </w:t>
      </w:r>
      <w:r>
        <w:t>The planner respects guards and delete effects, uses a visited state set and a default 5,000-state limit, and returns an explicit abstention for unsupported multi-role/numeric synthesis or exhausted/limited search. It proposes a new protocol; it does not retroactively certify the source's original protocol. The checker itself supports a broader fragment.</w:t>
      </w:r>
    </w:p>
    <w:p>
      <w:r>
        <w:t>Default scope validates a declared protocol. Goal scope must not turn NON_PROJECTABLE or NON_CONFORMANT into a universal business-goal claim. If no independent context refutation is available, that rejection becomes UNKNOWN/PROTOCOL_ONLY.</w:t>
      </w:r>
    </w:p>
    <w:p>
      <w:pPr>
        <w:pStyle w:val="Heading1"/>
        <w:pageBreakBefore/>
      </w:pPr>
      <w:r>
        <w:t>S3. Worked cases from the paper and repository</w:t>
      </w:r>
    </w:p>
    <w:p>
      <w:pPr>
        <w:keepNext/>
        <w:spacing w:after="40"/>
        <w:jc w:val="center"/>
      </w:pPr>
      <w:r>
        <w:drawing>
          <wp:inline xmlns:a="http://schemas.openxmlformats.org/drawingml/2006/main" xmlns:pic="http://schemas.openxmlformats.org/drawingml/2006/picture">
            <wp:extent cx="5943600" cy="1371600"/>
            <wp:docPr id="3" name="Picture 3" descr="Search establishes searched; filter requires searched; book requires filtered; email requires booked. Without email the complete booked-and-confirmation goal is unreachable."/>
            <wp:cNvGraphicFramePr>
              <a:graphicFrameLocks noChangeAspect="1"/>
            </wp:cNvGraphicFramePr>
            <a:graphic>
              <a:graphicData uri="http://schemas.openxmlformats.org/drawingml/2006/picture">
                <pic:pic>
                  <pic:nvPicPr>
                    <pic:cNvPr id="0" name="mlads_flight_case.png"/>
                    <pic:cNvPicPr/>
                  </pic:nvPicPr>
                  <pic:blipFill>
                    <a:blip r:embed="rId19"/>
                    <a:stretch>
                      <a:fillRect/>
                    </a:stretch>
                  </pic:blipFill>
                  <pic:spPr>
                    <a:xfrm>
                      <a:off x="0" y="0"/>
                      <a:ext cx="5943600" cy="1371600"/>
                    </a:xfrm>
                    <a:prstGeom prst="rect"/>
                  </pic:spPr>
                </pic:pic>
              </a:graphicData>
            </a:graphic>
          </wp:inline>
        </w:drawing>
      </w:r>
    </w:p>
    <w:p>
      <w:pPr>
        <w:keepLines/>
        <w:spacing w:after="100" w:line="240" w:lineRule="auto"/>
      </w:pPr>
      <w:r>
        <w:rPr>
          <w:sz w:val="18"/>
        </w:rPr>
        <w:t>Figure S3. Our flight example, translated into an implementation walkthrough.</w:t>
      </w:r>
    </w:p>
    <w:tbl>
      <w:tblPr>
        <w:tblW w:type="auto" w:w="0"/>
        <w:tblLayout w:type="fixed"/>
        <w:tblLook w:firstColumn="1" w:firstRow="1" w:lastColumn="0" w:lastRow="0" w:noHBand="0" w:noVBand="1" w:val="04A0"/>
        <w:tblBorders>
          <w:top w:val="single" w:sz="4" w:color="B8C5D6"/>
          <w:left w:val="single" w:sz="4" w:color="B8C5D6"/>
          <w:bottom w:val="single" w:sz="4" w:color="B8C5D6"/>
          <w:right w:val="single" w:sz="4" w:color="B8C5D6"/>
          <w:insideH w:val="single" w:sz="4" w:color="B8C5D6"/>
          <w:insideV w:val="single" w:sz="4" w:color="B8C5D6"/>
        </w:tblBorders>
      </w:tblPr>
      <w:tblGrid>
        <w:gridCol w:w="2160"/>
        <w:gridCol w:w="2880"/>
        <w:gridCol w:w="4320"/>
      </w:tblGrid>
      <w:tr>
        <w:trPr>
          <w:tblHeader/>
          <w:cantSplit/>
        </w:trPr>
        <w:tc>
          <w:tcPr>
            <w:tcW w:type="dxa" w:w="2160"/>
            <w:shd w:fill="E8EEF7"/>
          </w:tcPr>
          <w:p>
            <w:pPr>
              <w:spacing w:before="40" w:after="40" w:line="240" w:lineRule="auto"/>
            </w:pPr>
            <w:r>
              <w:rPr>
                <w:b/>
                <w:sz w:val="19"/>
              </w:rPr>
              <w:t>Capability</w:t>
            </w:r>
          </w:p>
        </w:tc>
        <w:tc>
          <w:tcPr>
            <w:tcW w:type="dxa" w:w="2880"/>
            <w:shd w:fill="E8EEF7"/>
          </w:tcPr>
          <w:p>
            <w:pPr>
              <w:spacing w:before="40" w:after="40" w:line="240" w:lineRule="auto"/>
            </w:pPr>
            <w:r>
              <w:rPr>
                <w:b/>
                <w:sz w:val="19"/>
              </w:rPr>
              <w:t>Guard</w:t>
            </w:r>
          </w:p>
        </w:tc>
        <w:tc>
          <w:tcPr>
            <w:tcW w:type="dxa" w:w="4320"/>
            <w:shd w:fill="E8EEF7"/>
          </w:tcPr>
          <w:p>
            <w:pPr>
              <w:spacing w:before="40" w:after="40" w:line="240" w:lineRule="auto"/>
            </w:pPr>
            <w:r>
              <w:rPr>
                <w:b/>
                <w:sz w:val="19"/>
              </w:rPr>
              <w:t>Fact established</w:t>
            </w:r>
          </w:p>
        </w:tc>
      </w:tr>
      <w:tr>
        <w:trPr>
          <w:cantSplit/>
        </w:trPr>
        <w:tc>
          <w:tcPr>
            <w:tcW w:type="dxa" w:w="2160"/>
          </w:tcPr>
          <w:p>
            <w:pPr>
              <w:spacing w:before="40" w:after="40" w:line="240" w:lineRule="auto"/>
            </w:pPr>
            <w:r>
              <w:rPr>
                <w:sz w:val="19"/>
              </w:rPr>
              <w:t>search</w:t>
            </w:r>
          </w:p>
        </w:tc>
        <w:tc>
          <w:tcPr>
            <w:tcW w:type="dxa" w:w="2880"/>
          </w:tcPr>
          <w:p>
            <w:pPr>
              <w:spacing w:before="40" w:after="40" w:line="240" w:lineRule="auto"/>
            </w:pPr>
            <w:r>
              <w:rPr>
                <w:sz w:val="19"/>
              </w:rPr>
              <w:t>true</w:t>
            </w:r>
          </w:p>
        </w:tc>
        <w:tc>
          <w:tcPr>
            <w:tcW w:type="dxa" w:w="4320"/>
          </w:tcPr>
          <w:p>
            <w:pPr>
              <w:spacing w:before="40" w:after="40" w:line="240" w:lineRule="auto"/>
            </w:pPr>
            <w:r>
              <w:rPr>
                <w:sz w:val="19"/>
              </w:rPr>
              <w:t>searched</w:t>
            </w:r>
          </w:p>
        </w:tc>
      </w:tr>
      <w:tr>
        <w:trPr>
          <w:cantSplit/>
        </w:trPr>
        <w:tc>
          <w:tcPr>
            <w:tcW w:type="dxa" w:w="2160"/>
          </w:tcPr>
          <w:p>
            <w:pPr>
              <w:spacing w:before="40" w:after="40" w:line="240" w:lineRule="auto"/>
            </w:pPr>
            <w:r>
              <w:rPr>
                <w:sz w:val="19"/>
              </w:rPr>
              <w:t>filter</w:t>
            </w:r>
          </w:p>
        </w:tc>
        <w:tc>
          <w:tcPr>
            <w:tcW w:type="dxa" w:w="2880"/>
          </w:tcPr>
          <w:p>
            <w:pPr>
              <w:spacing w:before="40" w:after="40" w:line="240" w:lineRule="auto"/>
            </w:pPr>
            <w:r>
              <w:rPr>
                <w:sz w:val="19"/>
              </w:rPr>
              <w:t>searched</w:t>
            </w:r>
          </w:p>
        </w:tc>
        <w:tc>
          <w:tcPr>
            <w:tcW w:type="dxa" w:w="4320"/>
          </w:tcPr>
          <w:p>
            <w:pPr>
              <w:spacing w:before="40" w:after="40" w:line="240" w:lineRule="auto"/>
            </w:pPr>
            <w:r>
              <w:rPr>
                <w:sz w:val="19"/>
              </w:rPr>
              <w:t>filtered</w:t>
            </w:r>
          </w:p>
        </w:tc>
      </w:tr>
      <w:tr>
        <w:trPr>
          <w:cantSplit/>
        </w:trPr>
        <w:tc>
          <w:tcPr>
            <w:tcW w:type="dxa" w:w="2160"/>
          </w:tcPr>
          <w:p>
            <w:pPr>
              <w:spacing w:before="40" w:after="40" w:line="240" w:lineRule="auto"/>
            </w:pPr>
            <w:r>
              <w:rPr>
                <w:sz w:val="19"/>
              </w:rPr>
              <w:t>book</w:t>
            </w:r>
          </w:p>
        </w:tc>
        <w:tc>
          <w:tcPr>
            <w:tcW w:type="dxa" w:w="2880"/>
          </w:tcPr>
          <w:p>
            <w:pPr>
              <w:spacing w:before="40" w:after="40" w:line="240" w:lineRule="auto"/>
            </w:pPr>
            <w:r>
              <w:rPr>
                <w:sz w:val="19"/>
              </w:rPr>
              <w:t>filtered</w:t>
            </w:r>
          </w:p>
        </w:tc>
        <w:tc>
          <w:tcPr>
            <w:tcW w:type="dxa" w:w="4320"/>
          </w:tcPr>
          <w:p>
            <w:pPr>
              <w:spacing w:before="40" w:after="40" w:line="240" w:lineRule="auto"/>
            </w:pPr>
            <w:r>
              <w:rPr>
                <w:sz w:val="19"/>
              </w:rPr>
              <w:t>booked</w:t>
            </w:r>
          </w:p>
        </w:tc>
      </w:tr>
      <w:tr>
        <w:trPr>
          <w:cantSplit/>
        </w:trPr>
        <w:tc>
          <w:tcPr>
            <w:tcW w:type="dxa" w:w="2160"/>
          </w:tcPr>
          <w:p>
            <w:pPr>
              <w:spacing w:before="40" w:after="40" w:line="240" w:lineRule="auto"/>
            </w:pPr>
            <w:r>
              <w:rPr>
                <w:sz w:val="19"/>
              </w:rPr>
              <w:t>email</w:t>
            </w:r>
          </w:p>
        </w:tc>
        <w:tc>
          <w:tcPr>
            <w:tcW w:type="dxa" w:w="2880"/>
          </w:tcPr>
          <w:p>
            <w:pPr>
              <w:spacing w:before="40" w:after="40" w:line="240" w:lineRule="auto"/>
            </w:pPr>
            <w:r>
              <w:rPr>
                <w:sz w:val="19"/>
              </w:rPr>
              <w:t>booked</w:t>
            </w:r>
          </w:p>
        </w:tc>
        <w:tc>
          <w:tcPr>
            <w:tcW w:type="dxa" w:w="4320"/>
          </w:tcPr>
          <w:p>
            <w:pPr>
              <w:spacing w:before="40" w:after="40" w:line="240" w:lineRule="auto"/>
            </w:pPr>
            <w:r>
              <w:rPr>
                <w:sz w:val="19"/>
              </w:rPr>
              <w:t>confirmation_sent</w:t>
            </w:r>
          </w:p>
        </w:tc>
      </w:tr>
    </w:tbl>
    <w:p>
      <w:pPr>
        <w:spacing w:after="40" w:line="20" w:lineRule="exact"/>
      </w:pPr>
      <w:r>
        <w:rPr>
          <w:sz w:val="2"/>
        </w:rPr>
      </w:r>
    </w:p>
    <w:p>
      <w:r>
        <w:t>Start with none of these facts true. Under the declared frame assumption, a context containing search, filter, and book can reach booked but has no producer of confirmation_sent. The full conjunction is impossible in that context. Adding email enables search -&gt; filter -&gt; book -&gt; email. The actual sending of the message remains a runtime obligation; the checker cannot infer delivery from an unreliable tool declaration.</w:t>
      </w:r>
    </w:p>
    <w:p>
      <w:pPr>
        <w:keepNext/>
        <w:spacing w:after="40"/>
        <w:jc w:val="center"/>
      </w:pPr>
      <w:r>
        <w:drawing>
          <wp:inline xmlns:a="http://schemas.openxmlformats.org/drawingml/2006/main" xmlns:pic="http://schemas.openxmlformats.org/drawingml/2006/picture">
            <wp:extent cx="5943600" cy="1600200"/>
            <wp:docPr id="4" name="Picture 4" descr="The planner privately chooses one of two branches. A downstream role lacks the message needed to choose the matching action. Repair adds the distinguishing branch label and rechecks."/>
            <wp:cNvGraphicFramePr>
              <a:graphicFrameLocks noChangeAspect="1"/>
            </wp:cNvGraphicFramePr>
            <a:graphic>
              <a:graphicData uri="http://schemas.openxmlformats.org/drawingml/2006/picture">
                <pic:pic>
                  <pic:nvPicPr>
                    <pic:cNvPr id="0" name="mlads_coordination_case.png"/>
                    <pic:cNvPicPr/>
                  </pic:nvPicPr>
                  <pic:blipFill>
                    <a:blip r:embed="rId20"/>
                    <a:stretch>
                      <a:fillRect/>
                    </a:stretch>
                  </pic:blipFill>
                  <pic:spPr>
                    <a:xfrm>
                      <a:off x="0" y="0"/>
                      <a:ext cx="5943600" cy="1600200"/>
                    </a:xfrm>
                    <a:prstGeom prst="rect"/>
                  </pic:spPr>
                </pic:pic>
              </a:graphicData>
            </a:graphic>
          </wp:inline>
        </w:drawing>
      </w:r>
    </w:p>
    <w:p>
      <w:pPr>
        <w:keepLines/>
        <w:spacing w:after="100" w:line="240" w:lineRule="auto"/>
      </w:pPr>
      <w:r>
        <w:rPr>
          <w:sz w:val="18"/>
        </w:rPr>
        <w:t>Figure S4. Unobserved-choice failure and protocol repair, adapted from the paper's coordination case.</w:t>
      </w:r>
    </w:p>
    <w:p>
      <w:r>
        <w:t>The paper also motivates a handoff where both parties wait for an incoming message, so neither can begin. More retries cannot create the absent send. These examples illustrate declared-protocol failure, not evidence that every alternative protocol fails.</w:t>
      </w:r>
    </w:p>
    <w:tbl>
      <w:tblPr>
        <w:tblW w:type="auto" w:w="0"/>
        <w:tblLayout w:type="fixed"/>
        <w:tblLook w:firstColumn="1" w:firstRow="1" w:lastColumn="0" w:lastRow="0" w:noHBand="0" w:noVBand="1" w:val="04A0"/>
        <w:tblBorders>
          <w:top w:val="single" w:sz="4" w:color="B8C5D6"/>
          <w:left w:val="single" w:sz="4" w:color="B8C5D6"/>
          <w:bottom w:val="single" w:sz="4" w:color="B8C5D6"/>
          <w:right w:val="single" w:sz="4" w:color="B8C5D6"/>
          <w:insideH w:val="single" w:sz="4" w:color="B8C5D6"/>
          <w:insideV w:val="single" w:sz="4" w:color="B8C5D6"/>
        </w:tblBorders>
      </w:tblPr>
      <w:tblGrid>
        <w:gridCol w:w="2160"/>
        <w:gridCol w:w="3600"/>
        <w:gridCol w:w="3600"/>
      </w:tblGrid>
      <w:tr>
        <w:trPr>
          <w:tblHeader/>
          <w:cantSplit/>
        </w:trPr>
        <w:tc>
          <w:tcPr>
            <w:tcW w:type="dxa" w:w="2160"/>
            <w:shd w:fill="E8EEF7"/>
          </w:tcPr>
          <w:p>
            <w:pPr>
              <w:spacing w:before="40" w:after="40" w:line="240" w:lineRule="auto"/>
            </w:pPr>
            <w:r>
              <w:rPr>
                <w:b/>
                <w:sz w:val="19"/>
              </w:rPr>
              <w:t>Additional case</w:t>
            </w:r>
          </w:p>
        </w:tc>
        <w:tc>
          <w:tcPr>
            <w:tcW w:type="dxa" w:w="3600"/>
            <w:shd w:fill="E8EEF7"/>
          </w:tcPr>
          <w:p>
            <w:pPr>
              <w:spacing w:before="40" w:after="40" w:line="240" w:lineRule="auto"/>
            </w:pPr>
            <w:r>
              <w:rPr>
                <w:b/>
                <w:sz w:val="19"/>
              </w:rPr>
              <w:t>What the result means</w:t>
            </w:r>
          </w:p>
        </w:tc>
        <w:tc>
          <w:tcPr>
            <w:tcW w:type="dxa" w:w="3600"/>
            <w:shd w:fill="E8EEF7"/>
          </w:tcPr>
          <w:p>
            <w:pPr>
              <w:spacing w:before="40" w:after="40" w:line="240" w:lineRule="auto"/>
            </w:pPr>
            <w:r>
              <w:rPr>
                <w:b/>
                <w:sz w:val="19"/>
              </w:rPr>
              <w:t>Practical response</w:t>
            </w:r>
          </w:p>
        </w:tc>
      </w:tr>
      <w:tr>
        <w:trPr>
          <w:cantSplit/>
        </w:trPr>
        <w:tc>
          <w:tcPr>
            <w:tcW w:type="dxa" w:w="2160"/>
          </w:tcPr>
          <w:p>
            <w:pPr>
              <w:spacing w:before="40" w:after="40" w:line="240" w:lineRule="auto"/>
            </w:pPr>
            <w:r>
              <w:rPr>
                <w:sz w:val="19"/>
              </w:rPr>
              <w:t>Budget constraint</w:t>
            </w:r>
          </w:p>
        </w:tc>
        <w:tc>
          <w:tcPr>
            <w:tcW w:type="dxa" w:w="3600"/>
          </w:tcPr>
          <w:p>
            <w:pPr>
              <w:spacing w:before="40" w:after="40" w:line="240" w:lineRule="auto"/>
            </w:pPr>
            <w:r>
              <w:rPr>
                <w:sz w:val="19"/>
              </w:rPr>
              <w:t>Every declared path violates the goal's numeric refinement.</w:t>
            </w:r>
          </w:p>
        </w:tc>
        <w:tc>
          <w:tcPr>
            <w:tcW w:type="dxa" w:w="3600"/>
          </w:tcPr>
          <w:p>
            <w:pPr>
              <w:spacing w:before="40" w:after="40" w:line="240" w:lineRule="auto"/>
            </w:pPr>
            <w:r>
              <w:rPr>
                <w:sz w:val="19"/>
              </w:rPr>
              <w:t>Review a real capability or constraint; do not silently weaken the goal.</w:t>
            </w:r>
          </w:p>
        </w:tc>
      </w:tr>
      <w:tr>
        <w:trPr>
          <w:cantSplit/>
        </w:trPr>
        <w:tc>
          <w:tcPr>
            <w:tcW w:type="dxa" w:w="2160"/>
          </w:tcPr>
          <w:p>
            <w:pPr>
              <w:spacing w:before="40" w:after="40" w:line="240" w:lineRule="auto"/>
            </w:pPr>
            <w:r>
              <w:rPr>
                <w:sz w:val="19"/>
              </w:rPr>
              <w:t>Permanently blocked guard</w:t>
            </w:r>
          </w:p>
        </w:tc>
        <w:tc>
          <w:tcPr>
            <w:tcW w:type="dxa" w:w="3600"/>
          </w:tcPr>
          <w:p>
            <w:pPr>
              <w:spacing w:before="40" w:after="40" w:line="240" w:lineRule="auto"/>
            </w:pPr>
            <w:r>
              <w:rPr>
                <w:sz w:val="19"/>
              </w:rPr>
              <w:t>The action prerequisite cannot be established.</w:t>
            </w:r>
          </w:p>
        </w:tc>
        <w:tc>
          <w:tcPr>
            <w:tcW w:type="dxa" w:w="3600"/>
          </w:tcPr>
          <w:p>
            <w:pPr>
              <w:spacing w:before="40" w:after="40" w:line="240" w:lineRule="auto"/>
            </w:pPr>
            <w:r>
              <w:rPr>
                <w:sz w:val="19"/>
              </w:rPr>
              <w:t>Fix the prerequisite or abstain; increasing retries is not a repair.</w:t>
            </w:r>
          </w:p>
        </w:tc>
      </w:tr>
      <w:tr>
        <w:trPr>
          <w:cantSplit/>
        </w:trPr>
        <w:tc>
          <w:tcPr>
            <w:tcW w:type="dxa" w:w="2160"/>
          </w:tcPr>
          <w:p>
            <w:pPr>
              <w:spacing w:before="40" w:after="40" w:line="240" w:lineRule="auto"/>
            </w:pPr>
            <w:r>
              <w:rPr>
                <w:sz w:val="19"/>
              </w:rPr>
              <w:t>Intent / payload mismatch</w:t>
            </w:r>
          </w:p>
        </w:tc>
        <w:tc>
          <w:tcPr>
            <w:tcW w:type="dxa" w:w="3600"/>
          </w:tcPr>
          <w:p>
            <w:pPr>
              <w:spacing w:before="40" w:after="40" w:line="240" w:lineRule="auto"/>
            </w:pPr>
            <w:r>
              <w:rPr>
                <w:sz w:val="19"/>
              </w:rPr>
              <w:t>A pack may be admitted while the real task fails.</w:t>
            </w:r>
          </w:p>
        </w:tc>
        <w:tc>
          <w:tcPr>
            <w:tcW w:type="dxa" w:w="3600"/>
          </w:tcPr>
          <w:p>
            <w:pPr>
              <w:spacing w:before="40" w:after="40" w:line="240" w:lineRule="auto"/>
            </w:pPr>
            <w:r>
              <w:rPr>
                <w:sz w:val="19"/>
              </w:rPr>
              <w:t>Human intent review and independent runtime postconditions.</w:t>
            </w:r>
          </w:p>
        </w:tc>
      </w:tr>
    </w:tbl>
    <w:p>
      <w:pPr>
        <w:spacing w:after="40" w:line="20" w:lineRule="exact"/>
      </w:pPr>
      <w:r>
        <w:rPr>
          <w:sz w:val="2"/>
        </w:rPr>
      </w:r>
    </w:p>
    <w:p>
      <w:pPr>
        <w:pStyle w:val="Heading1"/>
        <w:pageBreakBefore/>
      </w:pPr>
      <w:r>
        <w:t>S4. Live-backend benchmark: full comparison</w:t>
      </w:r>
    </w:p>
    <w:p>
      <w:r>
        <w:t>Each task has four profiles and one trial per configuration/profile. The gate and ungated agent share the same runtime prompt; the LLM-compaction configuration adds extraction, while the direct executor also replaces action-selection inference. Its lower token count must not be presented as admission-only savings. The backend effects are executed, not merely simulated.</w:t>
      </w:r>
    </w:p>
    <w:p>
      <w:pPr>
        <w:keepNext/>
        <w:spacing w:after="40"/>
        <w:jc w:val="center"/>
      </w:pPr>
      <w:r>
        <w:drawing>
          <wp:inline xmlns:a="http://schemas.openxmlformats.org/drawingml/2006/main" xmlns:pic="http://schemas.openxmlformats.org/drawingml/2006/picture">
            <wp:extent cx="5943600" cy="2057400"/>
            <wp:docPr id="5" name="Picture 5" descr="Four-configuration usage and completion comparison: 35220/28, 18758/28, 84334/28, and 252/27."/>
            <wp:cNvGraphicFramePr>
              <a:graphicFrameLocks noChangeAspect="1"/>
            </wp:cNvGraphicFramePr>
            <a:graphic>
              <a:graphicData uri="http://schemas.openxmlformats.org/drawingml/2006/picture">
                <pic:pic>
                  <pic:nvPicPr>
                    <pic:cNvPr id="0" name="mlads_benchmark_overview.png"/>
                    <pic:cNvPicPr/>
                  </pic:nvPicPr>
                  <pic:blipFill>
                    <a:blip r:embed="rId21"/>
                    <a:stretch>
                      <a:fillRect/>
                    </a:stretch>
                  </pic:blipFill>
                  <pic:spPr>
                    <a:xfrm>
                      <a:off x="0" y="0"/>
                      <a:ext cx="5943600" cy="2057400"/>
                    </a:xfrm>
                    <a:prstGeom prst="rect"/>
                  </pic:spPr>
                </pic:pic>
              </a:graphicData>
            </a:graphic>
          </wp:inline>
        </w:drawing>
      </w:r>
    </w:p>
    <w:p>
      <w:pPr>
        <w:keepLines/>
        <w:spacing w:after="100" w:line="240" w:lineRule="auto"/>
      </w:pPr>
      <w:r>
        <w:rPr>
          <w:sz w:val="18"/>
        </w:rPr>
        <w:t>Figure S5. Measured total tokens and completed achievable cases; all 28 negatives are rejected in every SkillC configuration, with no false rejections in this bounded matrix.</w:t>
      </w:r>
    </w:p>
    <w:tbl>
      <w:tblPr>
        <w:tblW w:type="auto" w:w="0"/>
        <w:tblLayout w:type="fixed"/>
        <w:tblLook w:firstColumn="1" w:firstRow="1" w:lastColumn="0" w:lastRow="0" w:noHBand="0" w:noVBand="1" w:val="04A0"/>
        <w:tblBorders>
          <w:top w:val="single" w:sz="4" w:color="B8C5D6"/>
          <w:left w:val="single" w:sz="4" w:color="B8C5D6"/>
          <w:bottom w:val="single" w:sz="4" w:color="B8C5D6"/>
          <w:right w:val="single" w:sz="4" w:color="B8C5D6"/>
          <w:insideH w:val="single" w:sz="4" w:color="B8C5D6"/>
          <w:insideV w:val="single" w:sz="4" w:color="B8C5D6"/>
        </w:tblBorders>
      </w:tblPr>
      <w:tblGrid>
        <w:gridCol w:w="3024"/>
        <w:gridCol w:w="1512"/>
        <w:gridCol w:w="1728"/>
        <w:gridCol w:w="1872"/>
        <w:gridCol w:w="1224"/>
      </w:tblGrid>
      <w:tr>
        <w:trPr>
          <w:tblHeader/>
          <w:cantSplit/>
        </w:trPr>
        <w:tc>
          <w:tcPr>
            <w:tcW w:type="dxa" w:w="3024"/>
            <w:shd w:fill="E8EEF7"/>
          </w:tcPr>
          <w:p>
            <w:pPr>
              <w:spacing w:before="40" w:after="40" w:line="240" w:lineRule="auto"/>
            </w:pPr>
            <w:r>
              <w:rPr>
                <w:b/>
                <w:sz w:val="18"/>
              </w:rPr>
              <w:t>Task (4 profiles)</w:t>
            </w:r>
          </w:p>
        </w:tc>
        <w:tc>
          <w:tcPr>
            <w:tcW w:type="dxa" w:w="1512"/>
            <w:shd w:fill="E8EEF7"/>
          </w:tcPr>
          <w:p>
            <w:pPr>
              <w:spacing w:before="40" w:after="40" w:line="240" w:lineRule="auto"/>
            </w:pPr>
            <w:r>
              <w:rPr>
                <w:b/>
                <w:sz w:val="18"/>
              </w:rPr>
              <w:t>Ungated</w:t>
            </w:r>
          </w:p>
        </w:tc>
        <w:tc>
          <w:tcPr>
            <w:tcW w:type="dxa" w:w="1728"/>
            <w:shd w:fill="E8EEF7"/>
          </w:tcPr>
          <w:p>
            <w:pPr>
              <w:spacing w:before="40" w:after="40" w:line="240" w:lineRule="auto"/>
            </w:pPr>
            <w:r>
              <w:rPr>
                <w:b/>
                <w:sz w:val="18"/>
              </w:rPr>
              <w:t>Gate + agent</w:t>
            </w:r>
          </w:p>
        </w:tc>
        <w:tc>
          <w:tcPr>
            <w:tcW w:type="dxa" w:w="1872"/>
            <w:shd w:fill="E8EEF7"/>
          </w:tcPr>
          <w:p>
            <w:pPr>
              <w:spacing w:before="40" w:after="40" w:line="240" w:lineRule="auto"/>
            </w:pPr>
            <w:r>
              <w:rPr>
                <w:b/>
                <w:sz w:val="18"/>
              </w:rPr>
              <w:t>LLM + agent</w:t>
            </w:r>
          </w:p>
        </w:tc>
        <w:tc>
          <w:tcPr>
            <w:tcW w:type="dxa" w:w="1224"/>
            <w:shd w:fill="E8EEF7"/>
          </w:tcPr>
          <w:p>
            <w:pPr>
              <w:spacing w:before="40" w:after="40" w:line="240" w:lineRule="auto"/>
            </w:pPr>
            <w:r>
              <w:rPr>
                <w:b/>
                <w:sz w:val="18"/>
              </w:rPr>
              <w:t>Plan</w:t>
            </w:r>
          </w:p>
        </w:tc>
      </w:tr>
      <w:tr>
        <w:trPr>
          <w:cantSplit/>
        </w:trPr>
        <w:tc>
          <w:tcPr>
            <w:tcW w:type="dxa" w:w="3024"/>
          </w:tcPr>
          <w:p>
            <w:pPr>
              <w:spacing w:before="40" w:after="40" w:line="240" w:lineRule="auto"/>
            </w:pPr>
            <w:r>
              <w:rPr>
                <w:sz w:val="18"/>
              </w:rPr>
              <w:t>CSV sales</w:t>
            </w:r>
          </w:p>
        </w:tc>
        <w:tc>
          <w:tcPr>
            <w:tcW w:type="dxa" w:w="1512"/>
          </w:tcPr>
          <w:p>
            <w:pPr>
              <w:spacing w:before="40" w:after="40" w:line="240" w:lineRule="auto"/>
            </w:pPr>
            <w:r>
              <w:rPr>
                <w:sz w:val="18"/>
              </w:rPr>
              <w:t>1,888</w:t>
            </w:r>
          </w:p>
        </w:tc>
        <w:tc>
          <w:tcPr>
            <w:tcW w:type="dxa" w:w="1728"/>
          </w:tcPr>
          <w:p>
            <w:pPr>
              <w:spacing w:before="40" w:after="40" w:line="240" w:lineRule="auto"/>
            </w:pPr>
            <w:r>
              <w:rPr>
                <w:sz w:val="18"/>
              </w:rPr>
              <w:t>1,258</w:t>
            </w:r>
          </w:p>
        </w:tc>
        <w:tc>
          <w:tcPr>
            <w:tcW w:type="dxa" w:w="1872"/>
          </w:tcPr>
          <w:p>
            <w:pPr>
              <w:spacing w:before="40" w:after="40" w:line="240" w:lineRule="auto"/>
            </w:pPr>
            <w:r>
              <w:rPr>
                <w:sz w:val="18"/>
              </w:rPr>
              <w:t>4,041</w:t>
            </w:r>
          </w:p>
        </w:tc>
        <w:tc>
          <w:tcPr>
            <w:tcW w:type="dxa" w:w="1224"/>
          </w:tcPr>
          <w:p>
            <w:pPr>
              <w:spacing w:before="40" w:after="40" w:line="240" w:lineRule="auto"/>
            </w:pPr>
            <w:r>
              <w:rPr>
                <w:sz w:val="18"/>
              </w:rPr>
              <w:t>0</w:t>
            </w:r>
          </w:p>
        </w:tc>
      </w:tr>
      <w:tr>
        <w:trPr>
          <w:cantSplit/>
        </w:trPr>
        <w:tc>
          <w:tcPr>
            <w:tcW w:type="dxa" w:w="3024"/>
          </w:tcPr>
          <w:p>
            <w:pPr>
              <w:spacing w:before="40" w:after="40" w:line="240" w:lineRule="auto"/>
            </w:pPr>
            <w:r>
              <w:rPr>
                <w:sz w:val="18"/>
              </w:rPr>
              <w:t>SQLite orders</w:t>
            </w:r>
          </w:p>
        </w:tc>
        <w:tc>
          <w:tcPr>
            <w:tcW w:type="dxa" w:w="1512"/>
          </w:tcPr>
          <w:p>
            <w:pPr>
              <w:spacing w:before="40" w:after="40" w:line="240" w:lineRule="auto"/>
            </w:pPr>
            <w:r>
              <w:rPr>
                <w:sz w:val="18"/>
              </w:rPr>
              <w:t>2,251</w:t>
            </w:r>
          </w:p>
        </w:tc>
        <w:tc>
          <w:tcPr>
            <w:tcW w:type="dxa" w:w="1728"/>
          </w:tcPr>
          <w:p>
            <w:pPr>
              <w:spacing w:before="40" w:after="40" w:line="240" w:lineRule="auto"/>
            </w:pPr>
            <w:r>
              <w:rPr>
                <w:sz w:val="18"/>
              </w:rPr>
              <w:t>1,262</w:t>
            </w:r>
          </w:p>
        </w:tc>
        <w:tc>
          <w:tcPr>
            <w:tcW w:type="dxa" w:w="1872"/>
          </w:tcPr>
          <w:p>
            <w:pPr>
              <w:spacing w:before="40" w:after="40" w:line="240" w:lineRule="auto"/>
            </w:pPr>
            <w:r>
              <w:rPr>
                <w:sz w:val="18"/>
              </w:rPr>
              <w:t>4,042</w:t>
            </w:r>
          </w:p>
        </w:tc>
        <w:tc>
          <w:tcPr>
            <w:tcW w:type="dxa" w:w="1224"/>
          </w:tcPr>
          <w:p>
            <w:pPr>
              <w:spacing w:before="40" w:after="40" w:line="240" w:lineRule="auto"/>
            </w:pPr>
            <w:r>
              <w:rPr>
                <w:sz w:val="18"/>
              </w:rPr>
              <w:t>0</w:t>
            </w:r>
          </w:p>
        </w:tc>
      </w:tr>
      <w:tr>
        <w:trPr>
          <w:cantSplit/>
        </w:trPr>
        <w:tc>
          <w:tcPr>
            <w:tcW w:type="dxa" w:w="3024"/>
          </w:tcPr>
          <w:p>
            <w:pPr>
              <w:spacing w:before="40" w:after="40" w:line="240" w:lineRule="auto"/>
            </w:pPr>
            <w:r>
              <w:rPr>
                <w:sz w:val="18"/>
              </w:rPr>
              <w:t>Git diff</w:t>
            </w:r>
          </w:p>
        </w:tc>
        <w:tc>
          <w:tcPr>
            <w:tcW w:type="dxa" w:w="1512"/>
          </w:tcPr>
          <w:p>
            <w:pPr>
              <w:spacing w:before="40" w:after="40" w:line="240" w:lineRule="auto"/>
            </w:pPr>
            <w:r>
              <w:rPr>
                <w:sz w:val="18"/>
              </w:rPr>
              <w:t>2,982</w:t>
            </w:r>
          </w:p>
        </w:tc>
        <w:tc>
          <w:tcPr>
            <w:tcW w:type="dxa" w:w="1728"/>
          </w:tcPr>
          <w:p>
            <w:pPr>
              <w:spacing w:before="40" w:after="40" w:line="240" w:lineRule="auto"/>
            </w:pPr>
            <w:r>
              <w:rPr>
                <w:sz w:val="18"/>
              </w:rPr>
              <w:t>1,252</w:t>
            </w:r>
          </w:p>
        </w:tc>
        <w:tc>
          <w:tcPr>
            <w:tcW w:type="dxa" w:w="1872"/>
          </w:tcPr>
          <w:p>
            <w:pPr>
              <w:spacing w:before="40" w:after="40" w:line="240" w:lineRule="auto"/>
            </w:pPr>
            <w:r>
              <w:rPr>
                <w:sz w:val="18"/>
              </w:rPr>
              <w:t>4,032</w:t>
            </w:r>
          </w:p>
        </w:tc>
        <w:tc>
          <w:tcPr>
            <w:tcW w:type="dxa" w:w="1224"/>
          </w:tcPr>
          <w:p>
            <w:pPr>
              <w:spacing w:before="40" w:after="40" w:line="240" w:lineRule="auto"/>
            </w:pPr>
            <w:r>
              <w:rPr>
                <w:sz w:val="18"/>
              </w:rPr>
              <w:t>0</w:t>
            </w:r>
          </w:p>
        </w:tc>
      </w:tr>
      <w:tr>
        <w:trPr>
          <w:cantSplit/>
        </w:trPr>
        <w:tc>
          <w:tcPr>
            <w:tcW w:type="dxa" w:w="3024"/>
          </w:tcPr>
          <w:p>
            <w:pPr>
              <w:spacing w:before="40" w:after="40" w:line="240" w:lineRule="auto"/>
            </w:pPr>
            <w:r>
              <w:rPr>
                <w:sz w:val="18"/>
              </w:rPr>
              <w:t>ZIP manifest</w:t>
            </w:r>
          </w:p>
        </w:tc>
        <w:tc>
          <w:tcPr>
            <w:tcW w:type="dxa" w:w="1512"/>
          </w:tcPr>
          <w:p>
            <w:pPr>
              <w:spacing w:before="40" w:after="40" w:line="240" w:lineRule="auto"/>
            </w:pPr>
            <w:r>
              <w:rPr>
                <w:sz w:val="18"/>
              </w:rPr>
              <w:t>2,197</w:t>
            </w:r>
          </w:p>
        </w:tc>
        <w:tc>
          <w:tcPr>
            <w:tcW w:type="dxa" w:w="1728"/>
          </w:tcPr>
          <w:p>
            <w:pPr>
              <w:spacing w:before="40" w:after="40" w:line="240" w:lineRule="auto"/>
            </w:pPr>
            <w:r>
              <w:rPr>
                <w:sz w:val="18"/>
              </w:rPr>
              <w:t>1,248</w:t>
            </w:r>
          </w:p>
        </w:tc>
        <w:tc>
          <w:tcPr>
            <w:tcW w:type="dxa" w:w="1872"/>
          </w:tcPr>
          <w:p>
            <w:pPr>
              <w:spacing w:before="40" w:after="40" w:line="240" w:lineRule="auto"/>
            </w:pPr>
            <w:r>
              <w:rPr>
                <w:sz w:val="18"/>
              </w:rPr>
              <w:t>4,020</w:t>
            </w:r>
          </w:p>
        </w:tc>
        <w:tc>
          <w:tcPr>
            <w:tcW w:type="dxa" w:w="1224"/>
          </w:tcPr>
          <w:p>
            <w:pPr>
              <w:spacing w:before="40" w:after="40" w:line="240" w:lineRule="auto"/>
            </w:pPr>
            <w:r>
              <w:rPr>
                <w:sz w:val="18"/>
              </w:rPr>
              <w:t>0</w:t>
            </w:r>
          </w:p>
        </w:tc>
      </w:tr>
      <w:tr>
        <w:trPr>
          <w:cantSplit/>
        </w:trPr>
        <w:tc>
          <w:tcPr>
            <w:tcW w:type="dxa" w:w="3024"/>
          </w:tcPr>
          <w:p>
            <w:pPr>
              <w:spacing w:before="40" w:after="40" w:line="240" w:lineRule="auto"/>
            </w:pPr>
            <w:r>
              <w:rPr>
                <w:sz w:val="18"/>
              </w:rPr>
              <w:t>Thumbnail</w:t>
            </w:r>
          </w:p>
        </w:tc>
        <w:tc>
          <w:tcPr>
            <w:tcW w:type="dxa" w:w="1512"/>
          </w:tcPr>
          <w:p>
            <w:pPr>
              <w:spacing w:before="40" w:after="40" w:line="240" w:lineRule="auto"/>
            </w:pPr>
            <w:r>
              <w:rPr>
                <w:sz w:val="18"/>
              </w:rPr>
              <w:t>2,192</w:t>
            </w:r>
          </w:p>
        </w:tc>
        <w:tc>
          <w:tcPr>
            <w:tcW w:type="dxa" w:w="1728"/>
          </w:tcPr>
          <w:p>
            <w:pPr>
              <w:spacing w:before="40" w:after="40" w:line="240" w:lineRule="auto"/>
            </w:pPr>
            <w:r>
              <w:rPr>
                <w:sz w:val="18"/>
              </w:rPr>
              <w:t>1,258</w:t>
            </w:r>
          </w:p>
        </w:tc>
        <w:tc>
          <w:tcPr>
            <w:tcW w:type="dxa" w:w="1872"/>
          </w:tcPr>
          <w:p>
            <w:pPr>
              <w:spacing w:before="40" w:after="40" w:line="240" w:lineRule="auto"/>
            </w:pPr>
            <w:r>
              <w:rPr>
                <w:sz w:val="18"/>
              </w:rPr>
              <w:t>4,031</w:t>
            </w:r>
          </w:p>
        </w:tc>
        <w:tc>
          <w:tcPr>
            <w:tcW w:type="dxa" w:w="1224"/>
          </w:tcPr>
          <w:p>
            <w:pPr>
              <w:spacing w:before="40" w:after="40" w:line="240" w:lineRule="auto"/>
            </w:pPr>
            <w:r>
              <w:rPr>
                <w:sz w:val="18"/>
              </w:rPr>
              <w:t>0</w:t>
            </w:r>
          </w:p>
        </w:tc>
      </w:tr>
      <w:tr>
        <w:trPr>
          <w:cantSplit/>
        </w:trPr>
        <w:tc>
          <w:tcPr>
            <w:tcW w:type="dxa" w:w="3024"/>
          </w:tcPr>
          <w:p>
            <w:pPr>
              <w:spacing w:before="40" w:after="40" w:line="240" w:lineRule="auto"/>
            </w:pPr>
            <w:r>
              <w:rPr>
                <w:sz w:val="18"/>
              </w:rPr>
              <w:t>HTTP catalog</w:t>
            </w:r>
          </w:p>
        </w:tc>
        <w:tc>
          <w:tcPr>
            <w:tcW w:type="dxa" w:w="1512"/>
          </w:tcPr>
          <w:p>
            <w:pPr>
              <w:spacing w:before="40" w:after="40" w:line="240" w:lineRule="auto"/>
            </w:pPr>
            <w:r>
              <w:rPr>
                <w:sz w:val="18"/>
              </w:rPr>
              <w:t>3,105</w:t>
            </w:r>
          </w:p>
        </w:tc>
        <w:tc>
          <w:tcPr>
            <w:tcW w:type="dxa" w:w="1728"/>
          </w:tcPr>
          <w:p>
            <w:pPr>
              <w:spacing w:before="40" w:after="40" w:line="240" w:lineRule="auto"/>
            </w:pPr>
            <w:r>
              <w:rPr>
                <w:sz w:val="18"/>
              </w:rPr>
              <w:t>1,276</w:t>
            </w:r>
          </w:p>
        </w:tc>
        <w:tc>
          <w:tcPr>
            <w:tcW w:type="dxa" w:w="1872"/>
          </w:tcPr>
          <w:p>
            <w:pPr>
              <w:spacing w:before="40" w:after="40" w:line="240" w:lineRule="auto"/>
            </w:pPr>
            <w:r>
              <w:rPr>
                <w:sz w:val="18"/>
              </w:rPr>
              <w:t>4,066</w:t>
            </w:r>
          </w:p>
        </w:tc>
        <w:tc>
          <w:tcPr>
            <w:tcW w:type="dxa" w:w="1224"/>
          </w:tcPr>
          <w:p>
            <w:pPr>
              <w:spacing w:before="40" w:after="40" w:line="240" w:lineRule="auto"/>
            </w:pPr>
            <w:r>
              <w:rPr>
                <w:sz w:val="18"/>
              </w:rPr>
              <w:t>0</w:t>
            </w:r>
          </w:p>
        </w:tc>
      </w:tr>
      <w:tr>
        <w:trPr>
          <w:cantSplit/>
        </w:trPr>
        <w:tc>
          <w:tcPr>
            <w:tcW w:type="dxa" w:w="3024"/>
          </w:tcPr>
          <w:p>
            <w:pPr>
              <w:spacing w:before="40" w:after="40" w:line="240" w:lineRule="auto"/>
            </w:pPr>
            <w:r>
              <w:rPr>
                <w:sz w:val="18"/>
              </w:rPr>
              <w:t>Web-app testing</w:t>
            </w:r>
          </w:p>
        </w:tc>
        <w:tc>
          <w:tcPr>
            <w:tcW w:type="dxa" w:w="1512"/>
          </w:tcPr>
          <w:p>
            <w:pPr>
              <w:spacing w:before="40" w:after="40" w:line="240" w:lineRule="auto"/>
            </w:pPr>
            <w:r>
              <w:rPr>
                <w:sz w:val="18"/>
              </w:rPr>
              <w:t>2,809</w:t>
            </w:r>
          </w:p>
        </w:tc>
        <w:tc>
          <w:tcPr>
            <w:tcW w:type="dxa" w:w="1728"/>
          </w:tcPr>
          <w:p>
            <w:pPr>
              <w:spacing w:before="40" w:after="40" w:line="240" w:lineRule="auto"/>
            </w:pPr>
            <w:r>
              <w:rPr>
                <w:sz w:val="18"/>
              </w:rPr>
              <w:t>1,380</w:t>
            </w:r>
          </w:p>
        </w:tc>
        <w:tc>
          <w:tcPr>
            <w:tcW w:type="dxa" w:w="1872"/>
          </w:tcPr>
          <w:p>
            <w:pPr>
              <w:spacing w:before="40" w:after="40" w:line="240" w:lineRule="auto"/>
            </w:pPr>
            <w:r>
              <w:rPr>
                <w:sz w:val="18"/>
              </w:rPr>
              <w:t>5,926</w:t>
            </w:r>
          </w:p>
        </w:tc>
        <w:tc>
          <w:tcPr>
            <w:tcW w:type="dxa" w:w="1224"/>
          </w:tcPr>
          <w:p>
            <w:pPr>
              <w:spacing w:before="40" w:after="40" w:line="240" w:lineRule="auto"/>
            </w:pPr>
            <w:r>
              <w:rPr>
                <w:sz w:val="18"/>
              </w:rPr>
              <w:t>0</w:t>
            </w:r>
          </w:p>
        </w:tc>
      </w:tr>
      <w:tr>
        <w:trPr>
          <w:cantSplit/>
        </w:trPr>
        <w:tc>
          <w:tcPr>
            <w:tcW w:type="dxa" w:w="3024"/>
          </w:tcPr>
          <w:p>
            <w:pPr>
              <w:spacing w:before="40" w:after="40" w:line="240" w:lineRule="auto"/>
            </w:pPr>
            <w:r>
              <w:rPr>
                <w:sz w:val="18"/>
              </w:rPr>
              <w:t>Frontend rendering</w:t>
            </w:r>
          </w:p>
        </w:tc>
        <w:tc>
          <w:tcPr>
            <w:tcW w:type="dxa" w:w="1512"/>
          </w:tcPr>
          <w:p>
            <w:pPr>
              <w:spacing w:before="40" w:after="40" w:line="240" w:lineRule="auto"/>
            </w:pPr>
            <w:r>
              <w:rPr>
                <w:sz w:val="18"/>
              </w:rPr>
              <w:t>2,517</w:t>
            </w:r>
          </w:p>
        </w:tc>
        <w:tc>
          <w:tcPr>
            <w:tcW w:type="dxa" w:w="1728"/>
          </w:tcPr>
          <w:p>
            <w:pPr>
              <w:spacing w:before="40" w:after="40" w:line="240" w:lineRule="auto"/>
            </w:pPr>
            <w:r>
              <w:rPr>
                <w:sz w:val="18"/>
              </w:rPr>
              <w:t>1,422</w:t>
            </w:r>
          </w:p>
        </w:tc>
        <w:tc>
          <w:tcPr>
            <w:tcW w:type="dxa" w:w="1872"/>
          </w:tcPr>
          <w:p>
            <w:pPr>
              <w:spacing w:before="40" w:after="40" w:line="240" w:lineRule="auto"/>
            </w:pPr>
            <w:r>
              <w:rPr>
                <w:sz w:val="18"/>
              </w:rPr>
              <w:t>7,502</w:t>
            </w:r>
          </w:p>
        </w:tc>
        <w:tc>
          <w:tcPr>
            <w:tcW w:type="dxa" w:w="1224"/>
          </w:tcPr>
          <w:p>
            <w:pPr>
              <w:spacing w:before="40" w:after="40" w:line="240" w:lineRule="auto"/>
            </w:pPr>
            <w:r>
              <w:rPr>
                <w:sz w:val="18"/>
              </w:rPr>
              <w:t>0</w:t>
            </w:r>
          </w:p>
        </w:tc>
      </w:tr>
      <w:tr>
        <w:trPr>
          <w:cantSplit/>
        </w:trPr>
        <w:tc>
          <w:tcPr>
            <w:tcW w:type="dxa" w:w="3024"/>
          </w:tcPr>
          <w:p>
            <w:pPr>
              <w:spacing w:before="40" w:after="40" w:line="240" w:lineRule="auto"/>
            </w:pPr>
            <w:r>
              <w:rPr>
                <w:sz w:val="18"/>
              </w:rPr>
              <w:t>GIF creation</w:t>
            </w:r>
          </w:p>
        </w:tc>
        <w:tc>
          <w:tcPr>
            <w:tcW w:type="dxa" w:w="1512"/>
          </w:tcPr>
          <w:p>
            <w:pPr>
              <w:spacing w:before="40" w:after="40" w:line="240" w:lineRule="auto"/>
            </w:pPr>
            <w:r>
              <w:rPr>
                <w:sz w:val="18"/>
              </w:rPr>
              <w:t>2,920</w:t>
            </w:r>
          </w:p>
        </w:tc>
        <w:tc>
          <w:tcPr>
            <w:tcW w:type="dxa" w:w="1728"/>
          </w:tcPr>
          <w:p>
            <w:pPr>
              <w:spacing w:before="40" w:after="40" w:line="240" w:lineRule="auto"/>
            </w:pPr>
            <w:r>
              <w:rPr>
                <w:sz w:val="18"/>
              </w:rPr>
              <w:t>1,440</w:t>
            </w:r>
          </w:p>
        </w:tc>
        <w:tc>
          <w:tcPr>
            <w:tcW w:type="dxa" w:w="1872"/>
          </w:tcPr>
          <w:p>
            <w:pPr>
              <w:spacing w:before="40" w:after="40" w:line="240" w:lineRule="auto"/>
            </w:pPr>
            <w:r>
              <w:rPr>
                <w:sz w:val="18"/>
              </w:rPr>
              <w:t>8,196</w:t>
            </w:r>
          </w:p>
        </w:tc>
        <w:tc>
          <w:tcPr>
            <w:tcW w:type="dxa" w:w="1224"/>
          </w:tcPr>
          <w:p>
            <w:pPr>
              <w:spacing w:before="40" w:after="40" w:line="240" w:lineRule="auto"/>
            </w:pPr>
            <w:r>
              <w:rPr>
                <w:sz w:val="18"/>
              </w:rPr>
              <w:t>0</w:t>
            </w:r>
          </w:p>
        </w:tc>
      </w:tr>
      <w:tr>
        <w:trPr>
          <w:cantSplit/>
        </w:trPr>
        <w:tc>
          <w:tcPr>
            <w:tcW w:type="dxa" w:w="3024"/>
          </w:tcPr>
          <w:p>
            <w:pPr>
              <w:spacing w:before="40" w:after="40" w:line="240" w:lineRule="auto"/>
            </w:pPr>
            <w:r>
              <w:rPr>
                <w:sz w:val="18"/>
              </w:rPr>
              <w:t>Algorithmic art</w:t>
            </w:r>
          </w:p>
        </w:tc>
        <w:tc>
          <w:tcPr>
            <w:tcW w:type="dxa" w:w="1512"/>
          </w:tcPr>
          <w:p>
            <w:pPr>
              <w:spacing w:before="40" w:after="40" w:line="240" w:lineRule="auto"/>
            </w:pPr>
            <w:r>
              <w:rPr>
                <w:sz w:val="18"/>
              </w:rPr>
              <w:t>2,548</w:t>
            </w:r>
          </w:p>
        </w:tc>
        <w:tc>
          <w:tcPr>
            <w:tcW w:type="dxa" w:w="1728"/>
          </w:tcPr>
          <w:p>
            <w:pPr>
              <w:spacing w:before="40" w:after="40" w:line="240" w:lineRule="auto"/>
            </w:pPr>
            <w:r>
              <w:rPr>
                <w:sz w:val="18"/>
              </w:rPr>
              <w:t>1,428</w:t>
            </w:r>
          </w:p>
        </w:tc>
        <w:tc>
          <w:tcPr>
            <w:tcW w:type="dxa" w:w="1872"/>
          </w:tcPr>
          <w:p>
            <w:pPr>
              <w:spacing w:before="40" w:after="40" w:line="240" w:lineRule="auto"/>
            </w:pPr>
            <w:r>
              <w:rPr>
                <w:sz w:val="18"/>
              </w:rPr>
              <w:t>12,530</w:t>
            </w:r>
          </w:p>
        </w:tc>
        <w:tc>
          <w:tcPr>
            <w:tcW w:type="dxa" w:w="1224"/>
          </w:tcPr>
          <w:p>
            <w:pPr>
              <w:spacing w:before="40" w:after="40" w:line="240" w:lineRule="auto"/>
            </w:pPr>
            <w:r>
              <w:rPr>
                <w:sz w:val="18"/>
              </w:rPr>
              <w:t>0</w:t>
            </w:r>
          </w:p>
        </w:tc>
      </w:tr>
      <w:tr>
        <w:trPr>
          <w:cantSplit/>
        </w:trPr>
        <w:tc>
          <w:tcPr>
            <w:tcW w:type="dxa" w:w="3024"/>
          </w:tcPr>
          <w:p>
            <w:pPr>
              <w:spacing w:before="40" w:after="40" w:line="240" w:lineRule="auto"/>
            </w:pPr>
            <w:r>
              <w:rPr>
                <w:sz w:val="18"/>
              </w:rPr>
              <w:t>MCP roundtrip</w:t>
            </w:r>
          </w:p>
        </w:tc>
        <w:tc>
          <w:tcPr>
            <w:tcW w:type="dxa" w:w="1512"/>
          </w:tcPr>
          <w:p>
            <w:pPr>
              <w:spacing w:before="40" w:after="40" w:line="240" w:lineRule="auto"/>
            </w:pPr>
            <w:r>
              <w:rPr>
                <w:sz w:val="18"/>
              </w:rPr>
              <w:t>2,510</w:t>
            </w:r>
          </w:p>
        </w:tc>
        <w:tc>
          <w:tcPr>
            <w:tcW w:type="dxa" w:w="1728"/>
          </w:tcPr>
          <w:p>
            <w:pPr>
              <w:spacing w:before="40" w:after="40" w:line="240" w:lineRule="auto"/>
            </w:pPr>
            <w:r>
              <w:rPr>
                <w:sz w:val="18"/>
              </w:rPr>
              <w:t>1,408</w:t>
            </w:r>
          </w:p>
        </w:tc>
        <w:tc>
          <w:tcPr>
            <w:tcW w:type="dxa" w:w="1872"/>
          </w:tcPr>
          <w:p>
            <w:pPr>
              <w:spacing w:before="40" w:after="40" w:line="240" w:lineRule="auto"/>
            </w:pPr>
            <w:r>
              <w:rPr>
                <w:sz w:val="18"/>
              </w:rPr>
              <w:t>8,245</w:t>
            </w:r>
          </w:p>
        </w:tc>
        <w:tc>
          <w:tcPr>
            <w:tcW w:type="dxa" w:w="1224"/>
          </w:tcPr>
          <w:p>
            <w:pPr>
              <w:spacing w:before="40" w:after="40" w:line="240" w:lineRule="auto"/>
            </w:pPr>
            <w:r>
              <w:rPr>
                <w:sz w:val="18"/>
              </w:rPr>
              <w:t>0</w:t>
            </w:r>
          </w:p>
        </w:tc>
      </w:tr>
      <w:tr>
        <w:trPr>
          <w:cantSplit/>
        </w:trPr>
        <w:tc>
          <w:tcPr>
            <w:tcW w:type="dxa" w:w="3024"/>
          </w:tcPr>
          <w:p>
            <w:pPr>
              <w:spacing w:before="40" w:after="40" w:line="240" w:lineRule="auto"/>
            </w:pPr>
            <w:r>
              <w:rPr>
                <w:sz w:val="18"/>
              </w:rPr>
              <w:t>Dataset Viewer</w:t>
            </w:r>
          </w:p>
        </w:tc>
        <w:tc>
          <w:tcPr>
            <w:tcW w:type="dxa" w:w="1512"/>
          </w:tcPr>
          <w:p>
            <w:pPr>
              <w:spacing w:before="40" w:after="40" w:line="240" w:lineRule="auto"/>
            </w:pPr>
            <w:r>
              <w:rPr>
                <w:sz w:val="18"/>
              </w:rPr>
              <w:t>2,645</w:t>
            </w:r>
          </w:p>
        </w:tc>
        <w:tc>
          <w:tcPr>
            <w:tcW w:type="dxa" w:w="1728"/>
          </w:tcPr>
          <w:p>
            <w:pPr>
              <w:spacing w:before="40" w:after="40" w:line="240" w:lineRule="auto"/>
            </w:pPr>
            <w:r>
              <w:rPr>
                <w:sz w:val="18"/>
              </w:rPr>
              <w:t>1,490</w:t>
            </w:r>
          </w:p>
        </w:tc>
        <w:tc>
          <w:tcPr>
            <w:tcW w:type="dxa" w:w="1872"/>
          </w:tcPr>
          <w:p>
            <w:pPr>
              <w:spacing w:before="40" w:after="40" w:line="240" w:lineRule="auto"/>
            </w:pPr>
            <w:r>
              <w:rPr>
                <w:sz w:val="18"/>
              </w:rPr>
              <w:t>6,570</w:t>
            </w:r>
          </w:p>
        </w:tc>
        <w:tc>
          <w:tcPr>
            <w:tcW w:type="dxa" w:w="1224"/>
          </w:tcPr>
          <w:p>
            <w:pPr>
              <w:spacing w:before="40" w:after="40" w:line="240" w:lineRule="auto"/>
            </w:pPr>
            <w:r>
              <w:rPr>
                <w:sz w:val="18"/>
              </w:rPr>
              <w:t>0</w:t>
            </w:r>
          </w:p>
        </w:tc>
      </w:tr>
      <w:tr>
        <w:trPr>
          <w:cantSplit/>
        </w:trPr>
        <w:tc>
          <w:tcPr>
            <w:tcW w:type="dxa" w:w="3024"/>
          </w:tcPr>
          <w:p>
            <w:pPr>
              <w:spacing w:before="40" w:after="40" w:line="240" w:lineRule="auto"/>
            </w:pPr>
            <w:r>
              <w:rPr>
                <w:sz w:val="18"/>
              </w:rPr>
              <w:t>Static review</w:t>
            </w:r>
          </w:p>
        </w:tc>
        <w:tc>
          <w:tcPr>
            <w:tcW w:type="dxa" w:w="1512"/>
          </w:tcPr>
          <w:p>
            <w:pPr>
              <w:spacing w:before="40" w:after="40" w:line="240" w:lineRule="auto"/>
            </w:pPr>
            <w:r>
              <w:rPr>
                <w:sz w:val="18"/>
              </w:rPr>
              <w:t>2,991</w:t>
            </w:r>
          </w:p>
        </w:tc>
        <w:tc>
          <w:tcPr>
            <w:tcW w:type="dxa" w:w="1728"/>
          </w:tcPr>
          <w:p>
            <w:pPr>
              <w:spacing w:before="40" w:after="40" w:line="240" w:lineRule="auto"/>
            </w:pPr>
            <w:r>
              <w:rPr>
                <w:sz w:val="18"/>
              </w:rPr>
              <w:t>1,440</w:t>
            </w:r>
          </w:p>
        </w:tc>
        <w:tc>
          <w:tcPr>
            <w:tcW w:type="dxa" w:w="1872"/>
          </w:tcPr>
          <w:p>
            <w:pPr>
              <w:spacing w:before="40" w:after="40" w:line="240" w:lineRule="auto"/>
            </w:pPr>
            <w:r>
              <w:rPr>
                <w:sz w:val="18"/>
              </w:rPr>
              <w:t>7,118</w:t>
            </w:r>
          </w:p>
        </w:tc>
        <w:tc>
          <w:tcPr>
            <w:tcW w:type="dxa" w:w="1224"/>
          </w:tcPr>
          <w:p>
            <w:pPr>
              <w:spacing w:before="40" w:after="40" w:line="240" w:lineRule="auto"/>
            </w:pPr>
            <w:r>
              <w:rPr>
                <w:sz w:val="18"/>
              </w:rPr>
              <w:t>0</w:t>
            </w:r>
          </w:p>
        </w:tc>
      </w:tr>
      <w:tr>
        <w:trPr>
          <w:cantSplit/>
        </w:trPr>
        <w:tc>
          <w:tcPr>
            <w:tcW w:type="dxa" w:w="3024"/>
          </w:tcPr>
          <w:p>
            <w:pPr>
              <w:spacing w:before="40" w:after="40" w:line="240" w:lineRule="auto"/>
            </w:pPr>
            <w:r>
              <w:rPr>
                <w:sz w:val="18"/>
              </w:rPr>
              <w:t>LangExtract</w:t>
            </w:r>
          </w:p>
        </w:tc>
        <w:tc>
          <w:tcPr>
            <w:tcW w:type="dxa" w:w="1512"/>
          </w:tcPr>
          <w:p>
            <w:pPr>
              <w:spacing w:before="40" w:after="40" w:line="240" w:lineRule="auto"/>
            </w:pPr>
            <w:r>
              <w:rPr>
                <w:sz w:val="18"/>
              </w:rPr>
              <w:t>1,665</w:t>
            </w:r>
          </w:p>
        </w:tc>
        <w:tc>
          <w:tcPr>
            <w:tcW w:type="dxa" w:w="1728"/>
          </w:tcPr>
          <w:p>
            <w:pPr>
              <w:spacing w:before="40" w:after="40" w:line="240" w:lineRule="auto"/>
            </w:pPr>
            <w:r>
              <w:rPr>
                <w:sz w:val="18"/>
              </w:rPr>
              <w:t>1,196</w:t>
            </w:r>
          </w:p>
        </w:tc>
        <w:tc>
          <w:tcPr>
            <w:tcW w:type="dxa" w:w="1872"/>
          </w:tcPr>
          <w:p>
            <w:pPr>
              <w:spacing w:before="40" w:after="40" w:line="240" w:lineRule="auto"/>
            </w:pPr>
            <w:r>
              <w:rPr>
                <w:sz w:val="18"/>
              </w:rPr>
              <w:t>4,015</w:t>
            </w:r>
          </w:p>
        </w:tc>
        <w:tc>
          <w:tcPr>
            <w:tcW w:type="dxa" w:w="1224"/>
          </w:tcPr>
          <w:p>
            <w:pPr>
              <w:spacing w:before="40" w:after="40" w:line="240" w:lineRule="auto"/>
            </w:pPr>
            <w:r>
              <w:rPr>
                <w:sz w:val="18"/>
              </w:rPr>
              <w:t>252</w:t>
            </w:r>
          </w:p>
        </w:tc>
      </w:tr>
      <w:tr>
        <w:trPr>
          <w:cantSplit/>
        </w:trPr>
        <w:tc>
          <w:tcPr>
            <w:tcW w:type="dxa" w:w="3024"/>
          </w:tcPr>
          <w:p>
            <w:pPr>
              <w:spacing w:before="40" w:after="40" w:line="240" w:lineRule="auto"/>
            </w:pPr>
            <w:r>
              <w:rPr>
                <w:sz w:val="18"/>
              </w:rPr>
              <w:t>Total</w:t>
            </w:r>
          </w:p>
        </w:tc>
        <w:tc>
          <w:tcPr>
            <w:tcW w:type="dxa" w:w="1512"/>
          </w:tcPr>
          <w:p>
            <w:pPr>
              <w:spacing w:before="40" w:after="40" w:line="240" w:lineRule="auto"/>
            </w:pPr>
            <w:r>
              <w:rPr>
                <w:sz w:val="18"/>
              </w:rPr>
              <w:t>35,220</w:t>
            </w:r>
          </w:p>
        </w:tc>
        <w:tc>
          <w:tcPr>
            <w:tcW w:type="dxa" w:w="1728"/>
          </w:tcPr>
          <w:p>
            <w:pPr>
              <w:spacing w:before="40" w:after="40" w:line="240" w:lineRule="auto"/>
            </w:pPr>
            <w:r>
              <w:rPr>
                <w:sz w:val="18"/>
              </w:rPr>
              <w:t>18,758</w:t>
            </w:r>
          </w:p>
        </w:tc>
        <w:tc>
          <w:tcPr>
            <w:tcW w:type="dxa" w:w="1872"/>
          </w:tcPr>
          <w:p>
            <w:pPr>
              <w:spacing w:before="40" w:after="40" w:line="240" w:lineRule="auto"/>
            </w:pPr>
            <w:r>
              <w:rPr>
                <w:sz w:val="18"/>
              </w:rPr>
              <w:t>84,334</w:t>
            </w:r>
          </w:p>
        </w:tc>
        <w:tc>
          <w:tcPr>
            <w:tcW w:type="dxa" w:w="1224"/>
          </w:tcPr>
          <w:p>
            <w:pPr>
              <w:spacing w:before="40" w:after="40" w:line="240" w:lineRule="auto"/>
            </w:pPr>
            <w:r>
              <w:rPr>
                <w:sz w:val="18"/>
              </w:rPr>
              <w:t>252</w:t>
            </w:r>
          </w:p>
        </w:tc>
      </w:tr>
    </w:tbl>
    <w:p>
      <w:pPr>
        <w:spacing w:after="40" w:line="20" w:lineRule="exact"/>
      </w:pPr>
      <w:r>
        <w:rPr>
          <w:sz w:val="2"/>
        </w:rPr>
      </w:r>
    </w:p>
    <w:p>
      <w:r>
        <w:rPr>
          <w:b/>
        </w:rPr>
        <w:t xml:space="preserve">Read the denominator. </w:t>
      </w:r>
      <w:r>
        <w:t>All families have 2/2 achievable successes in each of the first three configurations. The direct executor has 1/2 in LangExtract and 2/2 elsewhere. Missing operations/inputs are enforced in the adapter environment. Task diversity is not equivalent to protocol-complexity diversity.</w:t>
      </w:r>
    </w:p>
    <w:p>
      <w:pPr>
        <w:pStyle w:val="Heading1"/>
        <w:pageBreakBefore/>
      </w:pPr>
      <w:r>
        <w:t>S5. Per-family results and original cost model</w:t>
      </w:r>
    </w:p>
    <w:p>
      <w:pPr>
        <w:keepNext/>
        <w:spacing w:after="40"/>
        <w:jc w:val="center"/>
      </w:pPr>
      <w:r>
        <w:drawing>
          <wp:inline xmlns:a="http://schemas.openxmlformats.org/drawingml/2006/main" xmlns:pic="http://schemas.openxmlformats.org/drawingml/2006/picture">
            <wp:extent cx="5943600" cy="2240280"/>
            <wp:docPr id="6" name="Picture 6" descr="Measured gate savings across 14 families range from 28.2 percent to 58.9 percent, with matched completion for the agent with and without SkillC."/>
            <wp:cNvGraphicFramePr>
              <a:graphicFrameLocks noChangeAspect="1"/>
            </wp:cNvGraphicFramePr>
            <a:graphic>
              <a:graphicData uri="http://schemas.openxmlformats.org/drawingml/2006/picture">
                <pic:pic>
                  <pic:nvPicPr>
                    <pic:cNvPr id="0" name="mlads_task_savings.png"/>
                    <pic:cNvPicPr/>
                  </pic:nvPicPr>
                  <pic:blipFill>
                    <a:blip r:embed="rId22"/>
                    <a:stretch>
                      <a:fillRect/>
                    </a:stretch>
                  </pic:blipFill>
                  <pic:spPr>
                    <a:xfrm>
                      <a:off x="0" y="0"/>
                      <a:ext cx="5943600" cy="2240280"/>
                    </a:xfrm>
                    <a:prstGeom prst="rect"/>
                  </pic:spPr>
                </pic:pic>
              </a:graphicData>
            </a:graphic>
          </wp:inline>
        </w:drawing>
      </w:r>
    </w:p>
    <w:p>
      <w:pPr>
        <w:keepLines/>
        <w:spacing w:after="100" w:line="240" w:lineRule="auto"/>
      </w:pPr>
      <w:r>
        <w:rPr>
          <w:sz w:val="18"/>
        </w:rPr>
        <w:t>Figure S6. Per-family measured reduction. Overall savings use summed tokens: (35,220 - 18,758) / 35,220 = 46.74%, not an average of family percentages.</w:t>
      </w:r>
    </w:p>
    <w:p>
      <w:pPr>
        <w:keepNext/>
        <w:spacing w:after="40"/>
        <w:jc w:val="center"/>
      </w:pPr>
      <w:r>
        <w:drawing>
          <wp:inline xmlns:a="http://schemas.openxmlformats.org/drawingml/2006/main" xmlns:pic="http://schemas.openxmlformats.org/drawingml/2006/picture">
            <wp:extent cx="5943600" cy="932688"/>
            <wp:docPr id="7" name="Picture 7" descr="36 public skills, six seeded semantic faults, 15 curated packs and 32 planning contracts have separate scopes and must not be combined into one accuracy estimate."/>
            <wp:cNvGraphicFramePr>
              <a:graphicFrameLocks noChangeAspect="1"/>
            </wp:cNvGraphicFramePr>
            <a:graphic>
              <a:graphicData uri="http://schemas.openxmlformats.org/drawingml/2006/picture">
                <pic:pic>
                  <pic:nvPicPr>
                    <pic:cNvPr id="0" name="mlads_supporting_evidence.png"/>
                    <pic:cNvPicPr/>
                  </pic:nvPicPr>
                  <pic:blipFill>
                    <a:blip r:embed="rId23"/>
                    <a:stretch>
                      <a:fillRect/>
                    </a:stretch>
                  </pic:blipFill>
                  <pic:spPr>
                    <a:xfrm>
                      <a:off x="0" y="0"/>
                      <a:ext cx="5943600" cy="932688"/>
                    </a:xfrm>
                    <a:prstGeom prst="rect"/>
                  </pic:spPr>
                </pic:pic>
              </a:graphicData>
            </a:graphic>
          </wp:inline>
        </w:drawing>
      </w:r>
    </w:p>
    <w:p>
      <w:pPr>
        <w:keepLines/>
        <w:spacing w:after="100" w:line="240" w:lineRule="auto"/>
      </w:pPr>
      <w:r>
        <w:rPr>
          <w:sz w:val="18"/>
        </w:rPr>
        <w:t>Figure S7. Supporting evidence sets are separate: profile compatibility, semantic mutation detection, the curated corpus, and checked planning replay.</w:t>
      </w:r>
    </w:p>
    <w:p>
      <w:r>
        <w:rPr>
          <w:sz w:val="18"/>
        </w:rPr>
        <w:t>Table S1. Our original Appendix E estimates, NOT live-backend measurements.</w:t>
      </w:r>
    </w:p>
    <w:tbl>
      <w:tblPr>
        <w:tblW w:type="auto" w:w="0"/>
        <w:tblLayout w:type="fixed"/>
        <w:tblLook w:firstColumn="1" w:firstRow="1" w:lastColumn="0" w:lastRow="0" w:noHBand="0" w:noVBand="1" w:val="04A0"/>
        <w:tblBorders>
          <w:top w:val="single" w:sz="4" w:color="B8C5D6"/>
          <w:left w:val="single" w:sz="4" w:color="B8C5D6"/>
          <w:bottom w:val="single" w:sz="4" w:color="B8C5D6"/>
          <w:right w:val="single" w:sz="4" w:color="B8C5D6"/>
          <w:insideH w:val="single" w:sz="4" w:color="B8C5D6"/>
          <w:insideV w:val="single" w:sz="4" w:color="B8C5D6"/>
        </w:tblBorders>
      </w:tblPr>
      <w:tblGrid>
        <w:gridCol w:w="2592"/>
        <w:gridCol w:w="2448"/>
        <w:gridCol w:w="792"/>
        <w:gridCol w:w="1944"/>
        <w:gridCol w:w="1584"/>
      </w:tblGrid>
      <w:tr>
        <w:trPr>
          <w:tblHeader/>
          <w:cantSplit/>
        </w:trPr>
        <w:tc>
          <w:tcPr>
            <w:tcW w:type="dxa" w:w="2592"/>
            <w:shd w:fill="E8EEF7"/>
          </w:tcPr>
          <w:p>
            <w:pPr>
              <w:spacing w:before="40" w:after="40" w:line="240" w:lineRule="auto"/>
            </w:pPr>
            <w:r>
              <w:rPr>
                <w:b/>
                <w:sz w:val="18"/>
              </w:rPr>
              <w:t>Reason</w:t>
            </w:r>
          </w:p>
        </w:tc>
        <w:tc>
          <w:tcPr>
            <w:tcW w:type="dxa" w:w="2448"/>
            <w:shd w:fill="E8EEF7"/>
          </w:tcPr>
          <w:p>
            <w:pPr>
              <w:spacing w:before="40" w:after="40" w:line="240" w:lineRule="auto"/>
            </w:pPr>
            <w:r>
              <w:rPr>
                <w:b/>
                <w:sz w:val="18"/>
              </w:rPr>
              <w:t>Turns: low/typ/high</w:t>
            </w:r>
          </w:p>
        </w:tc>
        <w:tc>
          <w:tcPr>
            <w:tcW w:type="dxa" w:w="792"/>
            <w:shd w:fill="E8EEF7"/>
          </w:tcPr>
          <w:p>
            <w:pPr>
              <w:spacing w:before="40" w:after="40" w:line="240" w:lineRule="auto"/>
            </w:pPr>
            <w:r>
              <w:rPr>
                <w:b/>
                <w:sz w:val="18"/>
              </w:rPr>
              <w:t>Agents</w:t>
            </w:r>
          </w:p>
        </w:tc>
        <w:tc>
          <w:tcPr>
            <w:tcW w:type="dxa" w:w="1944"/>
            <w:shd w:fill="E8EEF7"/>
          </w:tcPr>
          <w:p>
            <w:pPr>
              <w:spacing w:before="40" w:after="40" w:line="240" w:lineRule="auto"/>
            </w:pPr>
            <w:r>
              <w:rPr>
                <w:b/>
                <w:sz w:val="18"/>
              </w:rPr>
              <w:t>Typical waste</w:t>
            </w:r>
          </w:p>
        </w:tc>
        <w:tc>
          <w:tcPr>
            <w:tcW w:type="dxa" w:w="1584"/>
            <w:shd w:fill="E8EEF7"/>
          </w:tcPr>
          <w:p>
            <w:pPr>
              <w:spacing w:before="40" w:after="40" w:line="240" w:lineRule="auto"/>
            </w:pPr>
            <w:r>
              <w:rPr>
                <w:b/>
                <w:sz w:val="18"/>
              </w:rPr>
              <w:t>Leverage</w:t>
            </w:r>
          </w:p>
        </w:tc>
      </w:tr>
      <w:tr>
        <w:trPr>
          <w:cantSplit/>
        </w:trPr>
        <w:tc>
          <w:tcPr>
            <w:tcW w:type="dxa" w:w="2592"/>
          </w:tcPr>
          <w:p>
            <w:pPr>
              <w:spacing w:before="40" w:after="40" w:line="240" w:lineRule="auto"/>
            </w:pPr>
            <w:r>
              <w:rPr>
                <w:sz w:val="18"/>
              </w:rPr>
              <w:t>MISSING_CAPABILITY</w:t>
            </w:r>
          </w:p>
        </w:tc>
        <w:tc>
          <w:tcPr>
            <w:tcW w:type="dxa" w:w="2448"/>
          </w:tcPr>
          <w:p>
            <w:pPr>
              <w:spacing w:before="40" w:after="40" w:line="240" w:lineRule="auto"/>
            </w:pPr>
            <w:r>
              <w:rPr>
                <w:sz w:val="18"/>
              </w:rPr>
              <w:t>3 / 8 / 14</w:t>
            </w:r>
          </w:p>
        </w:tc>
        <w:tc>
          <w:tcPr>
            <w:tcW w:type="dxa" w:w="792"/>
          </w:tcPr>
          <w:p>
            <w:pPr>
              <w:spacing w:before="40" w:after="40" w:line="240" w:lineRule="auto"/>
            </w:pPr>
            <w:r>
              <w:rPr>
                <w:sz w:val="18"/>
              </w:rPr>
              <w:t>1</w:t>
            </w:r>
          </w:p>
        </w:tc>
        <w:tc>
          <w:tcPr>
            <w:tcW w:type="dxa" w:w="1944"/>
          </w:tcPr>
          <w:p>
            <w:pPr>
              <w:spacing w:before="40" w:after="40" w:line="240" w:lineRule="auto"/>
            </w:pPr>
            <w:r>
              <w:rPr>
                <w:sz w:val="18"/>
              </w:rPr>
              <w:t>50,240</w:t>
            </w:r>
          </w:p>
        </w:tc>
        <w:tc>
          <w:tcPr>
            <w:tcW w:type="dxa" w:w="1584"/>
          </w:tcPr>
          <w:p>
            <w:pPr>
              <w:spacing w:before="40" w:after="40" w:line="240" w:lineRule="auto"/>
            </w:pPr>
            <w:r>
              <w:rPr>
                <w:sz w:val="18"/>
              </w:rPr>
              <w:t>18x</w:t>
            </w:r>
          </w:p>
        </w:tc>
      </w:tr>
      <w:tr>
        <w:trPr>
          <w:cantSplit/>
        </w:trPr>
        <w:tc>
          <w:tcPr>
            <w:tcW w:type="dxa" w:w="2592"/>
          </w:tcPr>
          <w:p>
            <w:pPr>
              <w:spacing w:before="40" w:after="40" w:line="240" w:lineRule="auto"/>
            </w:pPr>
            <w:r>
              <w:rPr>
                <w:sz w:val="18"/>
              </w:rPr>
              <w:t>GOAL_UNSAT</w:t>
            </w:r>
          </w:p>
        </w:tc>
        <w:tc>
          <w:tcPr>
            <w:tcW w:type="dxa" w:w="2448"/>
          </w:tcPr>
          <w:p>
            <w:pPr>
              <w:spacing w:before="40" w:after="40" w:line="240" w:lineRule="auto"/>
            </w:pPr>
            <w:r>
              <w:rPr>
                <w:sz w:val="18"/>
              </w:rPr>
              <w:t>8 / 18 / 30</w:t>
            </w:r>
          </w:p>
        </w:tc>
        <w:tc>
          <w:tcPr>
            <w:tcW w:type="dxa" w:w="792"/>
          </w:tcPr>
          <w:p>
            <w:pPr>
              <w:spacing w:before="40" w:after="40" w:line="240" w:lineRule="auto"/>
            </w:pPr>
            <w:r>
              <w:rPr>
                <w:sz w:val="18"/>
              </w:rPr>
              <w:t>1</w:t>
            </w:r>
          </w:p>
        </w:tc>
        <w:tc>
          <w:tcPr>
            <w:tcW w:type="dxa" w:w="1944"/>
          </w:tcPr>
          <w:p>
            <w:pPr>
              <w:spacing w:before="40" w:after="40" w:line="240" w:lineRule="auto"/>
            </w:pPr>
            <w:r>
              <w:rPr>
                <w:sz w:val="18"/>
              </w:rPr>
              <w:t>176,040</w:t>
            </w:r>
          </w:p>
        </w:tc>
        <w:tc>
          <w:tcPr>
            <w:tcW w:type="dxa" w:w="1584"/>
          </w:tcPr>
          <w:p>
            <w:pPr>
              <w:spacing w:before="40" w:after="40" w:line="240" w:lineRule="auto"/>
            </w:pPr>
            <w:r>
              <w:rPr>
                <w:sz w:val="18"/>
              </w:rPr>
              <w:t>63x</w:t>
            </w:r>
          </w:p>
        </w:tc>
      </w:tr>
      <w:tr>
        <w:trPr>
          <w:cantSplit/>
        </w:trPr>
        <w:tc>
          <w:tcPr>
            <w:tcW w:type="dxa" w:w="2592"/>
          </w:tcPr>
          <w:p>
            <w:pPr>
              <w:spacing w:before="40" w:after="40" w:line="240" w:lineRule="auto"/>
            </w:pPr>
            <w:r>
              <w:rPr>
                <w:sz w:val="18"/>
              </w:rPr>
              <w:t>NON_CONFORMANT</w:t>
            </w:r>
          </w:p>
        </w:tc>
        <w:tc>
          <w:tcPr>
            <w:tcW w:type="dxa" w:w="2448"/>
          </w:tcPr>
          <w:p>
            <w:pPr>
              <w:spacing w:before="40" w:after="40" w:line="240" w:lineRule="auto"/>
            </w:pPr>
            <w:r>
              <w:rPr>
                <w:sz w:val="18"/>
              </w:rPr>
              <w:t>6 / 15 / 30</w:t>
            </w:r>
          </w:p>
        </w:tc>
        <w:tc>
          <w:tcPr>
            <w:tcW w:type="dxa" w:w="792"/>
          </w:tcPr>
          <w:p>
            <w:pPr>
              <w:spacing w:before="40" w:after="40" w:line="240" w:lineRule="auto"/>
            </w:pPr>
            <w:r>
              <w:rPr>
                <w:sz w:val="18"/>
              </w:rPr>
              <w:t>2</w:t>
            </w:r>
          </w:p>
        </w:tc>
        <w:tc>
          <w:tcPr>
            <w:tcW w:type="dxa" w:w="1944"/>
          </w:tcPr>
          <w:p>
            <w:pPr>
              <w:spacing w:before="40" w:after="40" w:line="240" w:lineRule="auto"/>
            </w:pPr>
            <w:r>
              <w:rPr>
                <w:sz w:val="18"/>
              </w:rPr>
              <w:t>261,900</w:t>
            </w:r>
          </w:p>
        </w:tc>
        <w:tc>
          <w:tcPr>
            <w:tcW w:type="dxa" w:w="1584"/>
          </w:tcPr>
          <w:p>
            <w:pPr>
              <w:spacing w:before="40" w:after="40" w:line="240" w:lineRule="auto"/>
            </w:pPr>
            <w:r>
              <w:rPr>
                <w:sz w:val="18"/>
              </w:rPr>
              <w:t>94x</w:t>
            </w:r>
          </w:p>
        </w:tc>
      </w:tr>
      <w:tr>
        <w:trPr>
          <w:cantSplit/>
        </w:trPr>
        <w:tc>
          <w:tcPr>
            <w:tcW w:type="dxa" w:w="2592"/>
          </w:tcPr>
          <w:p>
            <w:pPr>
              <w:spacing w:before="40" w:after="40" w:line="240" w:lineRule="auto"/>
            </w:pPr>
            <w:r>
              <w:rPr>
                <w:sz w:val="18"/>
              </w:rPr>
              <w:t>NON_PROJECTABLE</w:t>
            </w:r>
          </w:p>
        </w:tc>
        <w:tc>
          <w:tcPr>
            <w:tcW w:type="dxa" w:w="2448"/>
          </w:tcPr>
          <w:p>
            <w:pPr>
              <w:spacing w:before="40" w:after="40" w:line="240" w:lineRule="auto"/>
            </w:pPr>
            <w:r>
              <w:rPr>
                <w:sz w:val="18"/>
              </w:rPr>
              <w:t>6 / 15 / 30</w:t>
            </w:r>
          </w:p>
        </w:tc>
        <w:tc>
          <w:tcPr>
            <w:tcW w:type="dxa" w:w="792"/>
          </w:tcPr>
          <w:p>
            <w:pPr>
              <w:spacing w:before="40" w:after="40" w:line="240" w:lineRule="auto"/>
            </w:pPr>
            <w:r>
              <w:rPr>
                <w:sz w:val="18"/>
              </w:rPr>
              <w:t>2</w:t>
            </w:r>
          </w:p>
        </w:tc>
        <w:tc>
          <w:tcPr>
            <w:tcW w:type="dxa" w:w="1944"/>
          </w:tcPr>
          <w:p>
            <w:pPr>
              <w:spacing w:before="40" w:after="40" w:line="240" w:lineRule="auto"/>
            </w:pPr>
            <w:r>
              <w:rPr>
                <w:sz w:val="18"/>
              </w:rPr>
              <w:t>261,900</w:t>
            </w:r>
          </w:p>
        </w:tc>
        <w:tc>
          <w:tcPr>
            <w:tcW w:type="dxa" w:w="1584"/>
          </w:tcPr>
          <w:p>
            <w:pPr>
              <w:spacing w:before="40" w:after="40" w:line="240" w:lineRule="auto"/>
            </w:pPr>
            <w:r>
              <w:rPr>
                <w:sz w:val="18"/>
              </w:rPr>
              <w:t>94x</w:t>
            </w:r>
          </w:p>
        </w:tc>
      </w:tr>
      <w:tr>
        <w:trPr>
          <w:cantSplit/>
        </w:trPr>
        <w:tc>
          <w:tcPr>
            <w:tcW w:type="dxa" w:w="2592"/>
          </w:tcPr>
          <w:p>
            <w:pPr>
              <w:spacing w:before="40" w:after="40" w:line="240" w:lineRule="auto"/>
            </w:pPr>
            <w:r>
              <w:rPr>
                <w:sz w:val="18"/>
              </w:rPr>
              <w:t>BLOCKED_GUARD</w:t>
            </w:r>
          </w:p>
        </w:tc>
        <w:tc>
          <w:tcPr>
            <w:tcW w:type="dxa" w:w="2448"/>
          </w:tcPr>
          <w:p>
            <w:pPr>
              <w:spacing w:before="40" w:after="40" w:line="240" w:lineRule="auto"/>
            </w:pPr>
            <w:r>
              <w:rPr>
                <w:sz w:val="18"/>
              </w:rPr>
              <w:t>12 / 25 / 50</w:t>
            </w:r>
          </w:p>
        </w:tc>
        <w:tc>
          <w:tcPr>
            <w:tcW w:type="dxa" w:w="792"/>
          </w:tcPr>
          <w:p>
            <w:pPr>
              <w:spacing w:before="40" w:after="40" w:line="240" w:lineRule="auto"/>
            </w:pPr>
            <w:r>
              <w:rPr>
                <w:sz w:val="18"/>
              </w:rPr>
              <w:t>1</w:t>
            </w:r>
          </w:p>
        </w:tc>
        <w:tc>
          <w:tcPr>
            <w:tcW w:type="dxa" w:w="1944"/>
          </w:tcPr>
          <w:p>
            <w:pPr>
              <w:spacing w:before="40" w:after="40" w:line="240" w:lineRule="auto"/>
            </w:pPr>
            <w:r>
              <w:rPr>
                <w:sz w:val="18"/>
              </w:rPr>
              <w:t>305,750</w:t>
            </w:r>
          </w:p>
        </w:tc>
        <w:tc>
          <w:tcPr>
            <w:tcW w:type="dxa" w:w="1584"/>
          </w:tcPr>
          <w:p>
            <w:pPr>
              <w:spacing w:before="40" w:after="40" w:line="240" w:lineRule="auto"/>
            </w:pPr>
            <w:r>
              <w:rPr>
                <w:sz w:val="18"/>
              </w:rPr>
              <w:t>110x</w:t>
            </w:r>
          </w:p>
        </w:tc>
      </w:tr>
    </w:tbl>
    <w:p>
      <w:pPr>
        <w:spacing w:after="40" w:line="20" w:lineRule="exact"/>
      </w:pPr>
      <w:r>
        <w:rPr>
          <w:sz w:val="2"/>
        </w:rPr>
      </w:r>
    </w:p>
    <w:p>
      <w:r>
        <w:t>The source model assumes a 2,500-token harness, about 1,700 skill tokens, 700 appended tokens per turn, and 250 output tokens per turn. Its growing-context input formula is T(S + K) + gT(T - 1)/2, plus To output. Roughly 2,800 compaction tokens give the per-mode leverage above. These estimates price counterfactual avoided runs.</w:t>
      </w:r>
    </w:p>
    <w:p>
      <w:r>
        <w:t>For the seven structural refutations in the original 15-spec corpus, Appendix E reports 12.2K compaction tokens versus about 1.07M modeled avoided tokens (0.28M-3.15M band), or about 87x leverage. This is not the measured 46.74% live result. UNKNOWN prevents no run by itself, and zero checker tokens does not mean zero CPU or integration cost.</w:t>
      </w:r>
    </w:p>
    <w:p>
      <w:pPr>
        <w:pStyle w:val="Heading1"/>
        <w:pageBreakBefore/>
      </w:pPr>
      <w:r>
        <w:t>S6. Proposed Microsoft Agent Framework adapter</w:t>
      </w:r>
    </w:p>
    <w:p>
      <w:r>
        <w:t>The repository contains an integration opportunity, not an implemented MAF adapter: there is no agent_framework import or MAF middleware implementation in the inspected application sources. The Azure OpenAI and MCP benchmark calls do not establish MAF integration. The following is a source-informed engineering design to implement and test.</w:t>
      </w:r>
    </w:p>
    <w:p>
      <w:pPr>
        <w:keepNext/>
        <w:spacing w:after="40"/>
        <w:jc w:val="center"/>
      </w:pPr>
      <w:r>
        <w:drawing>
          <wp:inline xmlns:a="http://schemas.openxmlformats.org/drawingml/2006/main" xmlns:pic="http://schemas.openxmlformats.org/drawingml/2006/picture">
            <wp:extent cx="5943600" cy="2606040"/>
            <wp:docPr id="8" name="Picture 8" descr="Proposed admission and runtime verification flow for Microsoft Agent Framework, with explicit blocked and review outcomes rather than permission from an unknown verdict."/>
            <wp:cNvGraphicFramePr>
              <a:graphicFrameLocks noChangeAspect="1"/>
            </wp:cNvGraphicFramePr>
            <a:graphic>
              <a:graphicData uri="http://schemas.openxmlformats.org/drawingml/2006/picture">
                <pic:pic>
                  <pic:nvPicPr>
                    <pic:cNvPr id="0" name="mlads_maf_integration.png"/>
                    <pic:cNvPicPr/>
                  </pic:nvPicPr>
                  <pic:blipFill>
                    <a:blip r:embed="rId24"/>
                    <a:stretch>
                      <a:fillRect/>
                    </a:stretch>
                  </pic:blipFill>
                  <pic:spPr>
                    <a:xfrm>
                      <a:off x="0" y="0"/>
                      <a:ext cx="5943600" cy="2606040"/>
                    </a:xfrm>
                    <a:prstGeom prst="rect"/>
                  </pic:spPr>
                </pic:pic>
              </a:graphicData>
            </a:graphic>
          </wp:inline>
        </w:drawing>
      </w:r>
    </w:p>
    <w:p>
      <w:pPr>
        <w:keepLines/>
        <w:spacing w:after="100" w:line="240" w:lineRule="auto"/>
      </w:pPr>
      <w:r>
        <w:rPr>
          <w:sz w:val="18"/>
        </w:rPr>
        <w:t>Figure S8. Proposed runtime integration. Solid SkillC core is reusable; dashed adapter and runtime-integration components need implementation and validation.</w:t>
      </w:r>
    </w:p>
    <w:tbl>
      <w:tblPr>
        <w:tblW w:type="auto" w:w="0"/>
        <w:tblLayout w:type="fixed"/>
        <w:tblLook w:firstColumn="1" w:firstRow="1" w:lastColumn="0" w:lastRow="0" w:noHBand="0" w:noVBand="1" w:val="04A0"/>
        <w:tblBorders>
          <w:top w:val="single" w:sz="4" w:color="B8C5D6"/>
          <w:left w:val="single" w:sz="4" w:color="B8C5D6"/>
          <w:bottom w:val="single" w:sz="4" w:color="B8C5D6"/>
          <w:right w:val="single" w:sz="4" w:color="B8C5D6"/>
          <w:insideH w:val="single" w:sz="4" w:color="B8C5D6"/>
          <w:insideV w:val="single" w:sz="4" w:color="B8C5D6"/>
        </w:tblBorders>
      </w:tblPr>
      <w:tblGrid>
        <w:gridCol w:w="3096"/>
        <w:gridCol w:w="6264"/>
      </w:tblGrid>
      <w:tr>
        <w:trPr>
          <w:tblHeader/>
          <w:cantSplit/>
        </w:trPr>
        <w:tc>
          <w:tcPr>
            <w:tcW w:type="dxa" w:w="3096"/>
            <w:shd w:fill="E8EEF7"/>
          </w:tcPr>
          <w:p>
            <w:pPr>
              <w:spacing w:before="40" w:after="40" w:line="240" w:lineRule="auto"/>
            </w:pPr>
            <w:r>
              <w:rPr>
                <w:b/>
                <w:sz w:val="19"/>
              </w:rPr>
              <w:t>Official extension point</w:t>
            </w:r>
          </w:p>
        </w:tc>
        <w:tc>
          <w:tcPr>
            <w:tcW w:type="dxa" w:w="6264"/>
            <w:shd w:fill="E8EEF7"/>
          </w:tcPr>
          <w:p>
            <w:pPr>
              <w:spacing w:before="40" w:after="40" w:line="240" w:lineRule="auto"/>
            </w:pPr>
            <w:r>
              <w:rPr>
                <w:b/>
                <w:sz w:val="19"/>
              </w:rPr>
              <w:t>Proposed SkillC mapping</w:t>
            </w:r>
          </w:p>
        </w:tc>
      </w:tr>
      <w:tr>
        <w:trPr>
          <w:cantSplit/>
        </w:trPr>
        <w:tc>
          <w:tcPr>
            <w:tcW w:type="dxa" w:w="3096"/>
          </w:tcPr>
          <w:p>
            <w:pPr>
              <w:spacing w:before="40" w:after="40" w:line="240" w:lineRule="auto"/>
            </w:pPr>
            <w:r>
              <w:rPr>
                <w:sz w:val="19"/>
              </w:rPr>
              <w:t>AgentMiddleware</w:t>
            </w:r>
          </w:p>
        </w:tc>
        <w:tc>
          <w:tcPr>
            <w:tcW w:type="dxa" w:w="6264"/>
          </w:tcPr>
          <w:p>
            <w:pPr>
              <w:spacing w:before="40" w:after="40" w:line="240" w:lineRule="auto"/>
            </w:pPr>
            <w:r>
              <w:rPr>
                <w:sz w:val="19"/>
              </w:rPr>
              <w:t>Run-wide admission before the continuation invokes the agent. Emit explicit blocked/review results, not successful empty output.</w:t>
            </w:r>
          </w:p>
        </w:tc>
      </w:tr>
      <w:tr>
        <w:trPr>
          <w:cantSplit/>
        </w:trPr>
        <w:tc>
          <w:tcPr>
            <w:tcW w:type="dxa" w:w="3096"/>
          </w:tcPr>
          <w:p>
            <w:pPr>
              <w:spacing w:before="40" w:after="40" w:line="240" w:lineRule="auto"/>
            </w:pPr>
            <w:r>
              <w:rPr>
                <w:sz w:val="19"/>
              </w:rPr>
              <w:t>FunctionMiddleware</w:t>
            </w:r>
          </w:p>
        </w:tc>
        <w:tc>
          <w:tcPr>
            <w:tcW w:type="dxa" w:w="6264"/>
          </w:tcPr>
          <w:p>
            <w:pPr>
              <w:spacing w:before="40" w:after="40" w:line="240" w:lineRule="auto"/>
            </w:pPr>
            <w:r>
              <w:rPr>
                <w:sz w:val="19"/>
              </w:rPr>
              <w:t>Validate the permitted invocation and inspect the real tool result; propagate postcondition failures rather than returning success.</w:t>
            </w:r>
          </w:p>
        </w:tc>
      </w:tr>
      <w:tr>
        <w:trPr>
          <w:cantSplit/>
        </w:trPr>
        <w:tc>
          <w:tcPr>
            <w:tcW w:type="dxa" w:w="3096"/>
          </w:tcPr>
          <w:p>
            <w:pPr>
              <w:spacing w:before="40" w:after="40" w:line="240" w:lineRule="auto"/>
            </w:pPr>
            <w:r>
              <w:rPr>
                <w:sz w:val="19"/>
              </w:rPr>
              <w:t>Executor / WorkflowBuilder</w:t>
            </w:r>
          </w:p>
        </w:tc>
        <w:tc>
          <w:tcPr>
            <w:tcW w:type="dxa" w:w="6264"/>
          </w:tcPr>
          <w:p>
            <w:pPr>
              <w:spacing w:before="40" w:after="40" w:line="240" w:lineRule="auto"/>
            </w:pPr>
            <w:r>
              <w:rPr>
                <w:sz w:val="19"/>
              </w:rPr>
              <w:t>An initial typed gate routes admitted, rejected, and review-required outcomes to separate destinations.</w:t>
            </w:r>
          </w:p>
        </w:tc>
      </w:tr>
      <w:tr>
        <w:trPr>
          <w:cantSplit/>
        </w:trPr>
        <w:tc>
          <w:tcPr>
            <w:tcW w:type="dxa" w:w="3096"/>
          </w:tcPr>
          <w:p>
            <w:pPr>
              <w:spacing w:before="40" w:after="40" w:line="240" w:lineRule="auto"/>
            </w:pPr>
            <w:r>
              <w:rPr>
                <w:sz w:val="19"/>
              </w:rPr>
              <w:t>MCPStdioTool / MCPStreamableHTTPTool</w:t>
            </w:r>
          </w:p>
        </w:tc>
        <w:tc>
          <w:tcPr>
            <w:tcW w:type="dxa" w:w="6264"/>
          </w:tcPr>
          <w:p>
            <w:pPr>
              <w:spacing w:before="40" w:after="40" w:line="240" w:lineRule="auto"/>
            </w:pPr>
            <w:r>
              <w:rPr>
                <w:sz w:val="19"/>
              </w:rPr>
              <w:t>Bind discovered tools to reviewed contracts; inventory/schema discovery is not semantic effect validation.</w:t>
            </w:r>
          </w:p>
        </w:tc>
      </w:tr>
      <w:tr>
        <w:trPr>
          <w:cantSplit/>
        </w:trPr>
        <w:tc>
          <w:tcPr>
            <w:tcW w:type="dxa" w:w="3096"/>
          </w:tcPr>
          <w:p>
            <w:pPr>
              <w:spacing w:before="40" w:after="40" w:line="240" w:lineRule="auto"/>
            </w:pPr>
            <w:r>
              <w:rPr>
                <w:sz w:val="19"/>
              </w:rPr>
              <w:t>configure_otel_providers</w:t>
            </w:r>
          </w:p>
        </w:tc>
        <w:tc>
          <w:tcPr>
            <w:tcW w:type="dxa" w:w="6264"/>
          </w:tcPr>
          <w:p>
            <w:pPr>
              <w:spacing w:before="40" w:after="40" w:line="240" w:lineRule="auto"/>
            </w:pPr>
            <w:r>
              <w:rPr>
                <w:sz w:val="19"/>
              </w:rPr>
              <w:t>Correlate application-owned verdict records with traces; do not assume metadata automatically propagates between contexts.</w:t>
            </w:r>
          </w:p>
        </w:tc>
      </w:tr>
    </w:tbl>
    <w:p>
      <w:pPr>
        <w:spacing w:after="40" w:line="20" w:lineRule="exact"/>
      </w:pPr>
      <w:r>
        <w:rPr>
          <w:sz w:val="2"/>
        </w:rPr>
      </w:r>
    </w:p>
    <w:p>
      <w:r>
        <w:rPr>
          <w:b/>
        </w:rPr>
        <w:t xml:space="preserve">Contract acquisition. </w:t>
      </w:r>
      <w:r>
        <w:t>Resolve an invocation-specific contract from application-owned configuration and observed tool/state facts. A tool-list match can establish inventory consistency, but an MCP schema does not prove that calling a tool has the declared business effect. Bind the contract to a reviewed/generated pack and perform context preflight before model use.</w:t>
      </w:r>
    </w:p>
    <w:p>
      <w:r>
        <w:rPr>
          <w:b/>
        </w:rPr>
        <w:t xml:space="preserve">Invocation identity. </w:t>
      </w:r>
      <w:r>
        <w:t>If admitted, pass the same approved context into execution and retain the pack digest, checker version, decision/refutation scope, witness, and deferred obligations in a separate audit record. Do not log secrets or unnecessary prompt/payload contents. Changes to the goal, allowed tools, or relevant state invalidate admission. Long-running workflows need a new checkpoint after such changes, not one reusable global approval.</w:t>
      </w:r>
    </w:p>
    <w:p>
      <w:pPr>
        <w:pStyle w:val="Heading1"/>
        <w:pageBreakBefore/>
      </w:pPr>
      <w:r>
        <w:t>S7. Admission policy, runtime obligations, and tests</w:t>
      </w:r>
    </w:p>
    <w:p>
      <w:r>
        <w:t>The adapter is a policy boundary, not just a decorator around a model call. Its response must be typed and observable: blocked work, review-required work, or admitted work. Do not convert errors or abstentions into a successful-looking empty answer.</w:t>
      </w:r>
    </w:p>
    <w:p>
      <w:r>
        <w:rPr>
          <w:b/>
        </w:rPr>
        <w:t xml:space="preserve">Version boundary. </w:t>
      </w:r>
      <w:r>
        <w:t>Pin and test the SDK before implementing callbacks: current conceptual examples use AgentContext while API-reference pages also expose AgentRunContext. Do not mix their signatures. Test both streaming and non-streaming behavior, and explicitly propagate application audit identity rather than assuming one middleware context is shared everywhere.</w:t>
      </w:r>
    </w:p>
    <w:tbl>
      <w:tblPr>
        <w:tblW w:type="auto" w:w="0"/>
        <w:tblLayout w:type="fixed"/>
        <w:tblLook w:firstColumn="1" w:firstRow="1" w:lastColumn="0" w:lastRow="0" w:noHBand="0" w:noVBand="1" w:val="04A0"/>
        <w:tblBorders>
          <w:top w:val="single" w:sz="4" w:color="B8C5D6"/>
          <w:left w:val="single" w:sz="4" w:color="B8C5D6"/>
          <w:bottom w:val="single" w:sz="4" w:color="B8C5D6"/>
          <w:right w:val="single" w:sz="4" w:color="B8C5D6"/>
          <w:insideH w:val="single" w:sz="4" w:color="B8C5D6"/>
          <w:insideV w:val="single" w:sz="4" w:color="B8C5D6"/>
        </w:tblBorders>
      </w:tblPr>
      <w:tblGrid>
        <w:gridCol w:w="3240"/>
        <w:gridCol w:w="6120"/>
      </w:tblGrid>
      <w:tr>
        <w:trPr>
          <w:tblHeader/>
          <w:cantSplit/>
        </w:trPr>
        <w:tc>
          <w:tcPr>
            <w:tcW w:type="dxa" w:w="3240"/>
            <w:shd w:fill="E8EEF7"/>
          </w:tcPr>
          <w:p>
            <w:pPr>
              <w:spacing w:before="40" w:after="40" w:line="240" w:lineRule="auto"/>
            </w:pPr>
            <w:r>
              <w:rPr>
                <w:b/>
                <w:sz w:val="19"/>
              </w:rPr>
              <w:t>Condition</w:t>
            </w:r>
          </w:p>
        </w:tc>
        <w:tc>
          <w:tcPr>
            <w:tcW w:type="dxa" w:w="6120"/>
            <w:shd w:fill="E8EEF7"/>
          </w:tcPr>
          <w:p>
            <w:pPr>
              <w:spacing w:before="40" w:after="40" w:line="240" w:lineRule="auto"/>
            </w:pPr>
            <w:r>
              <w:rPr>
                <w:b/>
                <w:sz w:val="19"/>
              </w:rPr>
              <w:t>Required integration behavior</w:t>
            </w:r>
          </w:p>
        </w:tc>
      </w:tr>
      <w:tr>
        <w:trPr>
          <w:cantSplit/>
        </w:trPr>
        <w:tc>
          <w:tcPr>
            <w:tcW w:type="dxa" w:w="3240"/>
          </w:tcPr>
          <w:p>
            <w:pPr>
              <w:spacing w:before="40" w:after="40" w:line="240" w:lineRule="auto"/>
            </w:pPr>
            <w:r>
              <w:rPr>
                <w:sz w:val="19"/>
              </w:rPr>
              <w:t>IMPOSSIBLE: capability context</w:t>
            </w:r>
          </w:p>
        </w:tc>
        <w:tc>
          <w:tcPr>
            <w:tcW w:type="dxa" w:w="6120"/>
          </w:tcPr>
          <w:p>
            <w:pPr>
              <w:spacing w:before="40" w:after="40" w:line="240" w:lineRule="auto"/>
            </w:pPr>
            <w:r>
              <w:rPr>
                <w:sz w:val="19"/>
              </w:rPr>
              <w:t>Stop before inference; return the independent blocking certificate.</w:t>
            </w:r>
          </w:p>
        </w:tc>
      </w:tr>
      <w:tr>
        <w:trPr>
          <w:cantSplit/>
        </w:trPr>
        <w:tc>
          <w:tcPr>
            <w:tcW w:type="dxa" w:w="3240"/>
          </w:tcPr>
          <w:p>
            <w:pPr>
              <w:spacing w:before="40" w:after="40" w:line="240" w:lineRule="auto"/>
            </w:pPr>
            <w:r>
              <w:rPr>
                <w:sz w:val="19"/>
              </w:rPr>
              <w:t>IMPOSSIBLE: declared protocol</w:t>
            </w:r>
          </w:p>
        </w:tc>
        <w:tc>
          <w:tcPr>
            <w:tcW w:type="dxa" w:w="6120"/>
          </w:tcPr>
          <w:p>
            <w:pPr>
              <w:spacing w:before="40" w:after="40" w:line="240" w:lineRule="auto"/>
            </w:pPr>
            <w:r>
              <w:rPr>
                <w:sz w:val="19"/>
              </w:rPr>
              <w:t>Block that workflow; explicitly avoid claiming every alternative goal plan is impossible.</w:t>
            </w:r>
          </w:p>
        </w:tc>
      </w:tr>
      <w:tr>
        <w:trPr>
          <w:cantSplit/>
        </w:trPr>
        <w:tc>
          <w:tcPr>
            <w:tcW w:type="dxa" w:w="3240"/>
          </w:tcPr>
          <w:p>
            <w:pPr>
              <w:spacing w:before="40" w:after="40" w:line="240" w:lineRule="auto"/>
            </w:pPr>
            <w:r>
              <w:rPr>
                <w:sz w:val="19"/>
              </w:rPr>
              <w:t>ACHIEVABLE</w:t>
            </w:r>
          </w:p>
        </w:tc>
        <w:tc>
          <w:tcPr>
            <w:tcW w:type="dxa" w:w="6120"/>
          </w:tcPr>
          <w:p>
            <w:pPr>
              <w:spacing w:before="40" w:after="40" w:line="240" w:lineRule="auto"/>
            </w:pPr>
            <w:r>
              <w:rPr>
                <w:sz w:val="19"/>
              </w:rPr>
              <w:t>Continue only if independent authorization/approval also succeeds; retain runtime obligations.</w:t>
            </w:r>
          </w:p>
        </w:tc>
      </w:tr>
      <w:tr>
        <w:trPr>
          <w:cantSplit/>
        </w:trPr>
        <w:tc>
          <w:tcPr>
            <w:tcW w:type="dxa" w:w="3240"/>
          </w:tcPr>
          <w:p>
            <w:pPr>
              <w:spacing w:before="40" w:after="40" w:line="240" w:lineRule="auto"/>
            </w:pPr>
            <w:r>
              <w:rPr>
                <w:sz w:val="19"/>
              </w:rPr>
              <w:t>UNKNOWN / unsupported / timeout</w:t>
            </w:r>
          </w:p>
        </w:tc>
        <w:tc>
          <w:tcPr>
            <w:tcW w:type="dxa" w:w="6120"/>
          </w:tcPr>
          <w:p>
            <w:pPr>
              <w:spacing w:before="40" w:after="40" w:line="240" w:lineRule="auto"/>
            </w:pPr>
            <w:r>
              <w:rPr>
                <w:sz w:val="19"/>
              </w:rPr>
              <w:t>Route to explicit review or a separately authorized fallback; no default permission.</w:t>
            </w:r>
          </w:p>
        </w:tc>
      </w:tr>
      <w:tr>
        <w:trPr>
          <w:cantSplit/>
        </w:trPr>
        <w:tc>
          <w:tcPr>
            <w:tcW w:type="dxa" w:w="3240"/>
          </w:tcPr>
          <w:p>
            <w:pPr>
              <w:spacing w:before="40" w:after="40" w:line="240" w:lineRule="auto"/>
            </w:pPr>
            <w:r>
              <w:rPr>
                <w:sz w:val="19"/>
              </w:rPr>
              <w:t>Malformed pack / contract mismatch</w:t>
            </w:r>
          </w:p>
        </w:tc>
        <w:tc>
          <w:tcPr>
            <w:tcW w:type="dxa" w:w="6120"/>
          </w:tcPr>
          <w:p>
            <w:pPr>
              <w:spacing w:before="40" w:after="40" w:line="240" w:lineRule="auto"/>
            </w:pPr>
            <w:r>
              <w:rPr>
                <w:sz w:val="19"/>
              </w:rPr>
              <w:t>Surface an input/integration error; do not coerce it into IMPOSSIBLE or ACHIEVABLE.</w:t>
            </w:r>
          </w:p>
        </w:tc>
      </w:tr>
      <w:tr>
        <w:trPr>
          <w:cantSplit/>
        </w:trPr>
        <w:tc>
          <w:tcPr>
            <w:tcW w:type="dxa" w:w="3240"/>
          </w:tcPr>
          <w:p>
            <w:pPr>
              <w:spacing w:before="40" w:after="40" w:line="240" w:lineRule="auto"/>
            </w:pPr>
            <w:r>
              <w:rPr>
                <w:sz w:val="19"/>
              </w:rPr>
              <w:t>Tool/state drift</w:t>
            </w:r>
          </w:p>
        </w:tc>
        <w:tc>
          <w:tcPr>
            <w:tcW w:type="dxa" w:w="6120"/>
          </w:tcPr>
          <w:p>
            <w:pPr>
              <w:spacing w:before="40" w:after="40" w:line="240" w:lineRule="auto"/>
            </w:pPr>
            <w:r>
              <w:rPr>
                <w:sz w:val="19"/>
              </w:rPr>
              <w:t>Invalidate the admission and revalidate the changed context.</w:t>
            </w:r>
          </w:p>
        </w:tc>
      </w:tr>
      <w:tr>
        <w:trPr>
          <w:cantSplit/>
        </w:trPr>
        <w:tc>
          <w:tcPr>
            <w:tcW w:type="dxa" w:w="3240"/>
          </w:tcPr>
          <w:p>
            <w:pPr>
              <w:spacing w:before="40" w:after="40" w:line="240" w:lineRule="auto"/>
            </w:pPr>
            <w:r>
              <w:rPr>
                <w:sz w:val="19"/>
              </w:rPr>
              <w:t>Runtime postcondition failure</w:t>
            </w:r>
          </w:p>
        </w:tc>
        <w:tc>
          <w:tcPr>
            <w:tcW w:type="dxa" w:w="6120"/>
          </w:tcPr>
          <w:p>
            <w:pPr>
              <w:spacing w:before="40" w:after="40" w:line="240" w:lineRule="auto"/>
            </w:pPr>
            <w:r>
              <w:rPr>
                <w:sz w:val="19"/>
              </w:rPr>
              <w:t>Stop/escalate; do not claim success. Postchecks cannot undo completed side effects; pre-authorize consequential tools.</w:t>
            </w:r>
          </w:p>
        </w:tc>
      </w:tr>
    </w:tbl>
    <w:p>
      <w:pPr>
        <w:spacing w:after="40" w:line="20" w:lineRule="exact"/>
      </w:pPr>
      <w:r>
        <w:rPr>
          <w:sz w:val="2"/>
        </w:rPr>
      </w:r>
    </w:p>
    <w:p>
      <w:r>
        <w:rPr>
          <w:sz w:val="18"/>
        </w:rPr>
        <w:t>Table S2. Our obligation partition, updated with current implementation status.</w:t>
      </w:r>
    </w:p>
    <w:tbl>
      <w:tblPr>
        <w:tblW w:type="auto" w:w="0"/>
        <w:tblLayout w:type="fixed"/>
        <w:tblLook w:firstColumn="1" w:firstRow="1" w:lastColumn="0" w:lastRow="0" w:noHBand="0" w:noVBand="1" w:val="04A0"/>
        <w:tblBorders>
          <w:top w:val="single" w:sz="4" w:color="B8C5D6"/>
          <w:left w:val="single" w:sz="4" w:color="B8C5D6"/>
          <w:bottom w:val="single" w:sz="4" w:color="B8C5D6"/>
          <w:right w:val="single" w:sz="4" w:color="B8C5D6"/>
          <w:insideH w:val="single" w:sz="4" w:color="B8C5D6"/>
          <w:insideV w:val="single" w:sz="4" w:color="B8C5D6"/>
        </w:tblBorders>
      </w:tblPr>
      <w:tblGrid>
        <w:gridCol w:w="2160"/>
        <w:gridCol w:w="3096"/>
        <w:gridCol w:w="4104"/>
      </w:tblGrid>
      <w:tr>
        <w:trPr>
          <w:tblHeader/>
          <w:cantSplit/>
        </w:trPr>
        <w:tc>
          <w:tcPr>
            <w:tcW w:type="dxa" w:w="2160"/>
            <w:shd w:fill="E8EEF7"/>
          </w:tcPr>
          <w:p>
            <w:pPr>
              <w:spacing w:before="40" w:after="40" w:line="240" w:lineRule="auto"/>
            </w:pPr>
            <w:r>
              <w:rPr>
                <w:b/>
                <w:sz w:val="19"/>
              </w:rPr>
              <w:t>Obligation</w:t>
            </w:r>
          </w:p>
        </w:tc>
        <w:tc>
          <w:tcPr>
            <w:tcW w:type="dxa" w:w="3096"/>
            <w:shd w:fill="E8EEF7"/>
          </w:tcPr>
          <w:p>
            <w:pPr>
              <w:spacing w:before="40" w:after="40" w:line="240" w:lineRule="auto"/>
            </w:pPr>
            <w:r>
              <w:rPr>
                <w:b/>
                <w:sz w:val="19"/>
              </w:rPr>
              <w:t>Where it belongs</w:t>
            </w:r>
          </w:p>
        </w:tc>
        <w:tc>
          <w:tcPr>
            <w:tcW w:type="dxa" w:w="4104"/>
            <w:shd w:fill="E8EEF7"/>
          </w:tcPr>
          <w:p>
            <w:pPr>
              <w:spacing w:before="40" w:after="40" w:line="240" w:lineRule="auto"/>
            </w:pPr>
            <w:r>
              <w:rPr>
                <w:b/>
                <w:sz w:val="19"/>
              </w:rPr>
              <w:t>Current status</w:t>
            </w:r>
          </w:p>
        </w:tc>
      </w:tr>
      <w:tr>
        <w:trPr>
          <w:cantSplit/>
        </w:trPr>
        <w:tc>
          <w:tcPr>
            <w:tcW w:type="dxa" w:w="2160"/>
          </w:tcPr>
          <w:p>
            <w:pPr>
              <w:spacing w:before="40" w:after="40" w:line="240" w:lineRule="auto"/>
            </w:pPr>
            <w:r>
              <w:rPr>
                <w:sz w:val="19"/>
              </w:rPr>
              <w:t>Goal achievability</w:t>
            </w:r>
          </w:p>
        </w:tc>
        <w:tc>
          <w:tcPr>
            <w:tcW w:type="dxa" w:w="3096"/>
          </w:tcPr>
          <w:p>
            <w:pPr>
              <w:spacing w:before="40" w:after="40" w:line="240" w:lineRule="auto"/>
            </w:pPr>
            <w:r>
              <w:rPr>
                <w:sz w:val="19"/>
              </w:rPr>
              <w:t>Static validation of declared pack</w:t>
            </w:r>
          </w:p>
        </w:tc>
        <w:tc>
          <w:tcPr>
            <w:tcW w:type="dxa" w:w="4104"/>
          </w:tcPr>
          <w:p>
            <w:pPr>
              <w:spacing w:before="40" w:after="40" w:line="240" w:lineRule="auto"/>
            </w:pPr>
            <w:r>
              <w:rPr>
                <w:sz w:val="19"/>
              </w:rPr>
              <w:t>Implemented checker and bounded studies.</w:t>
            </w:r>
          </w:p>
        </w:tc>
      </w:tr>
      <w:tr>
        <w:trPr>
          <w:cantSplit/>
        </w:trPr>
        <w:tc>
          <w:tcPr>
            <w:tcW w:type="dxa" w:w="2160"/>
          </w:tcPr>
          <w:p>
            <w:pPr>
              <w:spacing w:before="40" w:after="40" w:line="240" w:lineRule="auto"/>
            </w:pPr>
            <w:r>
              <w:rPr>
                <w:sz w:val="19"/>
              </w:rPr>
              <w:t>Per-step safety / privilege</w:t>
            </w:r>
          </w:p>
        </w:tc>
        <w:tc>
          <w:tcPr>
            <w:tcW w:type="dxa" w:w="3096"/>
          </w:tcPr>
          <w:p>
            <w:pPr>
              <w:spacing w:before="40" w:after="40" w:line="240" w:lineRule="auto"/>
            </w:pPr>
            <w:r>
              <w:rPr>
                <w:sz w:val="19"/>
              </w:rPr>
              <w:t>Independent authorization and policy</w:t>
            </w:r>
          </w:p>
        </w:tc>
        <w:tc>
          <w:tcPr>
            <w:tcW w:type="dxa" w:w="4104"/>
          </w:tcPr>
          <w:p>
            <w:pPr>
              <w:spacing w:before="40" w:after="40" w:line="240" w:lineRule="auto"/>
            </w:pPr>
            <w:r>
              <w:rPr>
                <w:sz w:val="19"/>
              </w:rPr>
              <w:t>Not established by an achievability verdict.</w:t>
            </w:r>
          </w:p>
        </w:tc>
      </w:tr>
      <w:tr>
        <w:trPr>
          <w:cantSplit/>
        </w:trPr>
        <w:tc>
          <w:tcPr>
            <w:tcW w:type="dxa" w:w="2160"/>
          </w:tcPr>
          <w:p>
            <w:pPr>
              <w:spacing w:before="40" w:after="40" w:line="240" w:lineRule="auto"/>
            </w:pPr>
            <w:r>
              <w:rPr>
                <w:sz w:val="19"/>
              </w:rPr>
              <w:t>Payload faithfulness</w:t>
            </w:r>
          </w:p>
        </w:tc>
        <w:tc>
          <w:tcPr>
            <w:tcW w:type="dxa" w:w="3096"/>
          </w:tcPr>
          <w:p>
            <w:pPr>
              <w:spacing w:before="40" w:after="40" w:line="240" w:lineRule="auto"/>
            </w:pPr>
            <w:r>
              <w:rPr>
                <w:sz w:val="19"/>
              </w:rPr>
              <w:t>Runtime verification</w:t>
            </w:r>
          </w:p>
        </w:tc>
        <w:tc>
          <w:tcPr>
            <w:tcW w:type="dxa" w:w="4104"/>
          </w:tcPr>
          <w:p>
            <w:pPr>
              <w:spacing w:before="40" w:after="40" w:line="240" w:lineRule="auto"/>
            </w:pPr>
            <w:r>
              <w:rPr>
                <w:sz w:val="19"/>
              </w:rPr>
              <w:t>Task-specific benchmark monitors; not a general MAF safety layer.</w:t>
            </w:r>
          </w:p>
        </w:tc>
      </w:tr>
      <w:tr>
        <w:trPr>
          <w:cantSplit/>
        </w:trPr>
        <w:tc>
          <w:tcPr>
            <w:tcW w:type="dxa" w:w="2160"/>
          </w:tcPr>
          <w:p>
            <w:pPr>
              <w:spacing w:before="40" w:after="40" w:line="240" w:lineRule="auto"/>
            </w:pPr>
            <w:r>
              <w:rPr>
                <w:sz w:val="19"/>
              </w:rPr>
              <w:t>Intent fidelity</w:t>
            </w:r>
          </w:p>
        </w:tc>
        <w:tc>
          <w:tcPr>
            <w:tcW w:type="dxa" w:w="3096"/>
          </w:tcPr>
          <w:p>
            <w:pPr>
              <w:spacing w:before="40" w:after="40" w:line="240" w:lineRule="auto"/>
            </w:pPr>
            <w:r>
              <w:rPr>
                <w:sz w:val="19"/>
              </w:rPr>
              <w:t>Human review of task/pack</w:t>
            </w:r>
          </w:p>
        </w:tc>
        <w:tc>
          <w:tcPr>
            <w:tcW w:type="dxa" w:w="4104"/>
          </w:tcPr>
          <w:p>
            <w:pPr>
              <w:spacing w:before="40" w:after="40" w:line="240" w:lineRule="auto"/>
            </w:pPr>
            <w:r>
              <w:rPr>
                <w:sz w:val="19"/>
              </w:rPr>
              <w:t>Still a semantic trust obligation.</w:t>
            </w:r>
          </w:p>
        </w:tc>
      </w:tr>
    </w:tbl>
    <w:p>
      <w:pPr>
        <w:spacing w:after="40" w:line="20" w:lineRule="exact"/>
      </w:pPr>
      <w:r>
        <w:rPr>
          <w:sz w:val="2"/>
        </w:rPr>
      </w:r>
    </w:p>
    <w:p>
      <w:r>
        <w:rPr>
          <w:sz w:val="18"/>
        </w:rPr>
        <w:t>Table S3. Acceptance tests to run before claiming MAF integration (not results already obtained).</w:t>
      </w:r>
    </w:p>
    <w:tbl>
      <w:tblPr>
        <w:tblW w:type="auto" w:w="0"/>
        <w:tblLayout w:type="fixed"/>
        <w:tblLook w:firstColumn="1" w:firstRow="1" w:lastColumn="0" w:lastRow="0" w:noHBand="0" w:noVBand="1" w:val="04A0"/>
        <w:tblBorders>
          <w:top w:val="single" w:sz="4" w:color="B8C5D6"/>
          <w:left w:val="single" w:sz="4" w:color="B8C5D6"/>
          <w:bottom w:val="single" w:sz="4" w:color="B8C5D6"/>
          <w:right w:val="single" w:sz="4" w:color="B8C5D6"/>
          <w:insideH w:val="single" w:sz="4" w:color="B8C5D6"/>
          <w:insideV w:val="single" w:sz="4" w:color="B8C5D6"/>
        </w:tblBorders>
      </w:tblPr>
      <w:tblGrid>
        <w:gridCol w:w="3384"/>
        <w:gridCol w:w="5976"/>
      </w:tblGrid>
      <w:tr>
        <w:trPr>
          <w:tblHeader/>
          <w:cantSplit/>
        </w:trPr>
        <w:tc>
          <w:tcPr>
            <w:tcW w:type="dxa" w:w="3384"/>
            <w:shd w:fill="E8EEF7"/>
          </w:tcPr>
          <w:p>
            <w:pPr>
              <w:spacing w:before="40" w:after="40" w:line="240" w:lineRule="auto"/>
            </w:pPr>
            <w:r>
              <w:rPr>
                <w:b/>
                <w:sz w:val="19"/>
              </w:rPr>
              <w:t>Test</w:t>
            </w:r>
          </w:p>
        </w:tc>
        <w:tc>
          <w:tcPr>
            <w:tcW w:type="dxa" w:w="5976"/>
            <w:shd w:fill="E8EEF7"/>
          </w:tcPr>
          <w:p>
            <w:pPr>
              <w:spacing w:before="40" w:after="40" w:line="240" w:lineRule="auto"/>
            </w:pPr>
            <w:r>
              <w:rPr>
                <w:b/>
                <w:sz w:val="19"/>
              </w:rPr>
              <w:t>Required observation</w:t>
            </w:r>
          </w:p>
        </w:tc>
      </w:tr>
      <w:tr>
        <w:trPr>
          <w:cantSplit/>
        </w:trPr>
        <w:tc>
          <w:tcPr>
            <w:tcW w:type="dxa" w:w="3384"/>
          </w:tcPr>
          <w:p>
            <w:pPr>
              <w:spacing w:before="40" w:after="40" w:line="240" w:lineRule="auto"/>
            </w:pPr>
            <w:r>
              <w:rPr>
                <w:sz w:val="19"/>
              </w:rPr>
              <w:t>Missing essential operation</w:t>
            </w:r>
          </w:p>
        </w:tc>
        <w:tc>
          <w:tcPr>
            <w:tcW w:type="dxa" w:w="5976"/>
          </w:tcPr>
          <w:p>
            <w:pPr>
              <w:spacing w:before="40" w:after="40" w:line="240" w:lineRule="auto"/>
            </w:pPr>
            <w:r>
              <w:rPr>
                <w:sz w:val="19"/>
              </w:rPr>
              <w:t>No agent/model invocation; recorded scoped blocking reason.</w:t>
            </w:r>
          </w:p>
        </w:tc>
      </w:tr>
      <w:tr>
        <w:trPr>
          <w:cantSplit/>
        </w:trPr>
        <w:tc>
          <w:tcPr>
            <w:tcW w:type="dxa" w:w="3384"/>
          </w:tcPr>
          <w:p>
            <w:pPr>
              <w:spacing w:before="40" w:after="40" w:line="240" w:lineRule="auto"/>
            </w:pPr>
            <w:r>
              <w:rPr>
                <w:sz w:val="19"/>
              </w:rPr>
              <w:t>Missing optional diagnostics</w:t>
            </w:r>
          </w:p>
        </w:tc>
        <w:tc>
          <w:tcPr>
            <w:tcW w:type="dxa" w:w="5976"/>
          </w:tcPr>
          <w:p>
            <w:pPr>
              <w:spacing w:before="40" w:after="40" w:line="240" w:lineRule="auto"/>
            </w:pPr>
            <w:r>
              <w:rPr>
                <w:sz w:val="19"/>
              </w:rPr>
              <w:t>Achievable business goal is not rejected merely because optional work is unavailable.</w:t>
            </w:r>
          </w:p>
        </w:tc>
      </w:tr>
      <w:tr>
        <w:trPr>
          <w:cantSplit/>
        </w:trPr>
        <w:tc>
          <w:tcPr>
            <w:tcW w:type="dxa" w:w="3384"/>
          </w:tcPr>
          <w:p>
            <w:pPr>
              <w:spacing w:before="40" w:after="40" w:line="240" w:lineRule="auto"/>
            </w:pPr>
            <w:r>
              <w:rPr>
                <w:sz w:val="19"/>
              </w:rPr>
              <w:t>Unsupported synthesis / timeout</w:t>
            </w:r>
          </w:p>
        </w:tc>
        <w:tc>
          <w:tcPr>
            <w:tcW w:type="dxa" w:w="5976"/>
          </w:tcPr>
          <w:p>
            <w:pPr>
              <w:spacing w:before="40" w:after="40" w:line="240" w:lineRule="auto"/>
            </w:pPr>
            <w:r>
              <w:rPr>
                <w:sz w:val="19"/>
              </w:rPr>
              <w:t>Review-required outcome; no silent admission.</w:t>
            </w:r>
          </w:p>
        </w:tc>
      </w:tr>
      <w:tr>
        <w:trPr>
          <w:cantSplit/>
        </w:trPr>
        <w:tc>
          <w:tcPr>
            <w:tcW w:type="dxa" w:w="3384"/>
          </w:tcPr>
          <w:p>
            <w:pPr>
              <w:spacing w:before="40" w:after="40" w:line="240" w:lineRule="auto"/>
            </w:pPr>
            <w:r>
              <w:rPr>
                <w:sz w:val="19"/>
              </w:rPr>
              <w:t>Empty / incomplete / misaligned extraction</w:t>
            </w:r>
          </w:p>
        </w:tc>
        <w:tc>
          <w:tcPr>
            <w:tcW w:type="dxa" w:w="5976"/>
          </w:tcPr>
          <w:p>
            <w:pPr>
              <w:spacing w:before="40" w:after="40" w:line="240" w:lineRule="auto"/>
            </w:pPr>
            <w:r>
              <w:rPr>
                <w:sz w:val="19"/>
              </w:rPr>
              <w:t>Postcondition failure, including empty-list regression; no false success.</w:t>
            </w:r>
          </w:p>
        </w:tc>
      </w:tr>
      <w:tr>
        <w:trPr>
          <w:cantSplit/>
        </w:trPr>
        <w:tc>
          <w:tcPr>
            <w:tcW w:type="dxa" w:w="3384"/>
          </w:tcPr>
          <w:p>
            <w:pPr>
              <w:spacing w:before="40" w:after="40" w:line="240" w:lineRule="auto"/>
            </w:pPr>
            <w:r>
              <w:rPr>
                <w:sz w:val="19"/>
              </w:rPr>
              <w:t>Tool grant or goal changed after admission</w:t>
            </w:r>
          </w:p>
        </w:tc>
        <w:tc>
          <w:tcPr>
            <w:tcW w:type="dxa" w:w="5976"/>
          </w:tcPr>
          <w:p>
            <w:pPr>
              <w:spacing w:before="40" w:after="40" w:line="240" w:lineRule="auto"/>
            </w:pPr>
            <w:r>
              <w:rPr>
                <w:sz w:val="19"/>
              </w:rPr>
              <w:t>Stale result is invalidated; changed context is checked again.</w:t>
            </w:r>
          </w:p>
        </w:tc>
      </w:tr>
      <w:tr>
        <w:trPr>
          <w:cantSplit/>
        </w:trPr>
        <w:tc>
          <w:tcPr>
            <w:tcW w:type="dxa" w:w="3384"/>
          </w:tcPr>
          <w:p>
            <w:pPr>
              <w:spacing w:before="40" w:after="40" w:line="240" w:lineRule="auto"/>
            </w:pPr>
            <w:r>
              <w:rPr>
                <w:sz w:val="19"/>
              </w:rPr>
              <w:t>Streaming and workflow branches</w:t>
            </w:r>
          </w:p>
        </w:tc>
        <w:tc>
          <w:tcPr>
            <w:tcW w:type="dxa" w:w="5976"/>
          </w:tcPr>
          <w:p>
            <w:pPr>
              <w:spacing w:before="40" w:after="40" w:line="240" w:lineRule="auto"/>
            </w:pPr>
            <w:r>
              <w:rPr>
                <w:sz w:val="19"/>
              </w:rPr>
              <w:t>Rejection emits no model stream; each fan-out path has the intended scope and policy.</w:t>
            </w:r>
          </w:p>
        </w:tc>
      </w:tr>
    </w:tbl>
    <w:p>
      <w:pPr>
        <w:spacing w:after="40" w:line="20" w:lineRule="exact"/>
      </w:pPr>
      <w:r>
        <w:rPr>
          <w:sz w:val="2"/>
        </w:rPr>
      </w:r>
    </w:p>
    <w:p>
      <w:pPr>
        <w:pStyle w:val="Heading1"/>
        <w:pageBreakBefore/>
      </w:pPr>
      <w:r>
        <w:t>S8. Evidence provenance and reproducibility</w:t>
      </w:r>
    </w:p>
    <w:p>
      <w:r>
        <w:t>The figures and per-task table aggregate saved results rather than rerunning paid model calls. The main MCP matrix is stored in runs\20260921_133023Z_live_backends; the primary LangExtract result is runs\20260921_langextract_live\postcondition_checked. The earlier LangExtract diagnostic run remains in the measured subdirectory and is not silently included in the primary four-configuration comparison.</w:t>
      </w:r>
    </w:p>
    <w:tbl>
      <w:tblPr>
        <w:tblW w:type="auto" w:w="0"/>
        <w:tblLayout w:type="fixed"/>
        <w:tblLook w:firstColumn="1" w:firstRow="1" w:lastColumn="0" w:lastRow="0" w:noHBand="0" w:noVBand="1" w:val="04A0"/>
        <w:tblBorders>
          <w:top w:val="single" w:sz="4" w:color="B8C5D6"/>
          <w:left w:val="single" w:sz="4" w:color="B8C5D6"/>
          <w:bottom w:val="single" w:sz="4" w:color="B8C5D6"/>
          <w:right w:val="single" w:sz="4" w:color="B8C5D6"/>
          <w:insideH w:val="single" w:sz="4" w:color="B8C5D6"/>
          <w:insideV w:val="single" w:sz="4" w:color="B8C5D6"/>
        </w:tblBorders>
      </w:tblPr>
      <w:tblGrid>
        <w:gridCol w:w="2952"/>
        <w:gridCol w:w="6408"/>
      </w:tblGrid>
      <w:tr>
        <w:trPr>
          <w:tblHeader/>
          <w:cantSplit/>
        </w:trPr>
        <w:tc>
          <w:tcPr>
            <w:tcW w:type="dxa" w:w="2952"/>
            <w:shd w:fill="E8EEF7"/>
          </w:tcPr>
          <w:p>
            <w:pPr>
              <w:spacing w:before="40" w:after="40" w:line="240" w:lineRule="auto"/>
            </w:pPr>
            <w:r>
              <w:rPr>
                <w:b/>
                <w:sz w:val="19"/>
              </w:rPr>
              <w:t>Evidence</w:t>
            </w:r>
          </w:p>
        </w:tc>
        <w:tc>
          <w:tcPr>
            <w:tcW w:type="dxa" w:w="6408"/>
            <w:shd w:fill="E8EEF7"/>
          </w:tcPr>
          <w:p>
            <w:pPr>
              <w:spacing w:before="40" w:after="40" w:line="240" w:lineRule="auto"/>
            </w:pPr>
            <w:r>
              <w:rPr>
                <w:b/>
                <w:sz w:val="19"/>
              </w:rPr>
              <w:t>Accounting / interpretation</w:t>
            </w:r>
          </w:p>
        </w:tc>
      </w:tr>
      <w:tr>
        <w:trPr>
          <w:cantSplit/>
        </w:trPr>
        <w:tc>
          <w:tcPr>
            <w:tcW w:type="dxa" w:w="2952"/>
          </w:tcPr>
          <w:p>
            <w:pPr>
              <w:spacing w:before="40" w:after="40" w:line="240" w:lineRule="auto"/>
            </w:pPr>
            <w:r>
              <w:rPr>
                <w:sz w:val="19"/>
              </w:rPr>
              <w:t>MCP run</w:t>
            </w:r>
          </w:p>
        </w:tc>
        <w:tc>
          <w:tcPr>
            <w:tcW w:type="dxa" w:w="6408"/>
          </w:tcPr>
          <w:p>
            <w:pPr>
              <w:spacing w:before="40" w:after="40" w:line="240" w:lineRule="auto"/>
            </w:pPr>
            <w:r>
              <w:rPr>
                <w:sz w:val="19"/>
              </w:rPr>
              <w:t>52 scenarios; 260 initialized sessions including references; 331 tool calls; 227 Azure calls; 131,436 tokens.</w:t>
            </w:r>
          </w:p>
        </w:tc>
      </w:tr>
      <w:tr>
        <w:trPr>
          <w:cantSplit/>
        </w:trPr>
        <w:tc>
          <w:tcPr>
            <w:tcW w:type="dxa" w:w="2952"/>
          </w:tcPr>
          <w:p>
            <w:pPr>
              <w:spacing w:before="40" w:after="40" w:line="240" w:lineRule="auto"/>
            </w:pPr>
            <w:r>
              <w:rPr>
                <w:sz w:val="19"/>
              </w:rPr>
              <w:t>Corrected LangExtract</w:t>
            </w:r>
          </w:p>
        </w:tc>
        <w:tc>
          <w:tcPr>
            <w:tcW w:type="dxa" w:w="6408"/>
          </w:tcPr>
          <w:p>
            <w:pPr>
              <w:spacing w:before="40" w:after="40" w:line="240" w:lineRule="auto"/>
            </w:pPr>
            <w:r>
              <w:rPr>
                <w:sz w:val="19"/>
              </w:rPr>
              <w:t>4 scenarios x 4 configurations; 24 Azure calls; 7,128 tokens, including nested inference.</w:t>
            </w:r>
          </w:p>
        </w:tc>
      </w:tr>
      <w:tr>
        <w:trPr>
          <w:cantSplit/>
        </w:trPr>
        <w:tc>
          <w:tcPr>
            <w:tcW w:type="dxa" w:w="2952"/>
          </w:tcPr>
          <w:p>
            <w:pPr>
              <w:spacing w:before="40" w:after="40" w:line="240" w:lineRule="auto"/>
            </w:pPr>
            <w:r>
              <w:rPr>
                <w:sz w:val="19"/>
              </w:rPr>
              <w:t>Primary combined comparison</w:t>
            </w:r>
          </w:p>
        </w:tc>
        <w:tc>
          <w:tcPr>
            <w:tcW w:type="dxa" w:w="6408"/>
          </w:tcPr>
          <w:p>
            <w:pPr>
              <w:spacing w:before="40" w:after="40" w:line="240" w:lineRule="auto"/>
            </w:pPr>
            <w:r>
              <w:rPr>
                <w:sz w:val="19"/>
              </w:rPr>
              <w:t>56 scenarios per configuration; 251 calls overall; 138,564 tokens in total.</w:t>
            </w:r>
          </w:p>
        </w:tc>
      </w:tr>
      <w:tr>
        <w:trPr>
          <w:cantSplit/>
        </w:trPr>
        <w:tc>
          <w:tcPr>
            <w:tcW w:type="dxa" w:w="2952"/>
          </w:tcPr>
          <w:p>
            <w:pPr>
              <w:spacing w:before="40" w:after="40" w:line="240" w:lineRule="auto"/>
            </w:pPr>
            <w:r>
              <w:rPr>
                <w:sz w:val="19"/>
              </w:rPr>
              <w:t>Retained LangExtract diagnostic</w:t>
            </w:r>
          </w:p>
        </w:tc>
        <w:tc>
          <w:tcPr>
            <w:tcW w:type="dxa" w:w="6408"/>
          </w:tcPr>
          <w:p>
            <w:pPr>
              <w:spacing w:before="40" w:after="40" w:line="240" w:lineRule="auto"/>
            </w:pPr>
            <w:r>
              <w:rPr>
                <w:sz w:val="19"/>
              </w:rPr>
              <w:t>7,563 additional tokens; excluded from the main comparison, included in total experiment cost.</w:t>
            </w:r>
          </w:p>
        </w:tc>
      </w:tr>
      <w:tr>
        <w:trPr>
          <w:cantSplit/>
        </w:trPr>
        <w:tc>
          <w:tcPr>
            <w:tcW w:type="dxa" w:w="2952"/>
          </w:tcPr>
          <w:p>
            <w:pPr>
              <w:spacing w:before="40" w:after="40" w:line="240" w:lineRule="auto"/>
            </w:pPr>
            <w:r>
              <w:rPr>
                <w:sz w:val="19"/>
              </w:rPr>
              <w:t>Total including diagnostic</w:t>
            </w:r>
          </w:p>
        </w:tc>
        <w:tc>
          <w:tcPr>
            <w:tcW w:type="dxa" w:w="6408"/>
          </w:tcPr>
          <w:p>
            <w:pPr>
              <w:spacing w:before="40" w:after="40" w:line="240" w:lineRule="auto"/>
            </w:pPr>
            <w:r>
              <w:rPr>
                <w:sz w:val="19"/>
              </w:rPr>
              <w:t>146,127 tokens and 277 distinct calls; reused CSV/SQLite ledgers counted once.</w:t>
            </w:r>
          </w:p>
        </w:tc>
      </w:tr>
      <w:tr>
        <w:trPr>
          <w:cantSplit/>
        </w:trPr>
        <w:tc>
          <w:tcPr>
            <w:tcW w:type="dxa" w:w="2952"/>
          </w:tcPr>
          <w:p>
            <w:pPr>
              <w:spacing w:before="40" w:after="40" w:line="240" w:lineRule="auto"/>
            </w:pPr>
            <w:r>
              <w:rPr>
                <w:sz w:val="19"/>
              </w:rPr>
              <w:t>What is not established</w:t>
            </w:r>
          </w:p>
        </w:tc>
        <w:tc>
          <w:tcPr>
            <w:tcW w:type="dxa" w:w="6408"/>
          </w:tcPr>
          <w:p>
            <w:pPr>
              <w:spacing w:before="40" w:after="40" w:line="240" w:lineRule="auto"/>
            </w:pPr>
            <w:r>
              <w:rPr>
                <w:sz w:val="19"/>
              </w:rPr>
              <w:t>Production prevalence, general compaction accuracy, MAF performance, or measured multi-agent protocol-failure savings.</w:t>
            </w:r>
          </w:p>
        </w:tc>
      </w:tr>
    </w:tbl>
    <w:p>
      <w:pPr>
        <w:spacing w:after="40" w:line="20" w:lineRule="exact"/>
      </w:pPr>
      <w:r>
        <w:rPr>
          <w:sz w:val="2"/>
        </w:rPr>
      </w:r>
    </w:p>
    <w:p>
      <w:r>
        <w:t>The benchmark verifier reconciles provider usage, request hashes, discovered tools, saved trial outcomes, and actual artifacts. The MCP restrictions are physically enforced; labels are relative to the authored adapter contracts. Five catalogued cloud/Aspire workflows remain unexecuted rather than being replaced by mock results. The primary trials use real backends but are not unchanged production skill workflows.</w:t>
      </w:r>
    </w:p>
    <w:p>
      <w:r>
        <w:t>Reproduction entry points are benchmark_live_backends.py / verify_live_backends.py and benchmark_langextract_live.py / verify_langextract_live.py under scripts. Use a fresh run directory for new live trials and the optional LangExtract environment. Keep credentials out of manuscripts and artifacts. The canonical source for the original paper is main_submission.pdf; its LaTeX and PDF are not modified by this adaptation.</w:t>
      </w:r>
    </w:p>
    <w:p>
      <w:pPr>
        <w:pStyle w:val="Heading1"/>
        <w:pageBreakBefore w:val="0"/>
      </w:pPr>
      <w:r>
        <w:t>Source notes</w:t>
      </w:r>
    </w:p>
    <w:p>
      <w:r>
        <w:rPr>
          <w:sz w:val="18"/>
        </w:rPr>
        <w:t>The related-work bibliography is in MLADS_AGENT_Submission.docx, after its four content pages.</w:t>
      </w:r>
    </w:p>
    <w:p>
      <w:r>
        <w:rPr>
          <w:sz w:val="18"/>
        </w:rPr>
        <w:t>Our benchmark records are experiment provenance, not bibliography entries. The live study, correction report and token-economics evidence guide under docs, together with the saved run ledgers, identify the inputs and accounting. S11-S12 extends this audit to the earlier experiments and commit-pinned historical data.</w:t>
      </w:r>
    </w:p>
    <w:p>
      <w:r>
        <w:rPr>
          <w:sz w:val="18"/>
        </w:rPr>
        <w:t>API details and version caveats: docs\MICROSOFT_AGENT_FRAMEWORK_INTEGRATION_RESEARCH.md. The integration and its performance remain untested.</w:t>
      </w:r>
    </w:p>
    <w:p>
      <w:r>
        <w:rPr>
          <w:sz w:val="18"/>
        </w:rPr>
        <w:t>Original 15-pack corpus: positive class = ACHIEVABLE.</w:t>
      </w:r>
    </w:p>
    <w:tbl>
      <w:tblPr>
        <w:tblW w:type="auto" w:w="0"/>
        <w:tblLayout w:type="fixed"/>
        <w:tblLook w:firstColumn="1" w:firstRow="1" w:lastColumn="0" w:lastRow="0" w:noHBand="0" w:noVBand="1" w:val="04A0"/>
        <w:tblBorders>
          <w:top w:val="single" w:sz="4" w:color="B8C5D6"/>
          <w:left w:val="single" w:sz="4" w:color="B8C5D6"/>
          <w:bottom w:val="single" w:sz="4" w:color="B8C5D6"/>
          <w:right w:val="single" w:sz="4" w:color="B8C5D6"/>
          <w:insideH w:val="single" w:sz="4" w:color="B8C5D6"/>
          <w:insideV w:val="single" w:sz="4" w:color="B8C5D6"/>
        </w:tblBorders>
      </w:tblPr>
      <w:tblGrid>
        <w:gridCol w:w="3312"/>
        <w:gridCol w:w="3024"/>
        <w:gridCol w:w="3024"/>
      </w:tblGrid>
      <w:tr>
        <w:trPr>
          <w:tblHeader/>
          <w:cantSplit/>
        </w:trPr>
        <w:tc>
          <w:tcPr>
            <w:tcW w:type="dxa" w:w="3312"/>
            <w:shd w:fill="E8EEF7"/>
          </w:tcPr>
          <w:p>
            <w:pPr>
              <w:spacing w:before="40" w:after="40" w:line="240" w:lineRule="auto"/>
            </w:pPr>
            <w:r>
              <w:rPr>
                <w:b/>
                <w:sz w:val="18"/>
              </w:rPr>
              <w:t>Ground truth</w:t>
            </w:r>
          </w:p>
        </w:tc>
        <w:tc>
          <w:tcPr>
            <w:tcW w:type="dxa" w:w="3024"/>
            <w:shd w:fill="E8EEF7"/>
          </w:tcPr>
          <w:p>
            <w:pPr>
              <w:spacing w:before="40" w:after="40" w:line="240" w:lineRule="auto"/>
            </w:pPr>
            <w:r>
              <w:rPr>
                <w:b/>
                <w:sz w:val="18"/>
              </w:rPr>
              <w:t>Predicted achievable</w:t>
            </w:r>
          </w:p>
        </w:tc>
        <w:tc>
          <w:tcPr>
            <w:tcW w:type="dxa" w:w="3024"/>
            <w:shd w:fill="E8EEF7"/>
          </w:tcPr>
          <w:p>
            <w:pPr>
              <w:spacing w:before="40" w:after="40" w:line="240" w:lineRule="auto"/>
            </w:pPr>
            <w:r>
              <w:rPr>
                <w:b/>
                <w:sz w:val="18"/>
              </w:rPr>
              <w:t>Predicted impossible</w:t>
            </w:r>
          </w:p>
        </w:tc>
      </w:tr>
      <w:tr>
        <w:trPr>
          <w:cantSplit/>
        </w:trPr>
        <w:tc>
          <w:tcPr>
            <w:tcW w:type="dxa" w:w="3312"/>
          </w:tcPr>
          <w:p>
            <w:pPr>
              <w:spacing w:before="40" w:after="40" w:line="240" w:lineRule="auto"/>
            </w:pPr>
            <w:r>
              <w:rPr>
                <w:sz w:val="18"/>
              </w:rPr>
              <w:t>Actually achievable</w:t>
            </w:r>
          </w:p>
        </w:tc>
        <w:tc>
          <w:tcPr>
            <w:tcW w:type="dxa" w:w="3024"/>
          </w:tcPr>
          <w:p>
            <w:pPr>
              <w:spacing w:before="40" w:after="40" w:line="240" w:lineRule="auto"/>
            </w:pPr>
            <w:r>
              <w:rPr>
                <w:sz w:val="18"/>
              </w:rPr>
              <w:t>6</w:t>
            </w:r>
          </w:p>
        </w:tc>
        <w:tc>
          <w:tcPr>
            <w:tcW w:type="dxa" w:w="3024"/>
          </w:tcPr>
          <w:p>
            <w:pPr>
              <w:spacing w:before="40" w:after="40" w:line="240" w:lineRule="auto"/>
            </w:pPr>
            <w:r>
              <w:rPr>
                <w:sz w:val="18"/>
              </w:rPr>
              <w:t>0</w:t>
            </w:r>
          </w:p>
        </w:tc>
      </w:tr>
      <w:tr>
        <w:trPr>
          <w:cantSplit/>
        </w:trPr>
        <w:tc>
          <w:tcPr>
            <w:tcW w:type="dxa" w:w="3312"/>
          </w:tcPr>
          <w:p>
            <w:pPr>
              <w:spacing w:before="40" w:after="40" w:line="240" w:lineRule="auto"/>
            </w:pPr>
            <w:r>
              <w:rPr>
                <w:sz w:val="18"/>
              </w:rPr>
              <w:t>Actually impossible</w:t>
            </w:r>
          </w:p>
        </w:tc>
        <w:tc>
          <w:tcPr>
            <w:tcW w:type="dxa" w:w="3024"/>
          </w:tcPr>
          <w:p>
            <w:pPr>
              <w:spacing w:before="40" w:after="40" w:line="240" w:lineRule="auto"/>
            </w:pPr>
            <w:r>
              <w:rPr>
                <w:sz w:val="18"/>
              </w:rPr>
              <w:t>2</w:t>
            </w:r>
          </w:p>
        </w:tc>
        <w:tc>
          <w:tcPr>
            <w:tcW w:type="dxa" w:w="3024"/>
          </w:tcPr>
          <w:p>
            <w:pPr>
              <w:spacing w:before="40" w:after="40" w:line="240" w:lineRule="auto"/>
            </w:pPr>
            <w:r>
              <w:rPr>
                <w:sz w:val="18"/>
              </w:rPr>
              <w:t>7</w:t>
            </w:r>
          </w:p>
        </w:tc>
      </w:tr>
    </w:tbl>
    <w:p>
      <w:pPr>
        <w:spacing w:after="40" w:line="20" w:lineRule="exact"/>
      </w:pPr>
      <w:r>
        <w:rPr>
          <w:sz w:val="2"/>
        </w:rPr>
      </w:r>
    </w:p>
    <w:p>
      <w:r>
        <w:rPr>
          <w:sz w:val="20"/>
        </w:rPr>
        <w:t>Six achievable controls and seven structural failures are classified correctly; two planted false admissions expose intent/payload gaps. The separate six-case extension returns two ACHIEVABLE, three IMPOSSIBLE, and one UNKNOWN; it is not pooled into this matrix.</w:t>
      </w:r>
    </w:p>
    <w:p>
      <w:pPr>
        <w:pStyle w:val="Heading1"/>
        <w:pageBreakBefore/>
      </w:pPr>
      <w:r>
        <w:t>S9. Formal model and principal guarantees</w:t>
      </w:r>
    </w:p>
    <w:p>
      <w:r>
        <w:t>The following restates our theoretical results from the original manuscript's Appendices A-D, rather than introducing new theorems. The original numbering is retained. These results explain the static-validation boundary behind the implementation.</w:t>
      </w:r>
    </w:p>
    <w:p>
      <w:pPr>
        <w:pStyle w:val="Heading2"/>
        <w:pageBreakBefore w:val="0"/>
      </w:pPr>
      <w:r>
        <w:t>Model and abstraction</w:t>
      </w:r>
    </w:p>
    <w:p>
      <w:r>
        <w:t>A pack P = (Γ, G, φ_goal, W₀) fixes a capability context, global protocol, goal and initial world. Each capability has a guard and Boolean/numeric effects. Configurations pair residual protocol with world state. Achievability asks for a declared run reaching a goal-satisfying configuration; a goal marker checks the world at that point, not an eventual promise. Protocol realizability and role conformance are separate premises, not consequences of possessing the right tools.</w:t>
      </w:r>
    </w:p>
    <w:p>
      <w:r>
        <w:t>Let a map concrete configurations to abstract configurations. STEP-SIM requires every concrete transition C → C' to have a corresponding abstract transition a(C) → a(C'). GOAL-SIM requires every concrete goal state to map to an abstract goal state. Induction transports an entire concrete run to an abstract run.</w:t>
      </w:r>
    </w:p>
    <w:p>
      <w:pPr>
        <w:pStyle w:val="Heading2"/>
        <w:pageBreakBefore w:val="0"/>
      </w:pPr>
      <w:r>
        <w:t>Theorem 1. Refutation soundness</w:t>
      </w:r>
    </w:p>
    <w:p>
      <w:r>
        <w:t>Under STEP-SIM and GOAL-SIM, if no abstract goal is reachable from a(G, W₀), no declared run of that pack reaches φ_goal. Proof idea: any concrete success would transport to an abstract success, contradicting the failed abstract reachability query. This is a pack-relative implication, not a claim that extraction captured the user's intent or that real tools implement their declared effects.</w:t>
      </w:r>
    </w:p>
    <w:p>
      <w:pPr>
        <w:pStyle w:val="Heading2"/>
        <w:pageBreakBefore w:val="0"/>
      </w:pPr>
      <w:r>
        <w:t>Theorems 2-3. Tolerance and capability monotonicity</w:t>
      </w:r>
    </w:p>
    <w:p>
      <w:r>
        <w:t>Tolerance soundness: when every fine-model transition is also a coarse-model transition and the goal predicate is unchanged, a coarse-model refutation also refutes the fine model. Adding abstract transitions may introduce spurious witnesses or lose a refutation; it cannot invalidate a refutation obtained in that over-approximation.</w:t>
      </w:r>
    </w:p>
    <w:p>
      <w:r>
        <w:t>Capability monotonicity: if Γ is included in Γ' and the old guards/effects, goal and initial context are unchanged, every existing witness remains available. The proof lifts step-relation inclusion to reachability. It does not cover replacing an existing tool with different semantics or assuming an agent will choose the witness.</w:t>
      </w:r>
    </w:p>
    <w:p>
      <w:pPr>
        <w:pStyle w:val="Heading2"/>
        <w:pageBreakBefore w:val="0"/>
      </w:pPr>
      <w:r>
        <w:t>Theorems 4-5. Operational correspondence</w:t>
      </w:r>
    </w:p>
    <w:p>
      <w:r>
        <w:t>Subject reduction: a step of a well-typed session has a matching protocol step, and the residual session remains typed. Session fidelity gives the converse matching step from protocol to session. The paper assumes commuting effects for world-changing actions by different participants; communication-only steps satisfy this condition automatically. These are results for the formal direct judgment, not evidence that the Python projection/conformance implementation is mechanically equivalent to it.</w:t>
      </w:r>
    </w:p>
    <w:p>
      <w:pPr>
        <w:pStyle w:val="Heading2"/>
        <w:pageBreakBefore w:val="0"/>
      </w:pPr>
      <w:r>
        <w:t>Proposition 1. Why admission remains conditional</w:t>
      </w:r>
    </w:p>
    <w:p>
      <w:r>
        <w:t>An abstract witness need not correspond to a successful concrete execution when abstraction forgets a relevant distinction. Thus ACHIEVABLE is not a runtime guarantee. Intent review addresses the source-to-pack gap; runtime verification addresses the declared-effect-to-actual-payload gap. Neither obligation disappears because a structural check passed.</w:t>
      </w:r>
    </w:p>
    <w:p>
      <w:pPr>
        <w:pStyle w:val="Heading1"/>
        <w:pageBreakBefore/>
      </w:pPr>
      <w:r>
        <w:t>S10. Termination boundary and proof coverage</w:t>
      </w:r>
    </w:p>
    <w:p>
      <w:pPr>
        <w:pStyle w:val="Heading2"/>
        <w:pageBreakBefore w:val="0"/>
      </w:pPr>
      <w:r>
        <w:t>Theorem 6. Termination of widened search</w:t>
      </w:r>
    </w:p>
    <w:p>
      <w:r>
        <w:t>For fixed finitely many roles, regular protocols represented as finite tail-recursive control graphs, decidable state logic and logic-definable effects, the source paper's widened symbolic search terminates (original Appendix D.5). It decides the widened abstract judgment: IMPOSSIBLE transfers to exact pack reachability under the simulation hypotheses, whereas ACHIEVABLE may be spurious.</w:t>
      </w:r>
    </w:p>
    <w:p>
      <w:r>
        <w:t>The argument combines finite residual control, finitely many Boolean valuations, and numeric widening. On a control-graph back edge, the reference procedure forgets accumulated numeric constraints by replacing them with true. A visited-set search then explores a finite abstract space; each edge uses a decidable SMT query. This is the paper's reference-search argument, not a new proof of all executable paths.</w:t>
      </w:r>
    </w:p>
    <w:p>
      <w:pPr>
        <w:pStyle w:val="Heading2"/>
        <w:pageBreakBefore w:val="0"/>
      </w:pPr>
      <w:r>
        <w:t>Proposition 2. Limits of exact reachability</w:t>
      </w:r>
    </w:p>
    <w:p>
      <w:r>
        <w:t>Exact reachability with unbounded integer counters can already encode a two-counter machine under fixed participants. Separately, the paper's dynamic-topology extension allows an unbounded role population, fresh per-role state and dynamic channels; its undecidability argument encodes communicating finite-state machines with unbounded queues. Numeric widening alone does not make that control space finite. These are specific expressiveness boundaries, not a claim that all agent autonomy is undecidable.</w:t>
      </w:r>
    </w:p>
    <w:p>
      <w:r>
        <w:rPr>
          <w:sz w:val="18"/>
        </w:rPr>
        <w:t>Table S4. Proof coverage reported in the source paper and its formalization.</w:t>
      </w:r>
    </w:p>
    <w:tbl>
      <w:tblPr>
        <w:tblW w:type="auto" w:w="0"/>
        <w:tblLayout w:type="fixed"/>
        <w:tblLook w:firstColumn="1" w:firstRow="1" w:lastColumn="0" w:lastRow="0" w:noHBand="0" w:noVBand="1" w:val="04A0"/>
        <w:tblBorders>
          <w:top w:val="single" w:sz="4" w:color="B8C5D6"/>
          <w:left w:val="single" w:sz="4" w:color="B8C5D6"/>
          <w:bottom w:val="single" w:sz="4" w:color="B8C5D6"/>
          <w:right w:val="single" w:sz="4" w:color="B8C5D6"/>
          <w:insideH w:val="single" w:sz="4" w:color="B8C5D6"/>
          <w:insideV w:val="single" w:sz="4" w:color="B8C5D6"/>
        </w:tblBorders>
      </w:tblPr>
      <w:tblGrid>
        <w:gridCol w:w="3096"/>
        <w:gridCol w:w="6264"/>
      </w:tblGrid>
      <w:tr>
        <w:trPr>
          <w:tblHeader/>
          <w:cantSplit/>
        </w:trPr>
        <w:tc>
          <w:tcPr>
            <w:tcW w:type="dxa" w:w="3096"/>
            <w:shd w:fill="E8EEF7"/>
          </w:tcPr>
          <w:p>
            <w:pPr>
              <w:spacing w:before="40" w:after="40" w:line="240" w:lineRule="auto"/>
            </w:pPr>
            <w:r>
              <w:rPr>
                <w:b/>
                <w:sz w:val="19"/>
              </w:rPr>
              <w:t>Result</w:t>
            </w:r>
          </w:p>
        </w:tc>
        <w:tc>
          <w:tcPr>
            <w:tcW w:type="dxa" w:w="6264"/>
            <w:shd w:fill="E8EEF7"/>
          </w:tcPr>
          <w:p>
            <w:pPr>
              <w:spacing w:before="40" w:after="40" w:line="240" w:lineRule="auto"/>
            </w:pPr>
            <w:r>
              <w:rPr>
                <w:b/>
                <w:sz w:val="19"/>
              </w:rPr>
              <w:t>Mechanized versus paper-level scope</w:t>
            </w:r>
          </w:p>
        </w:tc>
      </w:tr>
      <w:tr>
        <w:trPr>
          <w:cantSplit/>
        </w:trPr>
        <w:tc>
          <w:tcPr>
            <w:tcW w:type="dxa" w:w="3096"/>
          </w:tcPr>
          <w:p>
            <w:pPr>
              <w:spacing w:before="40" w:after="40" w:line="240" w:lineRule="auto"/>
            </w:pPr>
            <w:r>
              <w:rPr>
                <w:sz w:val="19"/>
              </w:rPr>
              <w:t>Refutation and tolerance</w:t>
            </w:r>
          </w:p>
        </w:tc>
        <w:tc>
          <w:tcPr>
            <w:tcW w:type="dxa" w:w="6264"/>
          </w:tcPr>
          <w:p>
            <w:pPr>
              <w:spacing w:before="40" w:after="40" w:line="240" w:lineRule="auto"/>
            </w:pPr>
            <w:r>
              <w:rPr>
                <w:sz w:val="19"/>
              </w:rPr>
              <w:t>Coq theorem schemas, axiom-free; refutation is parameterized by step and goal simulation.</w:t>
            </w:r>
          </w:p>
        </w:tc>
      </w:tr>
      <w:tr>
        <w:trPr>
          <w:cantSplit/>
        </w:trPr>
        <w:tc>
          <w:tcPr>
            <w:tcW w:type="dxa" w:w="3096"/>
          </w:tcPr>
          <w:p>
            <w:pPr>
              <w:spacing w:before="40" w:after="40" w:line="240" w:lineRule="auto"/>
            </w:pPr>
            <w:r>
              <w:rPr>
                <w:sz w:val="19"/>
              </w:rPr>
              <w:t>Capability monotonicity</w:t>
            </w:r>
          </w:p>
        </w:tc>
        <w:tc>
          <w:tcPr>
            <w:tcW w:type="dxa" w:w="6264"/>
          </w:tcPr>
          <w:p>
            <w:pPr>
              <w:spacing w:before="40" w:after="40" w:line="240" w:lineRule="auto"/>
            </w:pPr>
            <w:r>
              <w:rPr>
                <w:sz w:val="19"/>
              </w:rPr>
              <w:t>Step-inclusion transport mechanized; capability inclusion implies step inclusion by the paper's operational argument.</w:t>
            </w:r>
          </w:p>
        </w:tc>
      </w:tr>
      <w:tr>
        <w:trPr>
          <w:cantSplit/>
        </w:trPr>
        <w:tc>
          <w:tcPr>
            <w:tcW w:type="dxa" w:w="3096"/>
          </w:tcPr>
          <w:p>
            <w:pPr>
              <w:spacing w:before="40" w:after="40" w:line="240" w:lineRule="auto"/>
            </w:pPr>
            <w:r>
              <w:rPr>
                <w:sz w:val="19"/>
              </w:rPr>
              <w:t>Subject reduction / session fidelity</w:t>
            </w:r>
          </w:p>
        </w:tc>
        <w:tc>
          <w:tcPr>
            <w:tcW w:type="dxa" w:w="6264"/>
          </w:tcPr>
          <w:p>
            <w:pPr>
              <w:spacing w:before="40" w:after="40" w:line="240" w:lineRule="auto"/>
            </w:pPr>
            <w:r>
              <w:rPr>
                <w:sz w:val="19"/>
              </w:rPr>
              <w:t>Single-label communication with full interleaving mechanized; head-move action case mechanized; general action interleaving proved on paper with side conditions.</w:t>
            </w:r>
          </w:p>
        </w:tc>
      </w:tr>
      <w:tr>
        <w:trPr>
          <w:cantSplit/>
        </w:trPr>
        <w:tc>
          <w:tcPr>
            <w:tcW w:type="dxa" w:w="3096"/>
          </w:tcPr>
          <w:p>
            <w:pPr>
              <w:spacing w:before="40" w:after="40" w:line="240" w:lineRule="auto"/>
            </w:pPr>
            <w:r>
              <w:rPr>
                <w:sz w:val="19"/>
              </w:rPr>
              <w:t>Symbolic instantiation / termination / undecidability</w:t>
            </w:r>
          </w:p>
        </w:tc>
        <w:tc>
          <w:tcPr>
            <w:tcW w:type="dxa" w:w="6264"/>
          </w:tcPr>
          <w:p>
            <w:pPr>
              <w:spacing w:before="40" w:after="40" w:line="240" w:lineRule="auto"/>
            </w:pPr>
            <w:r>
              <w:rPr>
                <w:sz w:val="19"/>
              </w:rPr>
              <w:t>Paper-level arguments, not mechanized proofs of the executable symbolic checker.</w:t>
            </w:r>
          </w:p>
        </w:tc>
      </w:tr>
    </w:tbl>
    <w:p>
      <w:pPr>
        <w:spacing w:after="40" w:line="20" w:lineRule="exact"/>
      </w:pPr>
      <w:r>
        <w:rPr>
          <w:sz w:val="2"/>
        </w:rPr>
      </w:r>
    </w:p>
    <w:p>
      <w:r>
        <w:t>Formalization locations are proof\SkillAchievability.v (reachability schemas and FlightInstance), proof\DirectTyping.v (direct-typing core and HandoffInstance), and proof\DirectTypingSR.v (operational correspondence). The source reports these scoped developments as axiom-free. This adaptation reports their scope; it does not claim a new proof run or an end-to-end verified compiler.</w:t>
      </w:r>
    </w:p>
    <w:p>
      <w:pPr>
        <w:pStyle w:val="Heading2"/>
        <w:pageBreakBefore w:val="0"/>
      </w:pPr>
      <w:r>
        <w:t>What the implementation may conclude</w:t>
      </w:r>
    </w:p>
    <w:p>
      <w:r>
        <w:t>The executable planner is narrower than the formal model: one-role finite-Boolean synthesis with explicit resource limits. A timeout or unsupported fragment is an abstention, not evidence of impossibility. Likewise, a rejected declared protocol does not refute every alternative plan; goal-wide rejection needs an independent capability-context certificate. The formal results motivate these boundaries, while the benchmark separately measures their behavior on authored tasks.</w:t>
      </w:r>
    </w:p>
    <w:p>
      <w:pPr>
        <w:pStyle w:val="Heading1"/>
        <w:pageBreakBefore/>
      </w:pPr>
      <w:r>
        <w:t>S11. Corrected with/without-SkillC reuse experiment</w:t>
      </w:r>
    </w:p>
    <w:p>
      <w:r>
        <w:t>Our September 21 corrected experiment compared five restricted skill profiles, each with five trials capped at eight model turns. GPT-5.4 chose actions through real Azure OpenAI calls; the tool effects were simulated with guard-aware Boolean/numeric semantics. These measurements answer a repeated-use question, not the live-backend question in S4. Compaction was measured previously and reused once per unchanged skill.</w:t>
      </w:r>
    </w:p>
    <w:p>
      <w:pPr>
        <w:keepNext/>
        <w:spacing w:after="40"/>
        <w:jc w:val="center"/>
      </w:pPr>
      <w:r>
        <w:drawing>
          <wp:inline xmlns:a="http://schemas.openxmlformats.org/drawingml/2006/main" xmlns:pic="http://schemas.openxmlformats.org/drawingml/2006/picture">
            <wp:extent cx="5943600" cy="1874519"/>
            <wp:docPr id="9" name="Picture 9" descr="Four independently impossible cases: first use costs 22892 tokens with SkillC versus 48033.8 without, a 52.34 percent reduction. Five uses per case cost 22892 versus 240169, a 90.47 percent reduction. Runtime API usage is measured; tool actions are simulated."/>
            <wp:cNvGraphicFramePr>
              <a:graphicFrameLocks noChangeAspect="1"/>
            </wp:cNvGraphicFramePr>
            <a:graphic>
              <a:graphicData uri="http://schemas.openxmlformats.org/drawingml/2006/picture">
                <pic:pic>
                  <pic:nvPicPr>
                    <pic:cNvPr id="0" name="mlads_repeated_use.png"/>
                    <pic:cNvPicPr/>
                  </pic:nvPicPr>
                  <pic:blipFill>
                    <a:blip r:embed="rId25"/>
                    <a:stretch>
                      <a:fillRect/>
                    </a:stretch>
                  </pic:blipFill>
                  <pic:spPr>
                    <a:xfrm>
                      <a:off x="0" y="0"/>
                      <a:ext cx="5943600" cy="1874519"/>
                    </a:xfrm>
                    <a:prstGeom prst="rect"/>
                  </pic:spPr>
                </pic:pic>
              </a:graphicData>
            </a:graphic>
          </wp:inline>
        </w:drawing>
      </w:r>
    </w:p>
    <w:p>
      <w:pPr>
        <w:keepLines/>
        <w:spacing w:after="100" w:line="240" w:lineRule="auto"/>
      </w:pPr>
      <w:r>
        <w:rPr>
          <w:sz w:val="18"/>
        </w:rPr>
        <w:t>Figure S9. The same measured compaction cost is amortized across repeated requests. Both panels exclude the achievable web-testing case; neither measures production prevalence.</w:t>
      </w:r>
    </w:p>
    <w:tbl>
      <w:tblPr>
        <w:tblW w:type="auto" w:w="0"/>
        <w:tblLayout w:type="fixed"/>
        <w:tblLook w:firstColumn="1" w:firstRow="1" w:lastColumn="0" w:lastRow="0" w:noHBand="0" w:noVBand="1" w:val="04A0"/>
        <w:tblBorders>
          <w:top w:val="single" w:sz="4" w:color="B8C5D6"/>
          <w:left w:val="single" w:sz="4" w:color="B8C5D6"/>
          <w:bottom w:val="single" w:sz="4" w:color="B8C5D6"/>
          <w:right w:val="single" w:sz="4" w:color="B8C5D6"/>
          <w:insideH w:val="single" w:sz="4" w:color="B8C5D6"/>
          <w:insideV w:val="single" w:sz="4" w:color="B8C5D6"/>
        </w:tblBorders>
      </w:tblPr>
      <w:tblGrid>
        <w:gridCol w:w="3528"/>
        <w:gridCol w:w="1800"/>
        <w:gridCol w:w="2016"/>
        <w:gridCol w:w="2016"/>
      </w:tblGrid>
      <w:tr>
        <w:trPr>
          <w:tblHeader/>
          <w:cantSplit/>
        </w:trPr>
        <w:tc>
          <w:tcPr>
            <w:tcW w:type="dxa" w:w="3528"/>
            <w:shd w:fill="E8EEF7"/>
          </w:tcPr>
          <w:p>
            <w:pPr>
              <w:spacing w:before="40" w:after="40" w:line="240" w:lineRule="auto"/>
            </w:pPr>
            <w:r>
              <w:rPr>
                <w:b/>
                <w:sz w:val="18"/>
              </w:rPr>
              <w:t>Independently impossible task</w:t>
            </w:r>
          </w:p>
        </w:tc>
        <w:tc>
          <w:tcPr>
            <w:tcW w:type="dxa" w:w="1800"/>
            <w:shd w:fill="E8EEF7"/>
          </w:tcPr>
          <w:p>
            <w:pPr>
              <w:spacing w:before="40" w:after="40" w:line="240" w:lineRule="auto"/>
            </w:pPr>
            <w:r>
              <w:rPr>
                <w:b/>
                <w:sz w:val="18"/>
              </w:rPr>
              <w:t>With SkillC: once</w:t>
            </w:r>
          </w:p>
        </w:tc>
        <w:tc>
          <w:tcPr>
            <w:tcW w:type="dxa" w:w="2016"/>
            <w:shd w:fill="E8EEF7"/>
          </w:tcPr>
          <w:p>
            <w:pPr>
              <w:spacing w:before="40" w:after="40" w:line="240" w:lineRule="auto"/>
            </w:pPr>
            <w:r>
              <w:rPr>
                <w:b/>
                <w:sz w:val="18"/>
              </w:rPr>
              <w:t>Without: 5 trials</w:t>
            </w:r>
          </w:p>
        </w:tc>
        <w:tc>
          <w:tcPr>
            <w:tcW w:type="dxa" w:w="2016"/>
            <w:shd w:fill="E8EEF7"/>
          </w:tcPr>
          <w:p>
            <w:pPr>
              <w:spacing w:before="40" w:after="40" w:line="240" w:lineRule="auto"/>
            </w:pPr>
            <w:r>
              <w:rPr>
                <w:b/>
                <w:sz w:val="18"/>
              </w:rPr>
              <w:t>Outcomes</w:t>
            </w:r>
          </w:p>
        </w:tc>
      </w:tr>
      <w:tr>
        <w:trPr>
          <w:cantSplit/>
        </w:trPr>
        <w:tc>
          <w:tcPr>
            <w:tcW w:type="dxa" w:w="3528"/>
          </w:tcPr>
          <w:p>
            <w:pPr>
              <w:spacing w:before="40" w:after="40" w:line="240" w:lineRule="auto"/>
            </w:pPr>
            <w:r>
              <w:rPr>
                <w:sz w:val="18"/>
              </w:rPr>
              <w:t>mcp-builder</w:t>
            </w:r>
          </w:p>
        </w:tc>
        <w:tc>
          <w:tcPr>
            <w:tcW w:type="dxa" w:w="1800"/>
          </w:tcPr>
          <w:p>
            <w:pPr>
              <w:spacing w:before="40" w:after="40" w:line="240" w:lineRule="auto"/>
            </w:pPr>
            <w:r>
              <w:rPr>
                <w:sz w:val="18"/>
              </w:rPr>
              <w:t>4,338</w:t>
            </w:r>
          </w:p>
        </w:tc>
        <w:tc>
          <w:tcPr>
            <w:tcW w:type="dxa" w:w="2016"/>
          </w:tcPr>
          <w:p>
            <w:pPr>
              <w:spacing w:before="40" w:after="40" w:line="240" w:lineRule="auto"/>
            </w:pPr>
            <w:r>
              <w:rPr>
                <w:sz w:val="18"/>
              </w:rPr>
              <w:t>94,542</w:t>
            </w:r>
          </w:p>
        </w:tc>
        <w:tc>
          <w:tcPr>
            <w:tcW w:type="dxa" w:w="2016"/>
          </w:tcPr>
          <w:p>
            <w:pPr>
              <w:spacing w:before="40" w:after="40" w:line="240" w:lineRule="auto"/>
            </w:pPr>
            <w:r>
              <w:rPr>
                <w:sz w:val="18"/>
              </w:rPr>
              <w:t>0/5 successes</w:t>
            </w:r>
          </w:p>
        </w:tc>
      </w:tr>
      <w:tr>
        <w:trPr>
          <w:cantSplit/>
        </w:trPr>
        <w:tc>
          <w:tcPr>
            <w:tcW w:type="dxa" w:w="3528"/>
          </w:tcPr>
          <w:p>
            <w:pPr>
              <w:spacing w:before="40" w:after="40" w:line="240" w:lineRule="auto"/>
            </w:pPr>
            <w:r>
              <w:rPr>
                <w:sz w:val="18"/>
              </w:rPr>
              <w:t>frontend-design</w:t>
            </w:r>
          </w:p>
        </w:tc>
        <w:tc>
          <w:tcPr>
            <w:tcW w:type="dxa" w:w="1800"/>
          </w:tcPr>
          <w:p>
            <w:pPr>
              <w:spacing w:before="40" w:after="40" w:line="240" w:lineRule="auto"/>
            </w:pPr>
            <w:r>
              <w:rPr>
                <w:sz w:val="18"/>
              </w:rPr>
              <w:t>4,039</w:t>
            </w:r>
          </w:p>
        </w:tc>
        <w:tc>
          <w:tcPr>
            <w:tcW w:type="dxa" w:w="2016"/>
          </w:tcPr>
          <w:p>
            <w:pPr>
              <w:spacing w:before="40" w:after="40" w:line="240" w:lineRule="auto"/>
            </w:pPr>
            <w:r>
              <w:rPr>
                <w:sz w:val="18"/>
              </w:rPr>
              <w:t>59,791</w:t>
            </w:r>
          </w:p>
        </w:tc>
        <w:tc>
          <w:tcPr>
            <w:tcW w:type="dxa" w:w="2016"/>
          </w:tcPr>
          <w:p>
            <w:pPr>
              <w:spacing w:before="40" w:after="40" w:line="240" w:lineRule="auto"/>
            </w:pPr>
            <w:r>
              <w:rPr>
                <w:sz w:val="18"/>
              </w:rPr>
              <w:t>0/5 successes</w:t>
            </w:r>
          </w:p>
        </w:tc>
      </w:tr>
      <w:tr>
        <w:trPr>
          <w:cantSplit/>
        </w:trPr>
        <w:tc>
          <w:tcPr>
            <w:tcW w:type="dxa" w:w="3528"/>
          </w:tcPr>
          <w:p>
            <w:pPr>
              <w:spacing w:before="40" w:after="40" w:line="240" w:lineRule="auto"/>
            </w:pPr>
            <w:r>
              <w:rPr>
                <w:sz w:val="18"/>
              </w:rPr>
              <w:t>slack-gif-creator</w:t>
            </w:r>
          </w:p>
        </w:tc>
        <w:tc>
          <w:tcPr>
            <w:tcW w:type="dxa" w:w="1800"/>
          </w:tcPr>
          <w:p>
            <w:pPr>
              <w:spacing w:before="40" w:after="40" w:line="240" w:lineRule="auto"/>
            </w:pPr>
            <w:r>
              <w:rPr>
                <w:sz w:val="18"/>
              </w:rPr>
              <w:t>8,737</w:t>
            </w:r>
          </w:p>
        </w:tc>
        <w:tc>
          <w:tcPr>
            <w:tcW w:type="dxa" w:w="2016"/>
          </w:tcPr>
          <w:p>
            <w:pPr>
              <w:spacing w:before="40" w:after="40" w:line="240" w:lineRule="auto"/>
            </w:pPr>
            <w:r>
              <w:rPr>
                <w:sz w:val="18"/>
              </w:rPr>
              <w:t>12,182</w:t>
            </w:r>
          </w:p>
        </w:tc>
        <w:tc>
          <w:tcPr>
            <w:tcW w:type="dxa" w:w="2016"/>
          </w:tcPr>
          <w:p>
            <w:pPr>
              <w:spacing w:before="40" w:after="40" w:line="240" w:lineRule="auto"/>
            </w:pPr>
            <w:r>
              <w:rPr>
                <w:sz w:val="18"/>
              </w:rPr>
              <w:t>0/5 successes</w:t>
            </w:r>
          </w:p>
        </w:tc>
      </w:tr>
      <w:tr>
        <w:trPr>
          <w:cantSplit/>
        </w:trPr>
        <w:tc>
          <w:tcPr>
            <w:tcW w:type="dxa" w:w="3528"/>
          </w:tcPr>
          <w:p>
            <w:pPr>
              <w:spacing w:before="40" w:after="40" w:line="240" w:lineRule="auto"/>
            </w:pPr>
            <w:r>
              <w:rPr>
                <w:sz w:val="18"/>
              </w:rPr>
              <w:t>algorithmic-art</w:t>
            </w:r>
          </w:p>
        </w:tc>
        <w:tc>
          <w:tcPr>
            <w:tcW w:type="dxa" w:w="1800"/>
          </w:tcPr>
          <w:p>
            <w:pPr>
              <w:spacing w:before="40" w:after="40" w:line="240" w:lineRule="auto"/>
            </w:pPr>
            <w:r>
              <w:rPr>
                <w:sz w:val="18"/>
              </w:rPr>
              <w:t>5,778</w:t>
            </w:r>
          </w:p>
        </w:tc>
        <w:tc>
          <w:tcPr>
            <w:tcW w:type="dxa" w:w="2016"/>
          </w:tcPr>
          <w:p>
            <w:pPr>
              <w:spacing w:before="40" w:after="40" w:line="240" w:lineRule="auto"/>
            </w:pPr>
            <w:r>
              <w:rPr>
                <w:sz w:val="18"/>
              </w:rPr>
              <w:t>73,654</w:t>
            </w:r>
          </w:p>
        </w:tc>
        <w:tc>
          <w:tcPr>
            <w:tcW w:type="dxa" w:w="2016"/>
          </w:tcPr>
          <w:p>
            <w:pPr>
              <w:spacing w:before="40" w:after="40" w:line="240" w:lineRule="auto"/>
            </w:pPr>
            <w:r>
              <w:rPr>
                <w:sz w:val="18"/>
              </w:rPr>
              <w:t>0/5 successes</w:t>
            </w:r>
          </w:p>
        </w:tc>
      </w:tr>
      <w:tr>
        <w:trPr>
          <w:cantSplit/>
        </w:trPr>
        <w:tc>
          <w:tcPr>
            <w:tcW w:type="dxa" w:w="3528"/>
          </w:tcPr>
          <w:p>
            <w:pPr>
              <w:spacing w:before="40" w:after="40" w:line="240" w:lineRule="auto"/>
            </w:pPr>
            <w:r>
              <w:rPr>
                <w:sz w:val="18"/>
              </w:rPr>
              <w:t>Total</w:t>
            </w:r>
          </w:p>
        </w:tc>
        <w:tc>
          <w:tcPr>
            <w:tcW w:type="dxa" w:w="1800"/>
          </w:tcPr>
          <w:p>
            <w:pPr>
              <w:spacing w:before="40" w:after="40" w:line="240" w:lineRule="auto"/>
            </w:pPr>
            <w:r>
              <w:rPr>
                <w:sz w:val="18"/>
              </w:rPr>
              <w:t>22,892</w:t>
            </w:r>
          </w:p>
        </w:tc>
        <w:tc>
          <w:tcPr>
            <w:tcW w:type="dxa" w:w="2016"/>
          </w:tcPr>
          <w:p>
            <w:pPr>
              <w:spacing w:before="40" w:after="40" w:line="240" w:lineRule="auto"/>
            </w:pPr>
            <w:r>
              <w:rPr>
                <w:sz w:val="18"/>
              </w:rPr>
              <w:t>240,169</w:t>
            </w:r>
          </w:p>
        </w:tc>
        <w:tc>
          <w:tcPr>
            <w:tcW w:type="dxa" w:w="2016"/>
          </w:tcPr>
          <w:p>
            <w:pPr>
              <w:spacing w:before="40" w:after="40" w:line="240" w:lineRule="auto"/>
            </w:pPr>
            <w:r>
              <w:rPr>
                <w:sz w:val="18"/>
              </w:rPr>
              <w:t>0/20 successes</w:t>
            </w:r>
          </w:p>
        </w:tc>
      </w:tr>
    </w:tbl>
    <w:p>
      <w:pPr>
        <w:spacing w:after="40" w:line="20" w:lineRule="exact"/>
      </w:pPr>
      <w:r>
        <w:rPr>
          <w:sz w:val="2"/>
        </w:rPr>
      </w:r>
    </w:p>
    <w:p>
      <w:r>
        <w:t>The independent action-level oracle identified these four tasks as impossible in their declared capability models before cost selection. All 20 attempts ended blocked. Their provider ledgers reconcile to 240,169 tokens; the four historical compaction costs reconcile to 22,892. Avoided model usage is 217,277 tokens (90.47%). The first-use baseline sums each task's five-trial mean: 48,033.8 tokens, giving 52.34% fewer tokens after paying the same compaction cost.</w:t>
      </w:r>
    </w:p>
    <w:p>
      <w:r>
        <w:rPr>
          <w:b/>
        </w:rPr>
        <w:t xml:space="preserve">Quality boundary. </w:t>
      </w:r>
      <w:r>
        <w:t>The fifth task, web-app testing, is excluded because its goal has an alternative legal plan. Its ungated trials include two verified simulated successes, yet the historical SkillC policy rejected the declared protocol. Preventing those successes is not a benefit. Across all five tasks the ledger records 92 fresh model calls and 260,242 tokens; the four-task savings claim must not be applied to that mixed set.</w:t>
      </w:r>
    </w:p>
    <w:p>
      <w:r>
        <w:rPr>
          <w:sz w:val="18"/>
        </w:rPr>
        <w:t>Provenance: runs\20260921_110234Z_real_rejection_benchmark contains results.json, accuracy.json, runtime_trials.jsonl, calls.jsonl and verification.json. Compaction records are reused from runs\20260916_132708Z_real_rejection_benchmark. The correction report documents the repaired semantics and supersedes the older 60.8%/92.2% savings claims. No new model calls were made for this manuscript.</w:t>
      </w:r>
    </w:p>
    <w:p>
      <w:pPr>
        <w:pStyle w:val="Heading1"/>
        <w:pageBreakBefore/>
      </w:pPr>
      <w:r>
        <w:t>S12. Earlier experiments: larger numbers, different claims</w:t>
      </w:r>
    </w:p>
    <w:p>
      <w:r>
        <w:t>Our earlier 134-run experiment used Haiku/Sonnet agent executions. Of 66 runs whose configurations were checker-refuted, 20 nevertheless produced verified results on small inputs. The remaining 46 unsuccessful runs consumed 15,841,106 measured runtime tokens. This is a retrospective failure-only subset, not evidence that rejecting all 66 runs preserves task completion.</w:t>
      </w:r>
    </w:p>
    <w:tbl>
      <w:tblPr>
        <w:tblW w:type="auto" w:w="0"/>
        <w:tblLayout w:type="fixed"/>
        <w:tblLook w:firstColumn="1" w:firstRow="1" w:lastColumn="0" w:lastRow="0" w:noHBand="0" w:noVBand="1" w:val="04A0"/>
        <w:tblBorders>
          <w:top w:val="single" w:sz="4" w:color="B8C5D6"/>
          <w:left w:val="single" w:sz="4" w:color="B8C5D6"/>
          <w:bottom w:val="single" w:sz="4" w:color="B8C5D6"/>
          <w:right w:val="single" w:sz="4" w:color="B8C5D6"/>
          <w:insideH w:val="single" w:sz="4" w:color="B8C5D6"/>
          <w:insideV w:val="single" w:sz="4" w:color="B8C5D6"/>
        </w:tblBorders>
      </w:tblPr>
      <w:tblGrid>
        <w:gridCol w:w="3960"/>
        <w:gridCol w:w="1800"/>
        <w:gridCol w:w="1944"/>
        <w:gridCol w:w="1656"/>
      </w:tblGrid>
      <w:tr>
        <w:trPr>
          <w:tblHeader/>
          <w:cantSplit/>
        </w:trPr>
        <w:tc>
          <w:tcPr>
            <w:tcW w:type="dxa" w:w="3960"/>
            <w:shd w:fill="E8EEF7"/>
          </w:tcPr>
          <w:p>
            <w:pPr>
              <w:spacing w:before="40" w:after="40" w:line="240" w:lineRule="auto"/>
            </w:pPr>
            <w:r>
              <w:rPr>
                <w:b/>
                <w:sz w:val="18"/>
              </w:rPr>
              <w:t>Historical subset</w:t>
            </w:r>
          </w:p>
        </w:tc>
        <w:tc>
          <w:tcPr>
            <w:tcW w:type="dxa" w:w="1800"/>
            <w:shd w:fill="E8EEF7"/>
          </w:tcPr>
          <w:p>
            <w:pPr>
              <w:spacing w:before="40" w:after="40" w:line="240" w:lineRule="auto"/>
            </w:pPr>
            <w:r>
              <w:rPr>
                <w:b/>
                <w:sz w:val="18"/>
              </w:rPr>
              <w:t>With SkillC</w:t>
            </w:r>
          </w:p>
        </w:tc>
        <w:tc>
          <w:tcPr>
            <w:tcW w:type="dxa" w:w="1944"/>
            <w:shd w:fill="E8EEF7"/>
          </w:tcPr>
          <w:p>
            <w:pPr>
              <w:spacing w:before="40" w:after="40" w:line="240" w:lineRule="auto"/>
            </w:pPr>
            <w:r>
              <w:rPr>
                <w:b/>
                <w:sz w:val="18"/>
              </w:rPr>
              <w:t>Without SkillC</w:t>
            </w:r>
          </w:p>
        </w:tc>
        <w:tc>
          <w:tcPr>
            <w:tcW w:type="dxa" w:w="1656"/>
            <w:shd w:fill="E8EEF7"/>
          </w:tcPr>
          <w:p>
            <w:pPr>
              <w:spacing w:before="40" w:after="40" w:line="240" w:lineRule="auto"/>
            </w:pPr>
            <w:r>
              <w:rPr>
                <w:b/>
                <w:sz w:val="18"/>
              </w:rPr>
              <w:t>Reduction</w:t>
            </w:r>
          </w:p>
        </w:tc>
      </w:tr>
      <w:tr>
        <w:trPr>
          <w:cantSplit/>
        </w:trPr>
        <w:tc>
          <w:tcPr>
            <w:tcW w:type="dxa" w:w="3960"/>
          </w:tcPr>
          <w:p>
            <w:pPr>
              <w:spacing w:before="40" w:after="40" w:line="240" w:lineRule="auto"/>
            </w:pPr>
            <w:r>
              <w:rPr>
                <w:sz w:val="18"/>
              </w:rPr>
              <w:t>PDF: compaction once, 4 failures</w:t>
            </w:r>
          </w:p>
        </w:tc>
        <w:tc>
          <w:tcPr>
            <w:tcW w:type="dxa" w:w="1800"/>
          </w:tcPr>
          <w:p>
            <w:pPr>
              <w:spacing w:before="40" w:after="40" w:line="240" w:lineRule="auto"/>
            </w:pPr>
            <w:r>
              <w:rPr>
                <w:sz w:val="18"/>
              </w:rPr>
              <w:t>22,011</w:t>
            </w:r>
          </w:p>
        </w:tc>
        <w:tc>
          <w:tcPr>
            <w:tcW w:type="dxa" w:w="1944"/>
          </w:tcPr>
          <w:p>
            <w:pPr>
              <w:spacing w:before="40" w:after="40" w:line="240" w:lineRule="auto"/>
            </w:pPr>
            <w:r>
              <w:rPr>
                <w:sz w:val="18"/>
              </w:rPr>
              <w:t>157,454</w:t>
            </w:r>
          </w:p>
        </w:tc>
        <w:tc>
          <w:tcPr>
            <w:tcW w:type="dxa" w:w="1656"/>
          </w:tcPr>
          <w:p>
            <w:pPr>
              <w:spacing w:before="40" w:after="40" w:line="240" w:lineRule="auto"/>
            </w:pPr>
            <w:r>
              <w:rPr>
                <w:sz w:val="18"/>
              </w:rPr>
              <w:t>86.02%</w:t>
            </w:r>
          </w:p>
        </w:tc>
      </w:tr>
      <w:tr>
        <w:trPr>
          <w:cantSplit/>
        </w:trPr>
        <w:tc>
          <w:tcPr>
            <w:tcW w:type="dxa" w:w="3960"/>
          </w:tcPr>
          <w:p>
            <w:pPr>
              <w:spacing w:before="40" w:after="40" w:line="240" w:lineRule="auto"/>
            </w:pPr>
            <w:r>
              <w:rPr>
                <w:sz w:val="18"/>
              </w:rPr>
              <w:t>XLSX: compaction once, 4 failures</w:t>
            </w:r>
          </w:p>
        </w:tc>
        <w:tc>
          <w:tcPr>
            <w:tcW w:type="dxa" w:w="1800"/>
          </w:tcPr>
          <w:p>
            <w:pPr>
              <w:spacing w:before="40" w:after="40" w:line="240" w:lineRule="auto"/>
            </w:pPr>
            <w:r>
              <w:rPr>
                <w:sz w:val="18"/>
              </w:rPr>
              <w:t>32,028</w:t>
            </w:r>
          </w:p>
        </w:tc>
        <w:tc>
          <w:tcPr>
            <w:tcW w:type="dxa" w:w="1944"/>
          </w:tcPr>
          <w:p>
            <w:pPr>
              <w:spacing w:before="40" w:after="40" w:line="240" w:lineRule="auto"/>
            </w:pPr>
            <w:r>
              <w:rPr>
                <w:sz w:val="18"/>
              </w:rPr>
              <w:t>209,766</w:t>
            </w:r>
          </w:p>
        </w:tc>
        <w:tc>
          <w:tcPr>
            <w:tcW w:type="dxa" w:w="1656"/>
          </w:tcPr>
          <w:p>
            <w:pPr>
              <w:spacing w:before="40" w:after="40" w:line="240" w:lineRule="auto"/>
            </w:pPr>
            <w:r>
              <w:rPr>
                <w:sz w:val="18"/>
              </w:rPr>
              <w:t>84.73%</w:t>
            </w:r>
          </w:p>
        </w:tc>
      </w:tr>
      <w:tr>
        <w:trPr>
          <w:cantSplit/>
        </w:trPr>
        <w:tc>
          <w:tcPr>
            <w:tcW w:type="dxa" w:w="3960"/>
          </w:tcPr>
          <w:p>
            <w:pPr>
              <w:spacing w:before="40" w:after="40" w:line="240" w:lineRule="auto"/>
            </w:pPr>
            <w:r>
              <w:rPr>
                <w:sz w:val="18"/>
              </w:rPr>
              <w:t>PDF + XLSX: 8 failures</w:t>
            </w:r>
          </w:p>
        </w:tc>
        <w:tc>
          <w:tcPr>
            <w:tcW w:type="dxa" w:w="1800"/>
          </w:tcPr>
          <w:p>
            <w:pPr>
              <w:spacing w:before="40" w:after="40" w:line="240" w:lineRule="auto"/>
            </w:pPr>
            <w:r>
              <w:rPr>
                <w:sz w:val="18"/>
              </w:rPr>
              <w:t>54,039</w:t>
            </w:r>
          </w:p>
        </w:tc>
        <w:tc>
          <w:tcPr>
            <w:tcW w:type="dxa" w:w="1944"/>
          </w:tcPr>
          <w:p>
            <w:pPr>
              <w:spacing w:before="40" w:after="40" w:line="240" w:lineRule="auto"/>
            </w:pPr>
            <w:r>
              <w:rPr>
                <w:sz w:val="18"/>
              </w:rPr>
              <w:t>367,220</w:t>
            </w:r>
          </w:p>
        </w:tc>
        <w:tc>
          <w:tcPr>
            <w:tcW w:type="dxa" w:w="1656"/>
          </w:tcPr>
          <w:p>
            <w:pPr>
              <w:spacing w:before="40" w:after="40" w:line="240" w:lineRule="auto"/>
            </w:pPr>
            <w:r>
              <w:rPr>
                <w:sz w:val="18"/>
              </w:rPr>
              <w:t>85.28%</w:t>
            </w:r>
          </w:p>
        </w:tc>
      </w:tr>
      <w:tr>
        <w:trPr>
          <w:cantSplit/>
        </w:trPr>
        <w:tc>
          <w:tcPr>
            <w:tcW w:type="dxa" w:w="3960"/>
          </w:tcPr>
          <w:p>
            <w:pPr>
              <w:spacing w:before="40" w:after="40" w:line="240" w:lineRule="auto"/>
            </w:pPr>
            <w:r>
              <w:rPr>
                <w:sz w:val="18"/>
              </w:rPr>
              <w:t>PDF + XLSX: first-use means</w:t>
            </w:r>
          </w:p>
        </w:tc>
        <w:tc>
          <w:tcPr>
            <w:tcW w:type="dxa" w:w="1800"/>
          </w:tcPr>
          <w:p>
            <w:pPr>
              <w:spacing w:before="40" w:after="40" w:line="240" w:lineRule="auto"/>
            </w:pPr>
            <w:r>
              <w:rPr>
                <w:sz w:val="18"/>
              </w:rPr>
              <w:t>54,039</w:t>
            </w:r>
          </w:p>
        </w:tc>
        <w:tc>
          <w:tcPr>
            <w:tcW w:type="dxa" w:w="1944"/>
          </w:tcPr>
          <w:p>
            <w:pPr>
              <w:spacing w:before="40" w:after="40" w:line="240" w:lineRule="auto"/>
            </w:pPr>
            <w:r>
              <w:rPr>
                <w:sz w:val="18"/>
              </w:rPr>
              <w:t>91,805</w:t>
            </w:r>
          </w:p>
        </w:tc>
        <w:tc>
          <w:tcPr>
            <w:tcW w:type="dxa" w:w="1656"/>
          </w:tcPr>
          <w:p>
            <w:pPr>
              <w:spacing w:before="40" w:after="40" w:line="240" w:lineRule="auto"/>
            </w:pPr>
            <w:r>
              <w:rPr>
                <w:sz w:val="18"/>
              </w:rPr>
              <w:t>41.14%</w:t>
            </w:r>
          </w:p>
        </w:tc>
      </w:tr>
      <w:tr>
        <w:trPr>
          <w:cantSplit/>
        </w:trPr>
        <w:tc>
          <w:tcPr>
            <w:tcW w:type="dxa" w:w="3960"/>
          </w:tcPr>
          <w:p>
            <w:pPr>
              <w:spacing w:before="40" w:after="40" w:line="240" w:lineRule="auto"/>
            </w:pPr>
            <w:r>
              <w:rPr>
                <w:sz w:val="18"/>
              </w:rPr>
              <w:t>All 46 failures: mixed evidence</w:t>
            </w:r>
          </w:p>
        </w:tc>
        <w:tc>
          <w:tcPr>
            <w:tcW w:type="dxa" w:w="1800"/>
          </w:tcPr>
          <w:p>
            <w:pPr>
              <w:spacing w:before="40" w:after="40" w:line="240" w:lineRule="auto"/>
            </w:pPr>
            <w:r>
              <w:rPr>
                <w:sz w:val="18"/>
              </w:rPr>
              <w:t>209,195</w:t>
            </w:r>
          </w:p>
        </w:tc>
        <w:tc>
          <w:tcPr>
            <w:tcW w:type="dxa" w:w="1944"/>
          </w:tcPr>
          <w:p>
            <w:pPr>
              <w:spacing w:before="40" w:after="40" w:line="240" w:lineRule="auto"/>
            </w:pPr>
            <w:r>
              <w:rPr>
                <w:sz w:val="18"/>
              </w:rPr>
              <w:t>15,841,106</w:t>
            </w:r>
          </w:p>
        </w:tc>
        <w:tc>
          <w:tcPr>
            <w:tcW w:type="dxa" w:w="1656"/>
          </w:tcPr>
          <w:p>
            <w:pPr>
              <w:spacing w:before="40" w:after="40" w:line="240" w:lineRule="auto"/>
            </w:pPr>
            <w:r>
              <w:rPr>
                <w:sz w:val="18"/>
              </w:rPr>
              <w:t>98.68%</w:t>
            </w:r>
          </w:p>
        </w:tc>
      </w:tr>
    </w:tbl>
    <w:p>
      <w:pPr>
        <w:spacing w:after="40" w:line="20" w:lineRule="exact"/>
      </w:pPr>
      <w:r>
        <w:rPr>
          <w:sz w:val="2"/>
        </w:rPr>
      </w:r>
    </w:p>
    <w:p>
      <w:r>
        <w:t>PDF and XLSX have recorded compaction calls and recorded runtime trials: both cost sides are measured. The 85.28% comparison pays compaction once per skill and reuses it over four failed executions per skill. It is a cost accounting comparison, not a paired quality-preserving test of a gated agent. For one expected execution of each skill, the same costs yield 41.14%, using the four-trial runtime means.</w:t>
      </w:r>
    </w:p>
    <w:p>
      <w:r>
        <w:rPr>
          <w:b/>
        </w:rPr>
        <w:t xml:space="preserve">Why 98.68% is not interchangeable with 46.74%. </w:t>
      </w:r>
      <w:r>
        <w:t>The larger 98.68% figure uses 209,195 compaction tokens, comprising 54,039 measured and 155,156 estimated from skill length, against 15,841,106 measured runtime tokens. Four already-formal configurations require no natural-language compaction. The 46 failures are selected retrospectively and exclude all 20 verified successes in refuted configurations; it is not a fully measured, end-to-end savings claim.</w:t>
      </w:r>
    </w:p>
    <w:p>
      <w:r>
        <w:t>The corrected 90.47% result selects independently impossible cases, uses real API usage with simulated tools, and amortizes compaction across five uses. The 46.74% result instead measures real backend operations across achievable and impossible profiles, with all 28 achievable tasks completed with and without the gate. Different tasks, models, baselines and reuse policies explain the different percentages; we report them separately rather than selecting the largest as a universal result.</w:t>
      </w:r>
    </w:p>
    <w:p>
      <w:r>
        <w:t>The August pilot is also retained: at one use, 20,064 compaction tokens exceeded the raw 1,919 credited avoidable tokens, and three of six achievable cases were falsely rejected. It did not establish a positive savings claim. Its result is under runs\20260827_113833Z_token_economics_pilot.</w:t>
      </w:r>
    </w:p>
    <w:p>
      <w:r>
        <w:rPr>
          <w:sz w:val="18"/>
        </w:rPr>
        <w:t>Historical provenance: commit dbb855d1e51c550ce7cdabaf4624e0c2de0325ec, paper\WIP\results\usefulness_runs.jsonl, usefulness.json, compaction_runs.jsonl and token_economics.json. These were read without switching branches. docs\TOKEN_ECONOMICS_EVIDENCE_GUIDE.md explains the measured/estimated distinction; docs\BENCHMARK_CORRECTION_20260921.md documents superseded simulator results. These paths identify our own experiment artifacts, not related-work citations.</w:t>
      </w:r>
    </w:p>
    <w:sectPr w:rsidR="51D9AEF9">
      <w:headerReference w:type="default" r:id="rId15"/>
      <w:footerReference w:type="default" r:id="rId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8"/>
      </w:rPr>
      <w:t xml:space="preserve">Supplement | MLADS+ Agents | December 2026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77600"/>
    <w:multiLevelType w:val="hybridMultilevel"/>
    <w:tmpl w:val="55B20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0FC696"/>
    <w:multiLevelType w:val="hybridMultilevel"/>
    <w:tmpl w:val="FFFFFFFF"/>
    <w:lvl w:ilvl="0" w:tplc="832A67C8">
      <w:start w:val="1"/>
      <w:numFmt w:val="bullet"/>
      <w:lvlText w:val=""/>
      <w:lvlJc w:val="left"/>
      <w:pPr>
        <w:ind w:left="720" w:hanging="360"/>
      </w:pPr>
      <w:rPr>
        <w:rFonts w:ascii="Symbol" w:hAnsi="Symbol" w:hint="default"/>
      </w:rPr>
    </w:lvl>
    <w:lvl w:ilvl="1" w:tplc="FDB21A1E">
      <w:start w:val="1"/>
      <w:numFmt w:val="bullet"/>
      <w:lvlText w:val="o"/>
      <w:lvlJc w:val="left"/>
      <w:pPr>
        <w:ind w:left="1440" w:hanging="360"/>
      </w:pPr>
      <w:rPr>
        <w:rFonts w:ascii="Symbol" w:hAnsi="Symbol" w:hint="default"/>
      </w:rPr>
    </w:lvl>
    <w:lvl w:ilvl="2" w:tplc="33E68FFE">
      <w:start w:val="1"/>
      <w:numFmt w:val="bullet"/>
      <w:lvlText w:val=""/>
      <w:lvlJc w:val="left"/>
      <w:pPr>
        <w:ind w:left="2160" w:hanging="360"/>
      </w:pPr>
      <w:rPr>
        <w:rFonts w:ascii="Symbol" w:hAnsi="Symbol" w:hint="default"/>
      </w:rPr>
    </w:lvl>
    <w:lvl w:ilvl="3" w:tplc="817AA87C">
      <w:start w:val="1"/>
      <w:numFmt w:val="bullet"/>
      <w:lvlText w:val=""/>
      <w:lvlJc w:val="left"/>
      <w:pPr>
        <w:ind w:left="2880" w:hanging="360"/>
      </w:pPr>
      <w:rPr>
        <w:rFonts w:ascii="Symbol" w:hAnsi="Symbol" w:hint="default"/>
      </w:rPr>
    </w:lvl>
    <w:lvl w:ilvl="4" w:tplc="3FF85BE6">
      <w:start w:val="1"/>
      <w:numFmt w:val="bullet"/>
      <w:lvlText w:val="o"/>
      <w:lvlJc w:val="left"/>
      <w:pPr>
        <w:ind w:left="3600" w:hanging="360"/>
      </w:pPr>
      <w:rPr>
        <w:rFonts w:ascii="Courier New" w:hAnsi="Courier New" w:hint="default"/>
      </w:rPr>
    </w:lvl>
    <w:lvl w:ilvl="5" w:tplc="164A5484">
      <w:start w:val="1"/>
      <w:numFmt w:val="bullet"/>
      <w:lvlText w:val=""/>
      <w:lvlJc w:val="left"/>
      <w:pPr>
        <w:ind w:left="4320" w:hanging="360"/>
      </w:pPr>
      <w:rPr>
        <w:rFonts w:ascii="Wingdings" w:hAnsi="Wingdings" w:hint="default"/>
      </w:rPr>
    </w:lvl>
    <w:lvl w:ilvl="6" w:tplc="E618D1A8">
      <w:start w:val="1"/>
      <w:numFmt w:val="bullet"/>
      <w:lvlText w:val=""/>
      <w:lvlJc w:val="left"/>
      <w:pPr>
        <w:ind w:left="5040" w:hanging="360"/>
      </w:pPr>
      <w:rPr>
        <w:rFonts w:ascii="Symbol" w:hAnsi="Symbol" w:hint="default"/>
      </w:rPr>
    </w:lvl>
    <w:lvl w:ilvl="7" w:tplc="CBFC141E">
      <w:start w:val="1"/>
      <w:numFmt w:val="bullet"/>
      <w:lvlText w:val="o"/>
      <w:lvlJc w:val="left"/>
      <w:pPr>
        <w:ind w:left="5760" w:hanging="360"/>
      </w:pPr>
      <w:rPr>
        <w:rFonts w:ascii="Courier New" w:hAnsi="Courier New" w:hint="default"/>
      </w:rPr>
    </w:lvl>
    <w:lvl w:ilvl="8" w:tplc="3A52AA12">
      <w:start w:val="1"/>
      <w:numFmt w:val="bullet"/>
      <w:lvlText w:val=""/>
      <w:lvlJc w:val="left"/>
      <w:pPr>
        <w:ind w:left="6480" w:hanging="360"/>
      </w:pPr>
      <w:rPr>
        <w:rFonts w:ascii="Wingdings" w:hAnsi="Wingdings" w:hint="default"/>
      </w:rPr>
    </w:lvl>
  </w:abstractNum>
  <w:abstractNum w:abstractNumId="2" w15:restartNumberingAfterBreak="0">
    <w:nsid w:val="0BF86353"/>
    <w:multiLevelType w:val="hybridMultilevel"/>
    <w:tmpl w:val="4F82C6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45C891"/>
    <w:multiLevelType w:val="hybridMultilevel"/>
    <w:tmpl w:val="FFFFFFFF"/>
    <w:lvl w:ilvl="0" w:tplc="FDC40F1C">
      <w:start w:val="1"/>
      <w:numFmt w:val="bullet"/>
      <w:lvlText w:val=""/>
      <w:lvlJc w:val="left"/>
      <w:pPr>
        <w:ind w:left="720" w:hanging="360"/>
      </w:pPr>
      <w:rPr>
        <w:rFonts w:ascii="Symbol" w:hAnsi="Symbol" w:hint="default"/>
      </w:rPr>
    </w:lvl>
    <w:lvl w:ilvl="1" w:tplc="F93ABB66">
      <w:start w:val="1"/>
      <w:numFmt w:val="bullet"/>
      <w:lvlText w:val="o"/>
      <w:lvlJc w:val="left"/>
      <w:pPr>
        <w:ind w:left="1440" w:hanging="360"/>
      </w:pPr>
      <w:rPr>
        <w:rFonts w:ascii="Symbol" w:hAnsi="Symbol" w:hint="default"/>
      </w:rPr>
    </w:lvl>
    <w:lvl w:ilvl="2" w:tplc="E1946C6E">
      <w:start w:val="1"/>
      <w:numFmt w:val="bullet"/>
      <w:lvlText w:val=""/>
      <w:lvlJc w:val="left"/>
      <w:pPr>
        <w:ind w:left="2160" w:hanging="360"/>
      </w:pPr>
      <w:rPr>
        <w:rFonts w:ascii="Wingdings" w:hAnsi="Wingdings" w:hint="default"/>
      </w:rPr>
    </w:lvl>
    <w:lvl w:ilvl="3" w:tplc="3F3E908A">
      <w:start w:val="1"/>
      <w:numFmt w:val="bullet"/>
      <w:lvlText w:val=""/>
      <w:lvlJc w:val="left"/>
      <w:pPr>
        <w:ind w:left="2880" w:hanging="360"/>
      </w:pPr>
      <w:rPr>
        <w:rFonts w:ascii="Symbol" w:hAnsi="Symbol" w:hint="default"/>
      </w:rPr>
    </w:lvl>
    <w:lvl w:ilvl="4" w:tplc="96D267B0">
      <w:start w:val="1"/>
      <w:numFmt w:val="bullet"/>
      <w:lvlText w:val="o"/>
      <w:lvlJc w:val="left"/>
      <w:pPr>
        <w:ind w:left="3600" w:hanging="360"/>
      </w:pPr>
      <w:rPr>
        <w:rFonts w:ascii="Courier New" w:hAnsi="Courier New" w:hint="default"/>
      </w:rPr>
    </w:lvl>
    <w:lvl w:ilvl="5" w:tplc="5CA23F18">
      <w:start w:val="1"/>
      <w:numFmt w:val="bullet"/>
      <w:lvlText w:val=""/>
      <w:lvlJc w:val="left"/>
      <w:pPr>
        <w:ind w:left="4320" w:hanging="360"/>
      </w:pPr>
      <w:rPr>
        <w:rFonts w:ascii="Wingdings" w:hAnsi="Wingdings" w:hint="default"/>
      </w:rPr>
    </w:lvl>
    <w:lvl w:ilvl="6" w:tplc="06AA0498">
      <w:start w:val="1"/>
      <w:numFmt w:val="bullet"/>
      <w:lvlText w:val=""/>
      <w:lvlJc w:val="left"/>
      <w:pPr>
        <w:ind w:left="5040" w:hanging="360"/>
      </w:pPr>
      <w:rPr>
        <w:rFonts w:ascii="Symbol" w:hAnsi="Symbol" w:hint="default"/>
      </w:rPr>
    </w:lvl>
    <w:lvl w:ilvl="7" w:tplc="7F4E649C">
      <w:start w:val="1"/>
      <w:numFmt w:val="bullet"/>
      <w:lvlText w:val="o"/>
      <w:lvlJc w:val="left"/>
      <w:pPr>
        <w:ind w:left="5760" w:hanging="360"/>
      </w:pPr>
      <w:rPr>
        <w:rFonts w:ascii="Courier New" w:hAnsi="Courier New" w:hint="default"/>
      </w:rPr>
    </w:lvl>
    <w:lvl w:ilvl="8" w:tplc="1374A938">
      <w:start w:val="1"/>
      <w:numFmt w:val="bullet"/>
      <w:lvlText w:val=""/>
      <w:lvlJc w:val="left"/>
      <w:pPr>
        <w:ind w:left="6480" w:hanging="360"/>
      </w:pPr>
      <w:rPr>
        <w:rFonts w:ascii="Wingdings" w:hAnsi="Wingdings" w:hint="default"/>
      </w:rPr>
    </w:lvl>
  </w:abstractNum>
  <w:abstractNum w:abstractNumId="4" w15:restartNumberingAfterBreak="0">
    <w:nsid w:val="169F0013"/>
    <w:multiLevelType w:val="hybridMultilevel"/>
    <w:tmpl w:val="FFFFFFFF"/>
    <w:lvl w:ilvl="0" w:tplc="07A485DA">
      <w:start w:val="1"/>
      <w:numFmt w:val="bullet"/>
      <w:lvlText w:val=""/>
      <w:lvlJc w:val="left"/>
      <w:pPr>
        <w:ind w:left="720" w:hanging="360"/>
      </w:pPr>
      <w:rPr>
        <w:rFonts w:ascii="Symbol" w:hAnsi="Symbol" w:hint="default"/>
      </w:rPr>
    </w:lvl>
    <w:lvl w:ilvl="1" w:tplc="933C09D4">
      <w:start w:val="1"/>
      <w:numFmt w:val="bullet"/>
      <w:lvlText w:val="o"/>
      <w:lvlJc w:val="left"/>
      <w:pPr>
        <w:ind w:left="1440" w:hanging="360"/>
      </w:pPr>
      <w:rPr>
        <w:rFonts w:ascii="Courier New" w:hAnsi="Courier New" w:hint="default"/>
      </w:rPr>
    </w:lvl>
    <w:lvl w:ilvl="2" w:tplc="6194E9F0">
      <w:start w:val="1"/>
      <w:numFmt w:val="bullet"/>
      <w:lvlText w:val=""/>
      <w:lvlJc w:val="left"/>
      <w:pPr>
        <w:ind w:left="2160" w:hanging="360"/>
      </w:pPr>
      <w:rPr>
        <w:rFonts w:ascii="Wingdings" w:hAnsi="Wingdings" w:hint="default"/>
      </w:rPr>
    </w:lvl>
    <w:lvl w:ilvl="3" w:tplc="5156C176">
      <w:start w:val="1"/>
      <w:numFmt w:val="bullet"/>
      <w:lvlText w:val=""/>
      <w:lvlJc w:val="left"/>
      <w:pPr>
        <w:ind w:left="2880" w:hanging="360"/>
      </w:pPr>
      <w:rPr>
        <w:rFonts w:ascii="Symbol" w:hAnsi="Symbol" w:hint="default"/>
      </w:rPr>
    </w:lvl>
    <w:lvl w:ilvl="4" w:tplc="5060084A">
      <w:start w:val="1"/>
      <w:numFmt w:val="bullet"/>
      <w:lvlText w:val="o"/>
      <w:lvlJc w:val="left"/>
      <w:pPr>
        <w:ind w:left="3600" w:hanging="360"/>
      </w:pPr>
      <w:rPr>
        <w:rFonts w:ascii="Courier New" w:hAnsi="Courier New" w:hint="default"/>
      </w:rPr>
    </w:lvl>
    <w:lvl w:ilvl="5" w:tplc="820EFB32">
      <w:start w:val="1"/>
      <w:numFmt w:val="bullet"/>
      <w:lvlText w:val=""/>
      <w:lvlJc w:val="left"/>
      <w:pPr>
        <w:ind w:left="4320" w:hanging="360"/>
      </w:pPr>
      <w:rPr>
        <w:rFonts w:ascii="Wingdings" w:hAnsi="Wingdings" w:hint="default"/>
      </w:rPr>
    </w:lvl>
    <w:lvl w:ilvl="6" w:tplc="54C0D506">
      <w:start w:val="1"/>
      <w:numFmt w:val="bullet"/>
      <w:lvlText w:val=""/>
      <w:lvlJc w:val="left"/>
      <w:pPr>
        <w:ind w:left="5040" w:hanging="360"/>
      </w:pPr>
      <w:rPr>
        <w:rFonts w:ascii="Symbol" w:hAnsi="Symbol" w:hint="default"/>
      </w:rPr>
    </w:lvl>
    <w:lvl w:ilvl="7" w:tplc="CB1A2BF6">
      <w:start w:val="1"/>
      <w:numFmt w:val="bullet"/>
      <w:lvlText w:val="o"/>
      <w:lvlJc w:val="left"/>
      <w:pPr>
        <w:ind w:left="5760" w:hanging="360"/>
      </w:pPr>
      <w:rPr>
        <w:rFonts w:ascii="Courier New" w:hAnsi="Courier New" w:hint="default"/>
      </w:rPr>
    </w:lvl>
    <w:lvl w:ilvl="8" w:tplc="ED4E6E10">
      <w:start w:val="1"/>
      <w:numFmt w:val="bullet"/>
      <w:lvlText w:val=""/>
      <w:lvlJc w:val="left"/>
      <w:pPr>
        <w:ind w:left="6480" w:hanging="360"/>
      </w:pPr>
      <w:rPr>
        <w:rFonts w:ascii="Wingdings" w:hAnsi="Wingdings" w:hint="default"/>
      </w:rPr>
    </w:lvl>
  </w:abstractNum>
  <w:abstractNum w:abstractNumId="5" w15:restartNumberingAfterBreak="0">
    <w:nsid w:val="1AB12724"/>
    <w:multiLevelType w:val="hybridMultilevel"/>
    <w:tmpl w:val="87D2FB0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Symbol" w:hAnsi="Symbol" w:hint="default"/>
      </w:rPr>
    </w:lvl>
    <w:lvl w:ilvl="2" w:tplc="FFFFFFFF" w:tentative="1">
      <w:start w:val="1"/>
      <w:numFmt w:val="bullet"/>
      <w:lvlText w:val=""/>
      <w:lvlJc w:val="left"/>
      <w:pPr>
        <w:ind w:left="216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6513DF"/>
    <w:multiLevelType w:val="hybridMultilevel"/>
    <w:tmpl w:val="E940CB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76590C"/>
    <w:multiLevelType w:val="hybridMultilevel"/>
    <w:tmpl w:val="CE46E4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71A51C6"/>
    <w:multiLevelType w:val="hybridMultilevel"/>
    <w:tmpl w:val="FFFFFFFF"/>
    <w:lvl w:ilvl="0" w:tplc="FFC6D77E">
      <w:start w:val="1"/>
      <w:numFmt w:val="bullet"/>
      <w:lvlText w:val=""/>
      <w:lvlJc w:val="left"/>
      <w:pPr>
        <w:ind w:left="720" w:hanging="360"/>
      </w:pPr>
      <w:rPr>
        <w:rFonts w:ascii="Symbol" w:hAnsi="Symbol" w:hint="default"/>
      </w:rPr>
    </w:lvl>
    <w:lvl w:ilvl="1" w:tplc="A8C4F032">
      <w:start w:val="1"/>
      <w:numFmt w:val="bullet"/>
      <w:lvlText w:val="o"/>
      <w:lvlJc w:val="left"/>
      <w:pPr>
        <w:ind w:left="1440" w:hanging="360"/>
      </w:pPr>
      <w:rPr>
        <w:rFonts w:ascii="Symbol" w:hAnsi="Symbol" w:hint="default"/>
      </w:rPr>
    </w:lvl>
    <w:lvl w:ilvl="2" w:tplc="2F60015A">
      <w:start w:val="1"/>
      <w:numFmt w:val="bullet"/>
      <w:lvlText w:val=""/>
      <w:lvlJc w:val="left"/>
      <w:pPr>
        <w:ind w:left="2160" w:hanging="360"/>
      </w:pPr>
      <w:rPr>
        <w:rFonts w:ascii="Symbol" w:hAnsi="Symbol" w:hint="default"/>
      </w:rPr>
    </w:lvl>
    <w:lvl w:ilvl="3" w:tplc="3DBEF6FE">
      <w:start w:val="1"/>
      <w:numFmt w:val="bullet"/>
      <w:lvlText w:val=""/>
      <w:lvlJc w:val="left"/>
      <w:pPr>
        <w:ind w:left="2880" w:hanging="360"/>
      </w:pPr>
      <w:rPr>
        <w:rFonts w:ascii="Symbol" w:hAnsi="Symbol" w:hint="default"/>
      </w:rPr>
    </w:lvl>
    <w:lvl w:ilvl="4" w:tplc="14C2D726">
      <w:start w:val="1"/>
      <w:numFmt w:val="bullet"/>
      <w:lvlText w:val="o"/>
      <w:lvlJc w:val="left"/>
      <w:pPr>
        <w:ind w:left="3600" w:hanging="360"/>
      </w:pPr>
      <w:rPr>
        <w:rFonts w:ascii="Courier New" w:hAnsi="Courier New" w:hint="default"/>
      </w:rPr>
    </w:lvl>
    <w:lvl w:ilvl="5" w:tplc="83D025C0">
      <w:start w:val="1"/>
      <w:numFmt w:val="bullet"/>
      <w:lvlText w:val=""/>
      <w:lvlJc w:val="left"/>
      <w:pPr>
        <w:ind w:left="4320" w:hanging="360"/>
      </w:pPr>
      <w:rPr>
        <w:rFonts w:ascii="Wingdings" w:hAnsi="Wingdings" w:hint="default"/>
      </w:rPr>
    </w:lvl>
    <w:lvl w:ilvl="6" w:tplc="AA540286">
      <w:start w:val="1"/>
      <w:numFmt w:val="bullet"/>
      <w:lvlText w:val=""/>
      <w:lvlJc w:val="left"/>
      <w:pPr>
        <w:ind w:left="5040" w:hanging="360"/>
      </w:pPr>
      <w:rPr>
        <w:rFonts w:ascii="Symbol" w:hAnsi="Symbol" w:hint="default"/>
      </w:rPr>
    </w:lvl>
    <w:lvl w:ilvl="7" w:tplc="401AB4AC">
      <w:start w:val="1"/>
      <w:numFmt w:val="bullet"/>
      <w:lvlText w:val="o"/>
      <w:lvlJc w:val="left"/>
      <w:pPr>
        <w:ind w:left="5760" w:hanging="360"/>
      </w:pPr>
      <w:rPr>
        <w:rFonts w:ascii="Courier New" w:hAnsi="Courier New" w:hint="default"/>
      </w:rPr>
    </w:lvl>
    <w:lvl w:ilvl="8" w:tplc="D3B0A980">
      <w:start w:val="1"/>
      <w:numFmt w:val="bullet"/>
      <w:lvlText w:val=""/>
      <w:lvlJc w:val="left"/>
      <w:pPr>
        <w:ind w:left="6480" w:hanging="360"/>
      </w:pPr>
      <w:rPr>
        <w:rFonts w:ascii="Wingdings" w:hAnsi="Wingdings" w:hint="default"/>
      </w:rPr>
    </w:lvl>
  </w:abstractNum>
  <w:abstractNum w:abstractNumId="9" w15:restartNumberingAfterBreak="0">
    <w:nsid w:val="2806ADE7"/>
    <w:multiLevelType w:val="hybridMultilevel"/>
    <w:tmpl w:val="FFFFFFFF"/>
    <w:lvl w:ilvl="0" w:tplc="89CCBD72">
      <w:start w:val="1"/>
      <w:numFmt w:val="bullet"/>
      <w:lvlText w:val=""/>
      <w:lvlJc w:val="left"/>
      <w:pPr>
        <w:ind w:left="720" w:hanging="360"/>
      </w:pPr>
      <w:rPr>
        <w:rFonts w:ascii="Symbol" w:hAnsi="Symbol" w:hint="default"/>
      </w:rPr>
    </w:lvl>
    <w:lvl w:ilvl="1" w:tplc="69F0A2EE">
      <w:start w:val="1"/>
      <w:numFmt w:val="bullet"/>
      <w:lvlText w:val="o"/>
      <w:lvlJc w:val="left"/>
      <w:pPr>
        <w:ind w:left="1440" w:hanging="360"/>
      </w:pPr>
      <w:rPr>
        <w:rFonts w:ascii="Courier New" w:hAnsi="Courier New" w:hint="default"/>
      </w:rPr>
    </w:lvl>
    <w:lvl w:ilvl="2" w:tplc="347A7742">
      <w:start w:val="1"/>
      <w:numFmt w:val="bullet"/>
      <w:lvlText w:val=""/>
      <w:lvlJc w:val="left"/>
      <w:pPr>
        <w:ind w:left="2160" w:hanging="360"/>
      </w:pPr>
      <w:rPr>
        <w:rFonts w:ascii="Wingdings" w:hAnsi="Wingdings" w:hint="default"/>
      </w:rPr>
    </w:lvl>
    <w:lvl w:ilvl="3" w:tplc="B3FC56D2">
      <w:start w:val="1"/>
      <w:numFmt w:val="bullet"/>
      <w:lvlText w:val=""/>
      <w:lvlJc w:val="left"/>
      <w:pPr>
        <w:ind w:left="2880" w:hanging="360"/>
      </w:pPr>
      <w:rPr>
        <w:rFonts w:ascii="Symbol" w:hAnsi="Symbol" w:hint="default"/>
      </w:rPr>
    </w:lvl>
    <w:lvl w:ilvl="4" w:tplc="4ED4B476">
      <w:start w:val="1"/>
      <w:numFmt w:val="bullet"/>
      <w:lvlText w:val="o"/>
      <w:lvlJc w:val="left"/>
      <w:pPr>
        <w:ind w:left="3600" w:hanging="360"/>
      </w:pPr>
      <w:rPr>
        <w:rFonts w:ascii="Courier New" w:hAnsi="Courier New" w:hint="default"/>
      </w:rPr>
    </w:lvl>
    <w:lvl w:ilvl="5" w:tplc="C2B668BA">
      <w:start w:val="1"/>
      <w:numFmt w:val="bullet"/>
      <w:lvlText w:val=""/>
      <w:lvlJc w:val="left"/>
      <w:pPr>
        <w:ind w:left="4320" w:hanging="360"/>
      </w:pPr>
      <w:rPr>
        <w:rFonts w:ascii="Wingdings" w:hAnsi="Wingdings" w:hint="default"/>
      </w:rPr>
    </w:lvl>
    <w:lvl w:ilvl="6" w:tplc="45621C68">
      <w:start w:val="1"/>
      <w:numFmt w:val="bullet"/>
      <w:lvlText w:val=""/>
      <w:lvlJc w:val="left"/>
      <w:pPr>
        <w:ind w:left="5040" w:hanging="360"/>
      </w:pPr>
      <w:rPr>
        <w:rFonts w:ascii="Symbol" w:hAnsi="Symbol" w:hint="default"/>
      </w:rPr>
    </w:lvl>
    <w:lvl w:ilvl="7" w:tplc="18A23C72">
      <w:start w:val="1"/>
      <w:numFmt w:val="bullet"/>
      <w:lvlText w:val="o"/>
      <w:lvlJc w:val="left"/>
      <w:pPr>
        <w:ind w:left="5760" w:hanging="360"/>
      </w:pPr>
      <w:rPr>
        <w:rFonts w:ascii="Courier New" w:hAnsi="Courier New" w:hint="default"/>
      </w:rPr>
    </w:lvl>
    <w:lvl w:ilvl="8" w:tplc="69BE2D02">
      <w:start w:val="1"/>
      <w:numFmt w:val="bullet"/>
      <w:lvlText w:val=""/>
      <w:lvlJc w:val="left"/>
      <w:pPr>
        <w:ind w:left="6480" w:hanging="360"/>
      </w:pPr>
      <w:rPr>
        <w:rFonts w:ascii="Wingdings" w:hAnsi="Wingdings" w:hint="default"/>
      </w:rPr>
    </w:lvl>
  </w:abstractNum>
  <w:abstractNum w:abstractNumId="10" w15:restartNumberingAfterBreak="0">
    <w:nsid w:val="37724A20"/>
    <w:multiLevelType w:val="hybridMultilevel"/>
    <w:tmpl w:val="FFFFFFFF"/>
    <w:lvl w:ilvl="0" w:tplc="C17A13B6">
      <w:start w:val="1"/>
      <w:numFmt w:val="bullet"/>
      <w:lvlText w:val=""/>
      <w:lvlJc w:val="left"/>
      <w:pPr>
        <w:ind w:left="720" w:hanging="360"/>
      </w:pPr>
      <w:rPr>
        <w:rFonts w:ascii="Symbol" w:hAnsi="Symbol" w:hint="default"/>
      </w:rPr>
    </w:lvl>
    <w:lvl w:ilvl="1" w:tplc="785E3992">
      <w:start w:val="1"/>
      <w:numFmt w:val="bullet"/>
      <w:lvlText w:val="o"/>
      <w:lvlJc w:val="left"/>
      <w:pPr>
        <w:ind w:left="1440" w:hanging="360"/>
      </w:pPr>
      <w:rPr>
        <w:rFonts w:ascii="Courier New" w:hAnsi="Courier New" w:hint="default"/>
      </w:rPr>
    </w:lvl>
    <w:lvl w:ilvl="2" w:tplc="FFDA08FE">
      <w:start w:val="1"/>
      <w:numFmt w:val="bullet"/>
      <w:lvlText w:val=""/>
      <w:lvlJc w:val="left"/>
      <w:pPr>
        <w:ind w:left="2160" w:hanging="360"/>
      </w:pPr>
      <w:rPr>
        <w:rFonts w:ascii="Wingdings" w:hAnsi="Wingdings" w:hint="default"/>
      </w:rPr>
    </w:lvl>
    <w:lvl w:ilvl="3" w:tplc="42B0C9A6">
      <w:start w:val="1"/>
      <w:numFmt w:val="bullet"/>
      <w:lvlText w:val=""/>
      <w:lvlJc w:val="left"/>
      <w:pPr>
        <w:ind w:left="2880" w:hanging="360"/>
      </w:pPr>
      <w:rPr>
        <w:rFonts w:ascii="Symbol" w:hAnsi="Symbol" w:hint="default"/>
      </w:rPr>
    </w:lvl>
    <w:lvl w:ilvl="4" w:tplc="79B0E186">
      <w:start w:val="1"/>
      <w:numFmt w:val="bullet"/>
      <w:lvlText w:val="o"/>
      <w:lvlJc w:val="left"/>
      <w:pPr>
        <w:ind w:left="3600" w:hanging="360"/>
      </w:pPr>
      <w:rPr>
        <w:rFonts w:ascii="Courier New" w:hAnsi="Courier New" w:hint="default"/>
      </w:rPr>
    </w:lvl>
    <w:lvl w:ilvl="5" w:tplc="82F8E2F4">
      <w:start w:val="1"/>
      <w:numFmt w:val="bullet"/>
      <w:lvlText w:val=""/>
      <w:lvlJc w:val="left"/>
      <w:pPr>
        <w:ind w:left="4320" w:hanging="360"/>
      </w:pPr>
      <w:rPr>
        <w:rFonts w:ascii="Wingdings" w:hAnsi="Wingdings" w:hint="default"/>
      </w:rPr>
    </w:lvl>
    <w:lvl w:ilvl="6" w:tplc="52747DE4">
      <w:start w:val="1"/>
      <w:numFmt w:val="bullet"/>
      <w:lvlText w:val=""/>
      <w:lvlJc w:val="left"/>
      <w:pPr>
        <w:ind w:left="5040" w:hanging="360"/>
      </w:pPr>
      <w:rPr>
        <w:rFonts w:ascii="Symbol" w:hAnsi="Symbol" w:hint="default"/>
      </w:rPr>
    </w:lvl>
    <w:lvl w:ilvl="7" w:tplc="2A2C6856">
      <w:start w:val="1"/>
      <w:numFmt w:val="bullet"/>
      <w:lvlText w:val="o"/>
      <w:lvlJc w:val="left"/>
      <w:pPr>
        <w:ind w:left="5760" w:hanging="360"/>
      </w:pPr>
      <w:rPr>
        <w:rFonts w:ascii="Courier New" w:hAnsi="Courier New" w:hint="default"/>
      </w:rPr>
    </w:lvl>
    <w:lvl w:ilvl="8" w:tplc="184C6776">
      <w:start w:val="1"/>
      <w:numFmt w:val="bullet"/>
      <w:lvlText w:val=""/>
      <w:lvlJc w:val="left"/>
      <w:pPr>
        <w:ind w:left="6480" w:hanging="360"/>
      </w:pPr>
      <w:rPr>
        <w:rFonts w:ascii="Wingdings" w:hAnsi="Wingdings" w:hint="default"/>
      </w:rPr>
    </w:lvl>
  </w:abstractNum>
  <w:abstractNum w:abstractNumId="11" w15:restartNumberingAfterBreak="0">
    <w:nsid w:val="38850D78"/>
    <w:multiLevelType w:val="hybridMultilevel"/>
    <w:tmpl w:val="C35671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D8000B"/>
    <w:multiLevelType w:val="hybridMultilevel"/>
    <w:tmpl w:val="FFFFFFFF"/>
    <w:lvl w:ilvl="0" w:tplc="CD585052">
      <w:start w:val="1"/>
      <w:numFmt w:val="bullet"/>
      <w:lvlText w:val=""/>
      <w:lvlJc w:val="left"/>
      <w:pPr>
        <w:ind w:left="720" w:hanging="360"/>
      </w:pPr>
      <w:rPr>
        <w:rFonts w:ascii="Symbol" w:hAnsi="Symbol" w:hint="default"/>
      </w:rPr>
    </w:lvl>
    <w:lvl w:ilvl="1" w:tplc="AED48C90">
      <w:start w:val="1"/>
      <w:numFmt w:val="bullet"/>
      <w:lvlText w:val="o"/>
      <w:lvlJc w:val="left"/>
      <w:pPr>
        <w:ind w:left="1440" w:hanging="360"/>
      </w:pPr>
      <w:rPr>
        <w:rFonts w:ascii="Courier New" w:hAnsi="Courier New" w:hint="default"/>
      </w:rPr>
    </w:lvl>
    <w:lvl w:ilvl="2" w:tplc="DF1E4302">
      <w:start w:val="1"/>
      <w:numFmt w:val="bullet"/>
      <w:lvlText w:val=""/>
      <w:lvlJc w:val="left"/>
      <w:pPr>
        <w:ind w:left="2160" w:hanging="360"/>
      </w:pPr>
      <w:rPr>
        <w:rFonts w:ascii="Wingdings" w:hAnsi="Wingdings" w:hint="default"/>
      </w:rPr>
    </w:lvl>
    <w:lvl w:ilvl="3" w:tplc="2D3261E2">
      <w:start w:val="1"/>
      <w:numFmt w:val="bullet"/>
      <w:lvlText w:val=""/>
      <w:lvlJc w:val="left"/>
      <w:pPr>
        <w:ind w:left="2880" w:hanging="360"/>
      </w:pPr>
      <w:rPr>
        <w:rFonts w:ascii="Symbol" w:hAnsi="Symbol" w:hint="default"/>
      </w:rPr>
    </w:lvl>
    <w:lvl w:ilvl="4" w:tplc="A69A0FD6">
      <w:start w:val="1"/>
      <w:numFmt w:val="bullet"/>
      <w:lvlText w:val="o"/>
      <w:lvlJc w:val="left"/>
      <w:pPr>
        <w:ind w:left="3600" w:hanging="360"/>
      </w:pPr>
      <w:rPr>
        <w:rFonts w:ascii="Courier New" w:hAnsi="Courier New" w:hint="default"/>
      </w:rPr>
    </w:lvl>
    <w:lvl w:ilvl="5" w:tplc="D2E07236">
      <w:start w:val="1"/>
      <w:numFmt w:val="bullet"/>
      <w:lvlText w:val=""/>
      <w:lvlJc w:val="left"/>
      <w:pPr>
        <w:ind w:left="4320" w:hanging="360"/>
      </w:pPr>
      <w:rPr>
        <w:rFonts w:ascii="Wingdings" w:hAnsi="Wingdings" w:hint="default"/>
      </w:rPr>
    </w:lvl>
    <w:lvl w:ilvl="6" w:tplc="198A33CA">
      <w:start w:val="1"/>
      <w:numFmt w:val="bullet"/>
      <w:lvlText w:val=""/>
      <w:lvlJc w:val="left"/>
      <w:pPr>
        <w:ind w:left="5040" w:hanging="360"/>
      </w:pPr>
      <w:rPr>
        <w:rFonts w:ascii="Symbol" w:hAnsi="Symbol" w:hint="default"/>
      </w:rPr>
    </w:lvl>
    <w:lvl w:ilvl="7" w:tplc="44528DCA">
      <w:start w:val="1"/>
      <w:numFmt w:val="bullet"/>
      <w:lvlText w:val="o"/>
      <w:lvlJc w:val="left"/>
      <w:pPr>
        <w:ind w:left="5760" w:hanging="360"/>
      </w:pPr>
      <w:rPr>
        <w:rFonts w:ascii="Courier New" w:hAnsi="Courier New" w:hint="default"/>
      </w:rPr>
    </w:lvl>
    <w:lvl w:ilvl="8" w:tplc="0B04091A">
      <w:start w:val="1"/>
      <w:numFmt w:val="bullet"/>
      <w:lvlText w:val=""/>
      <w:lvlJc w:val="left"/>
      <w:pPr>
        <w:ind w:left="6480" w:hanging="360"/>
      </w:pPr>
      <w:rPr>
        <w:rFonts w:ascii="Wingdings" w:hAnsi="Wingdings" w:hint="default"/>
      </w:rPr>
    </w:lvl>
  </w:abstractNum>
  <w:abstractNum w:abstractNumId="13" w15:restartNumberingAfterBreak="0">
    <w:nsid w:val="3C44E673"/>
    <w:multiLevelType w:val="hybridMultilevel"/>
    <w:tmpl w:val="FFFFFFFF"/>
    <w:lvl w:ilvl="0" w:tplc="7744D4A2">
      <w:start w:val="1"/>
      <w:numFmt w:val="bullet"/>
      <w:lvlText w:val=""/>
      <w:lvlJc w:val="left"/>
      <w:pPr>
        <w:ind w:left="720" w:hanging="360"/>
      </w:pPr>
      <w:rPr>
        <w:rFonts w:ascii="Symbol" w:hAnsi="Symbol" w:hint="default"/>
      </w:rPr>
    </w:lvl>
    <w:lvl w:ilvl="1" w:tplc="DDCC873E">
      <w:start w:val="1"/>
      <w:numFmt w:val="bullet"/>
      <w:lvlText w:val="o"/>
      <w:lvlJc w:val="left"/>
      <w:pPr>
        <w:ind w:left="1440" w:hanging="360"/>
      </w:pPr>
      <w:rPr>
        <w:rFonts w:ascii="Symbol" w:hAnsi="Symbol" w:hint="default"/>
      </w:rPr>
    </w:lvl>
    <w:lvl w:ilvl="2" w:tplc="C39245CC">
      <w:start w:val="1"/>
      <w:numFmt w:val="bullet"/>
      <w:lvlText w:val=""/>
      <w:lvlJc w:val="left"/>
      <w:pPr>
        <w:ind w:left="2160" w:hanging="360"/>
      </w:pPr>
      <w:rPr>
        <w:rFonts w:ascii="Wingdings" w:hAnsi="Wingdings" w:hint="default"/>
      </w:rPr>
    </w:lvl>
    <w:lvl w:ilvl="3" w:tplc="15B4E090">
      <w:start w:val="1"/>
      <w:numFmt w:val="bullet"/>
      <w:lvlText w:val=""/>
      <w:lvlJc w:val="left"/>
      <w:pPr>
        <w:ind w:left="2880" w:hanging="360"/>
      </w:pPr>
      <w:rPr>
        <w:rFonts w:ascii="Symbol" w:hAnsi="Symbol" w:hint="default"/>
      </w:rPr>
    </w:lvl>
    <w:lvl w:ilvl="4" w:tplc="A6A8F014">
      <w:start w:val="1"/>
      <w:numFmt w:val="bullet"/>
      <w:lvlText w:val="o"/>
      <w:lvlJc w:val="left"/>
      <w:pPr>
        <w:ind w:left="3600" w:hanging="360"/>
      </w:pPr>
      <w:rPr>
        <w:rFonts w:ascii="Courier New" w:hAnsi="Courier New" w:hint="default"/>
      </w:rPr>
    </w:lvl>
    <w:lvl w:ilvl="5" w:tplc="C0EEFD4A">
      <w:start w:val="1"/>
      <w:numFmt w:val="bullet"/>
      <w:lvlText w:val=""/>
      <w:lvlJc w:val="left"/>
      <w:pPr>
        <w:ind w:left="4320" w:hanging="360"/>
      </w:pPr>
      <w:rPr>
        <w:rFonts w:ascii="Wingdings" w:hAnsi="Wingdings" w:hint="default"/>
      </w:rPr>
    </w:lvl>
    <w:lvl w:ilvl="6" w:tplc="A816C060">
      <w:start w:val="1"/>
      <w:numFmt w:val="bullet"/>
      <w:lvlText w:val=""/>
      <w:lvlJc w:val="left"/>
      <w:pPr>
        <w:ind w:left="5040" w:hanging="360"/>
      </w:pPr>
      <w:rPr>
        <w:rFonts w:ascii="Symbol" w:hAnsi="Symbol" w:hint="default"/>
      </w:rPr>
    </w:lvl>
    <w:lvl w:ilvl="7" w:tplc="C0FABE12">
      <w:start w:val="1"/>
      <w:numFmt w:val="bullet"/>
      <w:lvlText w:val="o"/>
      <w:lvlJc w:val="left"/>
      <w:pPr>
        <w:ind w:left="5760" w:hanging="360"/>
      </w:pPr>
      <w:rPr>
        <w:rFonts w:ascii="Courier New" w:hAnsi="Courier New" w:hint="default"/>
      </w:rPr>
    </w:lvl>
    <w:lvl w:ilvl="8" w:tplc="387EAC56">
      <w:start w:val="1"/>
      <w:numFmt w:val="bullet"/>
      <w:lvlText w:val=""/>
      <w:lvlJc w:val="left"/>
      <w:pPr>
        <w:ind w:left="6480" w:hanging="360"/>
      </w:pPr>
      <w:rPr>
        <w:rFonts w:ascii="Wingdings" w:hAnsi="Wingdings" w:hint="default"/>
      </w:rPr>
    </w:lvl>
  </w:abstractNum>
  <w:abstractNum w:abstractNumId="14" w15:restartNumberingAfterBreak="0">
    <w:nsid w:val="3E755C1B"/>
    <w:multiLevelType w:val="hybridMultilevel"/>
    <w:tmpl w:val="FFFFFFFF"/>
    <w:lvl w:ilvl="0" w:tplc="7D0A51FC">
      <w:start w:val="1"/>
      <w:numFmt w:val="bullet"/>
      <w:lvlText w:val=""/>
      <w:lvlJc w:val="left"/>
      <w:pPr>
        <w:ind w:left="720" w:hanging="360"/>
      </w:pPr>
      <w:rPr>
        <w:rFonts w:ascii="Symbol" w:hAnsi="Symbol" w:hint="default"/>
      </w:rPr>
    </w:lvl>
    <w:lvl w:ilvl="1" w:tplc="C75453BC">
      <w:start w:val="1"/>
      <w:numFmt w:val="bullet"/>
      <w:lvlText w:val="o"/>
      <w:lvlJc w:val="left"/>
      <w:pPr>
        <w:ind w:left="1440" w:hanging="360"/>
      </w:pPr>
      <w:rPr>
        <w:rFonts w:ascii="Courier New" w:hAnsi="Courier New" w:hint="default"/>
      </w:rPr>
    </w:lvl>
    <w:lvl w:ilvl="2" w:tplc="DB5CD080">
      <w:start w:val="1"/>
      <w:numFmt w:val="bullet"/>
      <w:lvlText w:val=""/>
      <w:lvlJc w:val="left"/>
      <w:pPr>
        <w:ind w:left="2160" w:hanging="360"/>
      </w:pPr>
      <w:rPr>
        <w:rFonts w:ascii="Wingdings" w:hAnsi="Wingdings" w:hint="default"/>
      </w:rPr>
    </w:lvl>
    <w:lvl w:ilvl="3" w:tplc="64BE247A">
      <w:start w:val="1"/>
      <w:numFmt w:val="bullet"/>
      <w:lvlText w:val=""/>
      <w:lvlJc w:val="left"/>
      <w:pPr>
        <w:ind w:left="2880" w:hanging="360"/>
      </w:pPr>
      <w:rPr>
        <w:rFonts w:ascii="Symbol" w:hAnsi="Symbol" w:hint="default"/>
      </w:rPr>
    </w:lvl>
    <w:lvl w:ilvl="4" w:tplc="B316C104">
      <w:start w:val="1"/>
      <w:numFmt w:val="bullet"/>
      <w:lvlText w:val="o"/>
      <w:lvlJc w:val="left"/>
      <w:pPr>
        <w:ind w:left="3600" w:hanging="360"/>
      </w:pPr>
      <w:rPr>
        <w:rFonts w:ascii="Courier New" w:hAnsi="Courier New" w:hint="default"/>
      </w:rPr>
    </w:lvl>
    <w:lvl w:ilvl="5" w:tplc="4A0634CE">
      <w:start w:val="1"/>
      <w:numFmt w:val="bullet"/>
      <w:lvlText w:val=""/>
      <w:lvlJc w:val="left"/>
      <w:pPr>
        <w:ind w:left="4320" w:hanging="360"/>
      </w:pPr>
      <w:rPr>
        <w:rFonts w:ascii="Wingdings" w:hAnsi="Wingdings" w:hint="default"/>
      </w:rPr>
    </w:lvl>
    <w:lvl w:ilvl="6" w:tplc="254E7F36">
      <w:start w:val="1"/>
      <w:numFmt w:val="bullet"/>
      <w:lvlText w:val=""/>
      <w:lvlJc w:val="left"/>
      <w:pPr>
        <w:ind w:left="5040" w:hanging="360"/>
      </w:pPr>
      <w:rPr>
        <w:rFonts w:ascii="Symbol" w:hAnsi="Symbol" w:hint="default"/>
      </w:rPr>
    </w:lvl>
    <w:lvl w:ilvl="7" w:tplc="9A32F3F2">
      <w:start w:val="1"/>
      <w:numFmt w:val="bullet"/>
      <w:lvlText w:val="o"/>
      <w:lvlJc w:val="left"/>
      <w:pPr>
        <w:ind w:left="5760" w:hanging="360"/>
      </w:pPr>
      <w:rPr>
        <w:rFonts w:ascii="Courier New" w:hAnsi="Courier New" w:hint="default"/>
      </w:rPr>
    </w:lvl>
    <w:lvl w:ilvl="8" w:tplc="120CA6D0">
      <w:start w:val="1"/>
      <w:numFmt w:val="bullet"/>
      <w:lvlText w:val=""/>
      <w:lvlJc w:val="left"/>
      <w:pPr>
        <w:ind w:left="6480" w:hanging="360"/>
      </w:pPr>
      <w:rPr>
        <w:rFonts w:ascii="Wingdings" w:hAnsi="Wingdings" w:hint="default"/>
      </w:rPr>
    </w:lvl>
  </w:abstractNum>
  <w:abstractNum w:abstractNumId="15" w15:restartNumberingAfterBreak="0">
    <w:nsid w:val="41A62C8F"/>
    <w:multiLevelType w:val="hybridMultilevel"/>
    <w:tmpl w:val="FFFFFFFF"/>
    <w:lvl w:ilvl="0" w:tplc="532C4156">
      <w:start w:val="1"/>
      <w:numFmt w:val="bullet"/>
      <w:lvlText w:val=""/>
      <w:lvlJc w:val="left"/>
      <w:pPr>
        <w:ind w:left="720" w:hanging="360"/>
      </w:pPr>
      <w:rPr>
        <w:rFonts w:ascii="Symbol" w:hAnsi="Symbol" w:hint="default"/>
      </w:rPr>
    </w:lvl>
    <w:lvl w:ilvl="1" w:tplc="145A1628">
      <w:start w:val="1"/>
      <w:numFmt w:val="bullet"/>
      <w:lvlText w:val="o"/>
      <w:lvlJc w:val="left"/>
      <w:pPr>
        <w:ind w:left="1440" w:hanging="360"/>
      </w:pPr>
      <w:rPr>
        <w:rFonts w:ascii="Courier New" w:hAnsi="Courier New" w:hint="default"/>
      </w:rPr>
    </w:lvl>
    <w:lvl w:ilvl="2" w:tplc="6C9CFC12">
      <w:start w:val="1"/>
      <w:numFmt w:val="bullet"/>
      <w:lvlText w:val=""/>
      <w:lvlJc w:val="left"/>
      <w:pPr>
        <w:ind w:left="2160" w:hanging="360"/>
      </w:pPr>
      <w:rPr>
        <w:rFonts w:ascii="Wingdings" w:hAnsi="Wingdings" w:hint="default"/>
      </w:rPr>
    </w:lvl>
    <w:lvl w:ilvl="3" w:tplc="ED4638EC">
      <w:start w:val="1"/>
      <w:numFmt w:val="bullet"/>
      <w:lvlText w:val=""/>
      <w:lvlJc w:val="left"/>
      <w:pPr>
        <w:ind w:left="2880" w:hanging="360"/>
      </w:pPr>
      <w:rPr>
        <w:rFonts w:ascii="Symbol" w:hAnsi="Symbol" w:hint="default"/>
      </w:rPr>
    </w:lvl>
    <w:lvl w:ilvl="4" w:tplc="053E6B22">
      <w:start w:val="1"/>
      <w:numFmt w:val="bullet"/>
      <w:lvlText w:val="o"/>
      <w:lvlJc w:val="left"/>
      <w:pPr>
        <w:ind w:left="3600" w:hanging="360"/>
      </w:pPr>
      <w:rPr>
        <w:rFonts w:ascii="Courier New" w:hAnsi="Courier New" w:hint="default"/>
      </w:rPr>
    </w:lvl>
    <w:lvl w:ilvl="5" w:tplc="9530C456">
      <w:start w:val="1"/>
      <w:numFmt w:val="bullet"/>
      <w:lvlText w:val=""/>
      <w:lvlJc w:val="left"/>
      <w:pPr>
        <w:ind w:left="4320" w:hanging="360"/>
      </w:pPr>
      <w:rPr>
        <w:rFonts w:ascii="Wingdings" w:hAnsi="Wingdings" w:hint="default"/>
      </w:rPr>
    </w:lvl>
    <w:lvl w:ilvl="6" w:tplc="C772FDEA">
      <w:start w:val="1"/>
      <w:numFmt w:val="bullet"/>
      <w:lvlText w:val=""/>
      <w:lvlJc w:val="left"/>
      <w:pPr>
        <w:ind w:left="5040" w:hanging="360"/>
      </w:pPr>
      <w:rPr>
        <w:rFonts w:ascii="Symbol" w:hAnsi="Symbol" w:hint="default"/>
      </w:rPr>
    </w:lvl>
    <w:lvl w:ilvl="7" w:tplc="A964FDF4">
      <w:start w:val="1"/>
      <w:numFmt w:val="bullet"/>
      <w:lvlText w:val="o"/>
      <w:lvlJc w:val="left"/>
      <w:pPr>
        <w:ind w:left="5760" w:hanging="360"/>
      </w:pPr>
      <w:rPr>
        <w:rFonts w:ascii="Courier New" w:hAnsi="Courier New" w:hint="default"/>
      </w:rPr>
    </w:lvl>
    <w:lvl w:ilvl="8" w:tplc="2902BFEC">
      <w:start w:val="1"/>
      <w:numFmt w:val="bullet"/>
      <w:lvlText w:val=""/>
      <w:lvlJc w:val="left"/>
      <w:pPr>
        <w:ind w:left="6480" w:hanging="360"/>
      </w:pPr>
      <w:rPr>
        <w:rFonts w:ascii="Wingdings" w:hAnsi="Wingdings" w:hint="default"/>
      </w:rPr>
    </w:lvl>
  </w:abstractNum>
  <w:abstractNum w:abstractNumId="16" w15:restartNumberingAfterBreak="0">
    <w:nsid w:val="46684AB6"/>
    <w:multiLevelType w:val="hybridMultilevel"/>
    <w:tmpl w:val="BC163B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4AA27B62"/>
    <w:multiLevelType w:val="hybridMultilevel"/>
    <w:tmpl w:val="FFFFFFFF"/>
    <w:lvl w:ilvl="0" w:tplc="3F0C09B6">
      <w:start w:val="1"/>
      <w:numFmt w:val="bullet"/>
      <w:lvlText w:val=""/>
      <w:lvlJc w:val="left"/>
      <w:pPr>
        <w:ind w:left="720" w:hanging="360"/>
      </w:pPr>
      <w:rPr>
        <w:rFonts w:ascii="Symbol" w:hAnsi="Symbol" w:hint="default"/>
      </w:rPr>
    </w:lvl>
    <w:lvl w:ilvl="1" w:tplc="D62A8DDE">
      <w:start w:val="1"/>
      <w:numFmt w:val="bullet"/>
      <w:lvlText w:val="o"/>
      <w:lvlJc w:val="left"/>
      <w:pPr>
        <w:ind w:left="1440" w:hanging="360"/>
      </w:pPr>
      <w:rPr>
        <w:rFonts w:ascii="Courier New" w:hAnsi="Courier New" w:hint="default"/>
      </w:rPr>
    </w:lvl>
    <w:lvl w:ilvl="2" w:tplc="E01C2EF0">
      <w:start w:val="1"/>
      <w:numFmt w:val="bullet"/>
      <w:lvlText w:val=""/>
      <w:lvlJc w:val="left"/>
      <w:pPr>
        <w:ind w:left="2160" w:hanging="360"/>
      </w:pPr>
      <w:rPr>
        <w:rFonts w:ascii="Wingdings" w:hAnsi="Wingdings" w:hint="default"/>
      </w:rPr>
    </w:lvl>
    <w:lvl w:ilvl="3" w:tplc="24A63AC0">
      <w:start w:val="1"/>
      <w:numFmt w:val="bullet"/>
      <w:lvlText w:val=""/>
      <w:lvlJc w:val="left"/>
      <w:pPr>
        <w:ind w:left="2880" w:hanging="360"/>
      </w:pPr>
      <w:rPr>
        <w:rFonts w:ascii="Symbol" w:hAnsi="Symbol" w:hint="default"/>
      </w:rPr>
    </w:lvl>
    <w:lvl w:ilvl="4" w:tplc="5FCEED3E">
      <w:start w:val="1"/>
      <w:numFmt w:val="bullet"/>
      <w:lvlText w:val="o"/>
      <w:lvlJc w:val="left"/>
      <w:pPr>
        <w:ind w:left="3600" w:hanging="360"/>
      </w:pPr>
      <w:rPr>
        <w:rFonts w:ascii="Courier New" w:hAnsi="Courier New" w:hint="default"/>
      </w:rPr>
    </w:lvl>
    <w:lvl w:ilvl="5" w:tplc="F9BE7EDC">
      <w:start w:val="1"/>
      <w:numFmt w:val="bullet"/>
      <w:lvlText w:val=""/>
      <w:lvlJc w:val="left"/>
      <w:pPr>
        <w:ind w:left="4320" w:hanging="360"/>
      </w:pPr>
      <w:rPr>
        <w:rFonts w:ascii="Wingdings" w:hAnsi="Wingdings" w:hint="default"/>
      </w:rPr>
    </w:lvl>
    <w:lvl w:ilvl="6" w:tplc="2604B2F2">
      <w:start w:val="1"/>
      <w:numFmt w:val="bullet"/>
      <w:lvlText w:val=""/>
      <w:lvlJc w:val="left"/>
      <w:pPr>
        <w:ind w:left="5040" w:hanging="360"/>
      </w:pPr>
      <w:rPr>
        <w:rFonts w:ascii="Symbol" w:hAnsi="Symbol" w:hint="default"/>
      </w:rPr>
    </w:lvl>
    <w:lvl w:ilvl="7" w:tplc="96221128">
      <w:start w:val="1"/>
      <w:numFmt w:val="bullet"/>
      <w:lvlText w:val="o"/>
      <w:lvlJc w:val="left"/>
      <w:pPr>
        <w:ind w:left="5760" w:hanging="360"/>
      </w:pPr>
      <w:rPr>
        <w:rFonts w:ascii="Courier New" w:hAnsi="Courier New" w:hint="default"/>
      </w:rPr>
    </w:lvl>
    <w:lvl w:ilvl="8" w:tplc="714285B4">
      <w:start w:val="1"/>
      <w:numFmt w:val="bullet"/>
      <w:lvlText w:val=""/>
      <w:lvlJc w:val="left"/>
      <w:pPr>
        <w:ind w:left="6480" w:hanging="360"/>
      </w:pPr>
      <w:rPr>
        <w:rFonts w:ascii="Wingdings" w:hAnsi="Wingdings" w:hint="default"/>
      </w:rPr>
    </w:lvl>
  </w:abstractNum>
  <w:abstractNum w:abstractNumId="18" w15:restartNumberingAfterBreak="0">
    <w:nsid w:val="4C08136C"/>
    <w:multiLevelType w:val="hybridMultilevel"/>
    <w:tmpl w:val="8250DD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909F744"/>
    <w:multiLevelType w:val="hybridMultilevel"/>
    <w:tmpl w:val="FFFFFFFF"/>
    <w:lvl w:ilvl="0" w:tplc="D20A4700">
      <w:start w:val="1"/>
      <w:numFmt w:val="bullet"/>
      <w:lvlText w:val=""/>
      <w:lvlJc w:val="left"/>
      <w:pPr>
        <w:ind w:left="720" w:hanging="360"/>
      </w:pPr>
      <w:rPr>
        <w:rFonts w:ascii="Symbol" w:hAnsi="Symbol" w:hint="default"/>
      </w:rPr>
    </w:lvl>
    <w:lvl w:ilvl="1" w:tplc="203ACAF0">
      <w:start w:val="1"/>
      <w:numFmt w:val="bullet"/>
      <w:lvlText w:val="o"/>
      <w:lvlJc w:val="left"/>
      <w:pPr>
        <w:ind w:left="1440" w:hanging="360"/>
      </w:pPr>
      <w:rPr>
        <w:rFonts w:ascii="Symbol" w:hAnsi="Symbol" w:hint="default"/>
      </w:rPr>
    </w:lvl>
    <w:lvl w:ilvl="2" w:tplc="D0584BAE">
      <w:start w:val="1"/>
      <w:numFmt w:val="bullet"/>
      <w:lvlText w:val=""/>
      <w:lvlJc w:val="left"/>
      <w:pPr>
        <w:ind w:left="2160" w:hanging="360"/>
      </w:pPr>
      <w:rPr>
        <w:rFonts w:ascii="Wingdings" w:hAnsi="Wingdings" w:hint="default"/>
      </w:rPr>
    </w:lvl>
    <w:lvl w:ilvl="3" w:tplc="E44A7460">
      <w:start w:val="1"/>
      <w:numFmt w:val="bullet"/>
      <w:lvlText w:val=""/>
      <w:lvlJc w:val="left"/>
      <w:pPr>
        <w:ind w:left="2880" w:hanging="360"/>
      </w:pPr>
      <w:rPr>
        <w:rFonts w:ascii="Symbol" w:hAnsi="Symbol" w:hint="default"/>
      </w:rPr>
    </w:lvl>
    <w:lvl w:ilvl="4" w:tplc="1A7ED578">
      <w:start w:val="1"/>
      <w:numFmt w:val="bullet"/>
      <w:lvlText w:val="o"/>
      <w:lvlJc w:val="left"/>
      <w:pPr>
        <w:ind w:left="3600" w:hanging="360"/>
      </w:pPr>
      <w:rPr>
        <w:rFonts w:ascii="Courier New" w:hAnsi="Courier New" w:hint="default"/>
      </w:rPr>
    </w:lvl>
    <w:lvl w:ilvl="5" w:tplc="DF48529A">
      <w:start w:val="1"/>
      <w:numFmt w:val="bullet"/>
      <w:lvlText w:val=""/>
      <w:lvlJc w:val="left"/>
      <w:pPr>
        <w:ind w:left="4320" w:hanging="360"/>
      </w:pPr>
      <w:rPr>
        <w:rFonts w:ascii="Wingdings" w:hAnsi="Wingdings" w:hint="default"/>
      </w:rPr>
    </w:lvl>
    <w:lvl w:ilvl="6" w:tplc="58C6FF26">
      <w:start w:val="1"/>
      <w:numFmt w:val="bullet"/>
      <w:lvlText w:val=""/>
      <w:lvlJc w:val="left"/>
      <w:pPr>
        <w:ind w:left="5040" w:hanging="360"/>
      </w:pPr>
      <w:rPr>
        <w:rFonts w:ascii="Symbol" w:hAnsi="Symbol" w:hint="default"/>
      </w:rPr>
    </w:lvl>
    <w:lvl w:ilvl="7" w:tplc="0D18B644">
      <w:start w:val="1"/>
      <w:numFmt w:val="bullet"/>
      <w:lvlText w:val="o"/>
      <w:lvlJc w:val="left"/>
      <w:pPr>
        <w:ind w:left="5760" w:hanging="360"/>
      </w:pPr>
      <w:rPr>
        <w:rFonts w:ascii="Courier New" w:hAnsi="Courier New" w:hint="default"/>
      </w:rPr>
    </w:lvl>
    <w:lvl w:ilvl="8" w:tplc="C4A8DAF8">
      <w:start w:val="1"/>
      <w:numFmt w:val="bullet"/>
      <w:lvlText w:val=""/>
      <w:lvlJc w:val="left"/>
      <w:pPr>
        <w:ind w:left="6480" w:hanging="360"/>
      </w:pPr>
      <w:rPr>
        <w:rFonts w:ascii="Wingdings" w:hAnsi="Wingdings" w:hint="default"/>
      </w:rPr>
    </w:lvl>
  </w:abstractNum>
  <w:abstractNum w:abstractNumId="20" w15:restartNumberingAfterBreak="0">
    <w:nsid w:val="64921326"/>
    <w:multiLevelType w:val="hybridMultilevel"/>
    <w:tmpl w:val="FFFFFFFF"/>
    <w:lvl w:ilvl="0" w:tplc="7D6E6E80">
      <w:start w:val="1"/>
      <w:numFmt w:val="bullet"/>
      <w:lvlText w:val=""/>
      <w:lvlJc w:val="left"/>
      <w:pPr>
        <w:ind w:left="720" w:hanging="360"/>
      </w:pPr>
      <w:rPr>
        <w:rFonts w:ascii="Symbol" w:hAnsi="Symbol" w:hint="default"/>
      </w:rPr>
    </w:lvl>
    <w:lvl w:ilvl="1" w:tplc="91C0D832">
      <w:start w:val="1"/>
      <w:numFmt w:val="bullet"/>
      <w:lvlText w:val="o"/>
      <w:lvlJc w:val="left"/>
      <w:pPr>
        <w:ind w:left="1440" w:hanging="360"/>
      </w:pPr>
      <w:rPr>
        <w:rFonts w:ascii="Courier New" w:hAnsi="Courier New" w:hint="default"/>
      </w:rPr>
    </w:lvl>
    <w:lvl w:ilvl="2" w:tplc="B2449296">
      <w:start w:val="1"/>
      <w:numFmt w:val="bullet"/>
      <w:lvlText w:val=""/>
      <w:lvlJc w:val="left"/>
      <w:pPr>
        <w:ind w:left="2160" w:hanging="360"/>
      </w:pPr>
      <w:rPr>
        <w:rFonts w:ascii="Wingdings" w:hAnsi="Wingdings" w:hint="default"/>
      </w:rPr>
    </w:lvl>
    <w:lvl w:ilvl="3" w:tplc="1480D718">
      <w:start w:val="1"/>
      <w:numFmt w:val="bullet"/>
      <w:lvlText w:val=""/>
      <w:lvlJc w:val="left"/>
      <w:pPr>
        <w:ind w:left="2880" w:hanging="360"/>
      </w:pPr>
      <w:rPr>
        <w:rFonts w:ascii="Symbol" w:hAnsi="Symbol" w:hint="default"/>
      </w:rPr>
    </w:lvl>
    <w:lvl w:ilvl="4" w:tplc="6B4CDC98">
      <w:start w:val="1"/>
      <w:numFmt w:val="bullet"/>
      <w:lvlText w:val="o"/>
      <w:lvlJc w:val="left"/>
      <w:pPr>
        <w:ind w:left="3600" w:hanging="360"/>
      </w:pPr>
      <w:rPr>
        <w:rFonts w:ascii="Courier New" w:hAnsi="Courier New" w:hint="default"/>
      </w:rPr>
    </w:lvl>
    <w:lvl w:ilvl="5" w:tplc="3B7EA6A6">
      <w:start w:val="1"/>
      <w:numFmt w:val="bullet"/>
      <w:lvlText w:val=""/>
      <w:lvlJc w:val="left"/>
      <w:pPr>
        <w:ind w:left="4320" w:hanging="360"/>
      </w:pPr>
      <w:rPr>
        <w:rFonts w:ascii="Wingdings" w:hAnsi="Wingdings" w:hint="default"/>
      </w:rPr>
    </w:lvl>
    <w:lvl w:ilvl="6" w:tplc="B17EC534">
      <w:start w:val="1"/>
      <w:numFmt w:val="bullet"/>
      <w:lvlText w:val=""/>
      <w:lvlJc w:val="left"/>
      <w:pPr>
        <w:ind w:left="5040" w:hanging="360"/>
      </w:pPr>
      <w:rPr>
        <w:rFonts w:ascii="Symbol" w:hAnsi="Symbol" w:hint="default"/>
      </w:rPr>
    </w:lvl>
    <w:lvl w:ilvl="7" w:tplc="127EEABE">
      <w:start w:val="1"/>
      <w:numFmt w:val="bullet"/>
      <w:lvlText w:val="o"/>
      <w:lvlJc w:val="left"/>
      <w:pPr>
        <w:ind w:left="5760" w:hanging="360"/>
      </w:pPr>
      <w:rPr>
        <w:rFonts w:ascii="Courier New" w:hAnsi="Courier New" w:hint="default"/>
      </w:rPr>
    </w:lvl>
    <w:lvl w:ilvl="8" w:tplc="0B786818">
      <w:start w:val="1"/>
      <w:numFmt w:val="bullet"/>
      <w:lvlText w:val=""/>
      <w:lvlJc w:val="left"/>
      <w:pPr>
        <w:ind w:left="6480" w:hanging="360"/>
      </w:pPr>
      <w:rPr>
        <w:rFonts w:ascii="Wingdings" w:hAnsi="Wingdings" w:hint="default"/>
      </w:rPr>
    </w:lvl>
  </w:abstractNum>
  <w:abstractNum w:abstractNumId="21" w15:restartNumberingAfterBreak="0">
    <w:nsid w:val="67BD03E5"/>
    <w:multiLevelType w:val="hybridMultilevel"/>
    <w:tmpl w:val="FFFFFFFF"/>
    <w:lvl w:ilvl="0" w:tplc="24BA4A9A">
      <w:start w:val="1"/>
      <w:numFmt w:val="bullet"/>
      <w:lvlText w:val=""/>
      <w:lvlJc w:val="left"/>
      <w:pPr>
        <w:ind w:left="720" w:hanging="360"/>
      </w:pPr>
      <w:rPr>
        <w:rFonts w:ascii="Symbol" w:hAnsi="Symbol" w:hint="default"/>
      </w:rPr>
    </w:lvl>
    <w:lvl w:ilvl="1" w:tplc="7C263650">
      <w:start w:val="1"/>
      <w:numFmt w:val="bullet"/>
      <w:lvlText w:val="o"/>
      <w:lvlJc w:val="left"/>
      <w:pPr>
        <w:ind w:left="1440" w:hanging="360"/>
      </w:pPr>
      <w:rPr>
        <w:rFonts w:ascii="Courier New" w:hAnsi="Courier New" w:hint="default"/>
      </w:rPr>
    </w:lvl>
    <w:lvl w:ilvl="2" w:tplc="09DC8660">
      <w:start w:val="1"/>
      <w:numFmt w:val="bullet"/>
      <w:lvlText w:val=""/>
      <w:lvlJc w:val="left"/>
      <w:pPr>
        <w:ind w:left="2160" w:hanging="360"/>
      </w:pPr>
      <w:rPr>
        <w:rFonts w:ascii="Wingdings" w:hAnsi="Wingdings" w:hint="default"/>
      </w:rPr>
    </w:lvl>
    <w:lvl w:ilvl="3" w:tplc="7744E3DC">
      <w:start w:val="1"/>
      <w:numFmt w:val="bullet"/>
      <w:lvlText w:val=""/>
      <w:lvlJc w:val="left"/>
      <w:pPr>
        <w:ind w:left="2880" w:hanging="360"/>
      </w:pPr>
      <w:rPr>
        <w:rFonts w:ascii="Symbol" w:hAnsi="Symbol" w:hint="default"/>
      </w:rPr>
    </w:lvl>
    <w:lvl w:ilvl="4" w:tplc="18164276">
      <w:start w:val="1"/>
      <w:numFmt w:val="bullet"/>
      <w:lvlText w:val="o"/>
      <w:lvlJc w:val="left"/>
      <w:pPr>
        <w:ind w:left="3600" w:hanging="360"/>
      </w:pPr>
      <w:rPr>
        <w:rFonts w:ascii="Courier New" w:hAnsi="Courier New" w:hint="default"/>
      </w:rPr>
    </w:lvl>
    <w:lvl w:ilvl="5" w:tplc="02B64AC4">
      <w:start w:val="1"/>
      <w:numFmt w:val="bullet"/>
      <w:lvlText w:val=""/>
      <w:lvlJc w:val="left"/>
      <w:pPr>
        <w:ind w:left="4320" w:hanging="360"/>
      </w:pPr>
      <w:rPr>
        <w:rFonts w:ascii="Wingdings" w:hAnsi="Wingdings" w:hint="default"/>
      </w:rPr>
    </w:lvl>
    <w:lvl w:ilvl="6" w:tplc="91ECABF4">
      <w:start w:val="1"/>
      <w:numFmt w:val="bullet"/>
      <w:lvlText w:val=""/>
      <w:lvlJc w:val="left"/>
      <w:pPr>
        <w:ind w:left="5040" w:hanging="360"/>
      </w:pPr>
      <w:rPr>
        <w:rFonts w:ascii="Symbol" w:hAnsi="Symbol" w:hint="default"/>
      </w:rPr>
    </w:lvl>
    <w:lvl w:ilvl="7" w:tplc="3E824EDE">
      <w:start w:val="1"/>
      <w:numFmt w:val="bullet"/>
      <w:lvlText w:val="o"/>
      <w:lvlJc w:val="left"/>
      <w:pPr>
        <w:ind w:left="5760" w:hanging="360"/>
      </w:pPr>
      <w:rPr>
        <w:rFonts w:ascii="Courier New" w:hAnsi="Courier New" w:hint="default"/>
      </w:rPr>
    </w:lvl>
    <w:lvl w:ilvl="8" w:tplc="1998295C">
      <w:start w:val="1"/>
      <w:numFmt w:val="bullet"/>
      <w:lvlText w:val=""/>
      <w:lvlJc w:val="left"/>
      <w:pPr>
        <w:ind w:left="6480" w:hanging="360"/>
      </w:pPr>
      <w:rPr>
        <w:rFonts w:ascii="Wingdings" w:hAnsi="Wingdings" w:hint="default"/>
      </w:rPr>
    </w:lvl>
  </w:abstractNum>
  <w:abstractNum w:abstractNumId="22" w15:restartNumberingAfterBreak="0">
    <w:nsid w:val="6BD98D77"/>
    <w:multiLevelType w:val="hybridMultilevel"/>
    <w:tmpl w:val="FFFFFFFF"/>
    <w:lvl w:ilvl="0" w:tplc="C8389FCC">
      <w:start w:val="1"/>
      <w:numFmt w:val="bullet"/>
      <w:lvlText w:val=""/>
      <w:lvlJc w:val="left"/>
      <w:pPr>
        <w:ind w:left="720" w:hanging="360"/>
      </w:pPr>
      <w:rPr>
        <w:rFonts w:ascii="Symbol" w:hAnsi="Symbol" w:hint="default"/>
      </w:rPr>
    </w:lvl>
    <w:lvl w:ilvl="1" w:tplc="F6D62DEA">
      <w:start w:val="1"/>
      <w:numFmt w:val="bullet"/>
      <w:lvlText w:val="o"/>
      <w:lvlJc w:val="left"/>
      <w:pPr>
        <w:ind w:left="1440" w:hanging="360"/>
      </w:pPr>
      <w:rPr>
        <w:rFonts w:ascii="Courier New" w:hAnsi="Courier New" w:hint="default"/>
      </w:rPr>
    </w:lvl>
    <w:lvl w:ilvl="2" w:tplc="BC221312">
      <w:start w:val="1"/>
      <w:numFmt w:val="bullet"/>
      <w:lvlText w:val=""/>
      <w:lvlJc w:val="left"/>
      <w:pPr>
        <w:ind w:left="2160" w:hanging="360"/>
      </w:pPr>
      <w:rPr>
        <w:rFonts w:ascii="Wingdings" w:hAnsi="Wingdings" w:hint="default"/>
      </w:rPr>
    </w:lvl>
    <w:lvl w:ilvl="3" w:tplc="F6524F1E">
      <w:start w:val="1"/>
      <w:numFmt w:val="bullet"/>
      <w:lvlText w:val=""/>
      <w:lvlJc w:val="left"/>
      <w:pPr>
        <w:ind w:left="2880" w:hanging="360"/>
      </w:pPr>
      <w:rPr>
        <w:rFonts w:ascii="Symbol" w:hAnsi="Symbol" w:hint="default"/>
      </w:rPr>
    </w:lvl>
    <w:lvl w:ilvl="4" w:tplc="C136AE56">
      <w:start w:val="1"/>
      <w:numFmt w:val="bullet"/>
      <w:lvlText w:val="o"/>
      <w:lvlJc w:val="left"/>
      <w:pPr>
        <w:ind w:left="3600" w:hanging="360"/>
      </w:pPr>
      <w:rPr>
        <w:rFonts w:ascii="Courier New" w:hAnsi="Courier New" w:hint="default"/>
      </w:rPr>
    </w:lvl>
    <w:lvl w:ilvl="5" w:tplc="9850C012">
      <w:start w:val="1"/>
      <w:numFmt w:val="bullet"/>
      <w:lvlText w:val=""/>
      <w:lvlJc w:val="left"/>
      <w:pPr>
        <w:ind w:left="4320" w:hanging="360"/>
      </w:pPr>
      <w:rPr>
        <w:rFonts w:ascii="Wingdings" w:hAnsi="Wingdings" w:hint="default"/>
      </w:rPr>
    </w:lvl>
    <w:lvl w:ilvl="6" w:tplc="27B84196">
      <w:start w:val="1"/>
      <w:numFmt w:val="bullet"/>
      <w:lvlText w:val=""/>
      <w:lvlJc w:val="left"/>
      <w:pPr>
        <w:ind w:left="5040" w:hanging="360"/>
      </w:pPr>
      <w:rPr>
        <w:rFonts w:ascii="Symbol" w:hAnsi="Symbol" w:hint="default"/>
      </w:rPr>
    </w:lvl>
    <w:lvl w:ilvl="7" w:tplc="66A2E98C">
      <w:start w:val="1"/>
      <w:numFmt w:val="bullet"/>
      <w:lvlText w:val="o"/>
      <w:lvlJc w:val="left"/>
      <w:pPr>
        <w:ind w:left="5760" w:hanging="360"/>
      </w:pPr>
      <w:rPr>
        <w:rFonts w:ascii="Courier New" w:hAnsi="Courier New" w:hint="default"/>
      </w:rPr>
    </w:lvl>
    <w:lvl w:ilvl="8" w:tplc="1C88ED9E">
      <w:start w:val="1"/>
      <w:numFmt w:val="bullet"/>
      <w:lvlText w:val=""/>
      <w:lvlJc w:val="left"/>
      <w:pPr>
        <w:ind w:left="6480" w:hanging="360"/>
      </w:pPr>
      <w:rPr>
        <w:rFonts w:ascii="Wingdings" w:hAnsi="Wingdings" w:hint="default"/>
      </w:rPr>
    </w:lvl>
  </w:abstractNum>
  <w:abstractNum w:abstractNumId="23" w15:restartNumberingAfterBreak="0">
    <w:nsid w:val="719F40D5"/>
    <w:multiLevelType w:val="hybridMultilevel"/>
    <w:tmpl w:val="E6640C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911966A"/>
    <w:multiLevelType w:val="hybridMultilevel"/>
    <w:tmpl w:val="FFFFFFFF"/>
    <w:lvl w:ilvl="0" w:tplc="72EA0E28">
      <w:start w:val="1"/>
      <w:numFmt w:val="bullet"/>
      <w:lvlText w:val=""/>
      <w:lvlJc w:val="left"/>
      <w:pPr>
        <w:ind w:left="720" w:hanging="360"/>
      </w:pPr>
      <w:rPr>
        <w:rFonts w:ascii="Symbol" w:hAnsi="Symbol" w:hint="default"/>
      </w:rPr>
    </w:lvl>
    <w:lvl w:ilvl="1" w:tplc="5CACA06A">
      <w:start w:val="1"/>
      <w:numFmt w:val="bullet"/>
      <w:lvlText w:val="o"/>
      <w:lvlJc w:val="left"/>
      <w:pPr>
        <w:ind w:left="1440" w:hanging="360"/>
      </w:pPr>
      <w:rPr>
        <w:rFonts w:ascii="Courier New" w:hAnsi="Courier New" w:hint="default"/>
      </w:rPr>
    </w:lvl>
    <w:lvl w:ilvl="2" w:tplc="9B163596">
      <w:start w:val="1"/>
      <w:numFmt w:val="bullet"/>
      <w:lvlText w:val=""/>
      <w:lvlJc w:val="left"/>
      <w:pPr>
        <w:ind w:left="2160" w:hanging="360"/>
      </w:pPr>
      <w:rPr>
        <w:rFonts w:ascii="Wingdings" w:hAnsi="Wingdings" w:hint="default"/>
      </w:rPr>
    </w:lvl>
    <w:lvl w:ilvl="3" w:tplc="4C362114">
      <w:start w:val="1"/>
      <w:numFmt w:val="bullet"/>
      <w:lvlText w:val=""/>
      <w:lvlJc w:val="left"/>
      <w:pPr>
        <w:ind w:left="2880" w:hanging="360"/>
      </w:pPr>
      <w:rPr>
        <w:rFonts w:ascii="Symbol" w:hAnsi="Symbol" w:hint="default"/>
      </w:rPr>
    </w:lvl>
    <w:lvl w:ilvl="4" w:tplc="493624E4">
      <w:start w:val="1"/>
      <w:numFmt w:val="bullet"/>
      <w:lvlText w:val="o"/>
      <w:lvlJc w:val="left"/>
      <w:pPr>
        <w:ind w:left="3600" w:hanging="360"/>
      </w:pPr>
      <w:rPr>
        <w:rFonts w:ascii="Courier New" w:hAnsi="Courier New" w:hint="default"/>
      </w:rPr>
    </w:lvl>
    <w:lvl w:ilvl="5" w:tplc="97C26B5A">
      <w:start w:val="1"/>
      <w:numFmt w:val="bullet"/>
      <w:lvlText w:val=""/>
      <w:lvlJc w:val="left"/>
      <w:pPr>
        <w:ind w:left="4320" w:hanging="360"/>
      </w:pPr>
      <w:rPr>
        <w:rFonts w:ascii="Wingdings" w:hAnsi="Wingdings" w:hint="default"/>
      </w:rPr>
    </w:lvl>
    <w:lvl w:ilvl="6" w:tplc="CC2EA678">
      <w:start w:val="1"/>
      <w:numFmt w:val="bullet"/>
      <w:lvlText w:val=""/>
      <w:lvlJc w:val="left"/>
      <w:pPr>
        <w:ind w:left="5040" w:hanging="360"/>
      </w:pPr>
      <w:rPr>
        <w:rFonts w:ascii="Symbol" w:hAnsi="Symbol" w:hint="default"/>
      </w:rPr>
    </w:lvl>
    <w:lvl w:ilvl="7" w:tplc="B8505AE0">
      <w:start w:val="1"/>
      <w:numFmt w:val="bullet"/>
      <w:lvlText w:val="o"/>
      <w:lvlJc w:val="left"/>
      <w:pPr>
        <w:ind w:left="5760" w:hanging="360"/>
      </w:pPr>
      <w:rPr>
        <w:rFonts w:ascii="Courier New" w:hAnsi="Courier New" w:hint="default"/>
      </w:rPr>
    </w:lvl>
    <w:lvl w:ilvl="8" w:tplc="DBCA796A">
      <w:start w:val="1"/>
      <w:numFmt w:val="bullet"/>
      <w:lvlText w:val=""/>
      <w:lvlJc w:val="left"/>
      <w:pPr>
        <w:ind w:left="6480" w:hanging="360"/>
      </w:pPr>
      <w:rPr>
        <w:rFonts w:ascii="Wingdings" w:hAnsi="Wingdings" w:hint="default"/>
      </w:rPr>
    </w:lvl>
  </w:abstractNum>
  <w:num w:numId="1" w16cid:durableId="1019772417">
    <w:abstractNumId w:val="18"/>
  </w:num>
  <w:num w:numId="2" w16cid:durableId="1082415918">
    <w:abstractNumId w:val="3"/>
  </w:num>
  <w:num w:numId="3" w16cid:durableId="1135180792">
    <w:abstractNumId w:val="19"/>
  </w:num>
  <w:num w:numId="4" w16cid:durableId="1231840692">
    <w:abstractNumId w:val="0"/>
  </w:num>
  <w:num w:numId="5" w16cid:durableId="1404839386">
    <w:abstractNumId w:val="10"/>
  </w:num>
  <w:num w:numId="6" w16cid:durableId="1582445498">
    <w:abstractNumId w:val="7"/>
  </w:num>
  <w:num w:numId="7" w16cid:durableId="1649631519">
    <w:abstractNumId w:val="22"/>
  </w:num>
  <w:num w:numId="8" w16cid:durableId="1675262990">
    <w:abstractNumId w:val="4"/>
  </w:num>
  <w:num w:numId="9" w16cid:durableId="1775707525">
    <w:abstractNumId w:val="6"/>
  </w:num>
  <w:num w:numId="10" w16cid:durableId="1941598152">
    <w:abstractNumId w:val="14"/>
  </w:num>
  <w:num w:numId="11" w16cid:durableId="1975716462">
    <w:abstractNumId w:val="16"/>
  </w:num>
  <w:num w:numId="12" w16cid:durableId="198783239">
    <w:abstractNumId w:val="2"/>
  </w:num>
  <w:num w:numId="13" w16cid:durableId="1987976148">
    <w:abstractNumId w:val="11"/>
  </w:num>
  <w:num w:numId="14" w16cid:durableId="2076665549">
    <w:abstractNumId w:val="21"/>
  </w:num>
  <w:num w:numId="15" w16cid:durableId="2077120277">
    <w:abstractNumId w:val="1"/>
  </w:num>
  <w:num w:numId="16" w16cid:durableId="231236144">
    <w:abstractNumId w:val="5"/>
  </w:num>
  <w:num w:numId="17" w16cid:durableId="338391123">
    <w:abstractNumId w:val="23"/>
  </w:num>
  <w:num w:numId="18" w16cid:durableId="376122897">
    <w:abstractNumId w:val="15"/>
  </w:num>
  <w:num w:numId="19" w16cid:durableId="559440755">
    <w:abstractNumId w:val="17"/>
  </w:num>
  <w:num w:numId="20" w16cid:durableId="748038060">
    <w:abstractNumId w:val="13"/>
  </w:num>
  <w:num w:numId="21" w16cid:durableId="771635258">
    <w:abstractNumId w:val="20"/>
  </w:num>
  <w:num w:numId="22" w16cid:durableId="817259885">
    <w:abstractNumId w:val="24"/>
  </w:num>
  <w:num w:numId="23" w16cid:durableId="822282868">
    <w:abstractNumId w:val="9"/>
  </w:num>
  <w:num w:numId="24" w16cid:durableId="918946660">
    <w:abstractNumId w:val="12"/>
  </w:num>
  <w:num w:numId="25" w16cid:durableId="94562018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EB3"/>
    <w:rsid w:val="000528D7"/>
    <w:rsid w:val="00083EB3"/>
    <w:rsid w:val="000C4AEF"/>
    <w:rsid w:val="000D234A"/>
    <w:rsid w:val="00101D6A"/>
    <w:rsid w:val="001202E8"/>
    <w:rsid w:val="00120468"/>
    <w:rsid w:val="00153F77"/>
    <w:rsid w:val="001A2B90"/>
    <w:rsid w:val="001F7B62"/>
    <w:rsid w:val="00230034"/>
    <w:rsid w:val="00253B5D"/>
    <w:rsid w:val="002D0694"/>
    <w:rsid w:val="002E3B0A"/>
    <w:rsid w:val="002E4ABD"/>
    <w:rsid w:val="00304010"/>
    <w:rsid w:val="00341B6A"/>
    <w:rsid w:val="003B55F7"/>
    <w:rsid w:val="003D3180"/>
    <w:rsid w:val="00404BC9"/>
    <w:rsid w:val="00413608"/>
    <w:rsid w:val="00432A17"/>
    <w:rsid w:val="004443FA"/>
    <w:rsid w:val="00444A54"/>
    <w:rsid w:val="00453B33"/>
    <w:rsid w:val="004542CE"/>
    <w:rsid w:val="00454D01"/>
    <w:rsid w:val="00460C74"/>
    <w:rsid w:val="00491EFA"/>
    <w:rsid w:val="00495EBE"/>
    <w:rsid w:val="004A221D"/>
    <w:rsid w:val="004B7BFC"/>
    <w:rsid w:val="004C413F"/>
    <w:rsid w:val="004D01E6"/>
    <w:rsid w:val="00513C9D"/>
    <w:rsid w:val="00536698"/>
    <w:rsid w:val="005402A5"/>
    <w:rsid w:val="00542845"/>
    <w:rsid w:val="005577D1"/>
    <w:rsid w:val="0058089F"/>
    <w:rsid w:val="00587171"/>
    <w:rsid w:val="00623BF6"/>
    <w:rsid w:val="006266C9"/>
    <w:rsid w:val="006F77F9"/>
    <w:rsid w:val="00702BE0"/>
    <w:rsid w:val="00720093"/>
    <w:rsid w:val="00721927"/>
    <w:rsid w:val="00771CB3"/>
    <w:rsid w:val="007745D4"/>
    <w:rsid w:val="007826FE"/>
    <w:rsid w:val="007C2CC2"/>
    <w:rsid w:val="007D186C"/>
    <w:rsid w:val="00800E93"/>
    <w:rsid w:val="008140B3"/>
    <w:rsid w:val="00863376"/>
    <w:rsid w:val="008B6E66"/>
    <w:rsid w:val="008C30F4"/>
    <w:rsid w:val="008C5E79"/>
    <w:rsid w:val="00930A52"/>
    <w:rsid w:val="0093654D"/>
    <w:rsid w:val="00951625"/>
    <w:rsid w:val="00997974"/>
    <w:rsid w:val="009A069C"/>
    <w:rsid w:val="009C21EB"/>
    <w:rsid w:val="009C562C"/>
    <w:rsid w:val="009D1B10"/>
    <w:rsid w:val="009E075B"/>
    <w:rsid w:val="009E55CD"/>
    <w:rsid w:val="009E6912"/>
    <w:rsid w:val="00A330F3"/>
    <w:rsid w:val="00A46ED9"/>
    <w:rsid w:val="00A641AE"/>
    <w:rsid w:val="00A67D0E"/>
    <w:rsid w:val="00A94300"/>
    <w:rsid w:val="00AB71AD"/>
    <w:rsid w:val="00AC29EF"/>
    <w:rsid w:val="00B134CA"/>
    <w:rsid w:val="00B21993"/>
    <w:rsid w:val="00B22E76"/>
    <w:rsid w:val="00B34714"/>
    <w:rsid w:val="00B56904"/>
    <w:rsid w:val="00B629A8"/>
    <w:rsid w:val="00B66A8A"/>
    <w:rsid w:val="00B91969"/>
    <w:rsid w:val="00B9451C"/>
    <w:rsid w:val="00BA0246"/>
    <w:rsid w:val="00BA52BC"/>
    <w:rsid w:val="00BC08D3"/>
    <w:rsid w:val="00BF034B"/>
    <w:rsid w:val="00C0444C"/>
    <w:rsid w:val="00C35976"/>
    <w:rsid w:val="00C42366"/>
    <w:rsid w:val="00C51772"/>
    <w:rsid w:val="00C7551D"/>
    <w:rsid w:val="00C77BD0"/>
    <w:rsid w:val="00C832D7"/>
    <w:rsid w:val="00CA55B8"/>
    <w:rsid w:val="00CC66E1"/>
    <w:rsid w:val="00CF5A51"/>
    <w:rsid w:val="00D05AB9"/>
    <w:rsid w:val="00D1042D"/>
    <w:rsid w:val="00D23302"/>
    <w:rsid w:val="00D23677"/>
    <w:rsid w:val="00D24EE8"/>
    <w:rsid w:val="00D637F7"/>
    <w:rsid w:val="00D77797"/>
    <w:rsid w:val="00DD440A"/>
    <w:rsid w:val="00DE3DDC"/>
    <w:rsid w:val="00E0408E"/>
    <w:rsid w:val="00E30EF2"/>
    <w:rsid w:val="00E4489D"/>
    <w:rsid w:val="00E5278B"/>
    <w:rsid w:val="00EA58D1"/>
    <w:rsid w:val="00EC174A"/>
    <w:rsid w:val="00EC290B"/>
    <w:rsid w:val="00F52DF3"/>
    <w:rsid w:val="00F67EDD"/>
    <w:rsid w:val="00F7132D"/>
    <w:rsid w:val="00F93710"/>
    <w:rsid w:val="00F97ACA"/>
    <w:rsid w:val="00FD7AAF"/>
    <w:rsid w:val="00FF448E"/>
    <w:rsid w:val="00FF4FCB"/>
    <w:rsid w:val="0105EB50"/>
    <w:rsid w:val="022FF485"/>
    <w:rsid w:val="02B9384E"/>
    <w:rsid w:val="02EC05DC"/>
    <w:rsid w:val="02FF870C"/>
    <w:rsid w:val="03414DFE"/>
    <w:rsid w:val="0342559C"/>
    <w:rsid w:val="03FD1D9A"/>
    <w:rsid w:val="04553D9B"/>
    <w:rsid w:val="049B87BE"/>
    <w:rsid w:val="04ACC077"/>
    <w:rsid w:val="04B4A99B"/>
    <w:rsid w:val="04C72FF3"/>
    <w:rsid w:val="0505A13A"/>
    <w:rsid w:val="05B588EA"/>
    <w:rsid w:val="05B5BC6E"/>
    <w:rsid w:val="0653191C"/>
    <w:rsid w:val="069CD44C"/>
    <w:rsid w:val="06B64E75"/>
    <w:rsid w:val="06D29505"/>
    <w:rsid w:val="0700BAC2"/>
    <w:rsid w:val="070B9F89"/>
    <w:rsid w:val="074D828E"/>
    <w:rsid w:val="07667085"/>
    <w:rsid w:val="0772F82C"/>
    <w:rsid w:val="077D9C91"/>
    <w:rsid w:val="07A8689E"/>
    <w:rsid w:val="07E2E251"/>
    <w:rsid w:val="081F31C0"/>
    <w:rsid w:val="0820C716"/>
    <w:rsid w:val="08DEC4A0"/>
    <w:rsid w:val="08EE2F4A"/>
    <w:rsid w:val="08F5AEC9"/>
    <w:rsid w:val="0950425C"/>
    <w:rsid w:val="0A090537"/>
    <w:rsid w:val="0A0C57C0"/>
    <w:rsid w:val="0A7AB743"/>
    <w:rsid w:val="0A7C4ADA"/>
    <w:rsid w:val="0A856655"/>
    <w:rsid w:val="0AE53F1D"/>
    <w:rsid w:val="0AFADA87"/>
    <w:rsid w:val="0B19298B"/>
    <w:rsid w:val="0B3582EB"/>
    <w:rsid w:val="0B3CEE13"/>
    <w:rsid w:val="0BC40775"/>
    <w:rsid w:val="0BE2DC1B"/>
    <w:rsid w:val="0C306937"/>
    <w:rsid w:val="0CEF8B7C"/>
    <w:rsid w:val="0D0A1430"/>
    <w:rsid w:val="0D2E4391"/>
    <w:rsid w:val="0D45E792"/>
    <w:rsid w:val="0D8898A8"/>
    <w:rsid w:val="0DA30F31"/>
    <w:rsid w:val="0E587CC9"/>
    <w:rsid w:val="0E766A83"/>
    <w:rsid w:val="0EADF74F"/>
    <w:rsid w:val="0EC29D6A"/>
    <w:rsid w:val="0ECA713A"/>
    <w:rsid w:val="0EF7AA27"/>
    <w:rsid w:val="0F5ED87C"/>
    <w:rsid w:val="0FCAA5B8"/>
    <w:rsid w:val="0FD82D0D"/>
    <w:rsid w:val="1013D07F"/>
    <w:rsid w:val="108D95BD"/>
    <w:rsid w:val="109D7DB4"/>
    <w:rsid w:val="10E22CE3"/>
    <w:rsid w:val="10F8FCA1"/>
    <w:rsid w:val="11148769"/>
    <w:rsid w:val="11356D27"/>
    <w:rsid w:val="11991843"/>
    <w:rsid w:val="11A79286"/>
    <w:rsid w:val="11A90FD2"/>
    <w:rsid w:val="11FC6547"/>
    <w:rsid w:val="12249DEB"/>
    <w:rsid w:val="127E1F02"/>
    <w:rsid w:val="128CEA63"/>
    <w:rsid w:val="12DF6F19"/>
    <w:rsid w:val="130A34D5"/>
    <w:rsid w:val="132EF053"/>
    <w:rsid w:val="14814B71"/>
    <w:rsid w:val="15849EE3"/>
    <w:rsid w:val="1598F218"/>
    <w:rsid w:val="15BA4323"/>
    <w:rsid w:val="1601A71F"/>
    <w:rsid w:val="1608FC32"/>
    <w:rsid w:val="1624326B"/>
    <w:rsid w:val="1678ECD5"/>
    <w:rsid w:val="167AF0A3"/>
    <w:rsid w:val="168924CF"/>
    <w:rsid w:val="17686BB5"/>
    <w:rsid w:val="17850B26"/>
    <w:rsid w:val="17A76E57"/>
    <w:rsid w:val="1896C154"/>
    <w:rsid w:val="189FEE08"/>
    <w:rsid w:val="1965CD78"/>
    <w:rsid w:val="1996167F"/>
    <w:rsid w:val="1A09FFE5"/>
    <w:rsid w:val="1A0B77C0"/>
    <w:rsid w:val="1A1A7FD8"/>
    <w:rsid w:val="1A7470AC"/>
    <w:rsid w:val="1BA5A6FB"/>
    <w:rsid w:val="1BF89453"/>
    <w:rsid w:val="1C00B286"/>
    <w:rsid w:val="1C155225"/>
    <w:rsid w:val="1C720E31"/>
    <w:rsid w:val="1C75E631"/>
    <w:rsid w:val="1CB6008E"/>
    <w:rsid w:val="1CF8AB72"/>
    <w:rsid w:val="1D3966B8"/>
    <w:rsid w:val="1D593895"/>
    <w:rsid w:val="1D7CB616"/>
    <w:rsid w:val="1D7E683F"/>
    <w:rsid w:val="1DB22688"/>
    <w:rsid w:val="1DC8013F"/>
    <w:rsid w:val="1DEC2946"/>
    <w:rsid w:val="1E0C218C"/>
    <w:rsid w:val="1E7B5376"/>
    <w:rsid w:val="1EE7F2EB"/>
    <w:rsid w:val="20045BE4"/>
    <w:rsid w:val="2147E268"/>
    <w:rsid w:val="21493FE6"/>
    <w:rsid w:val="218836F8"/>
    <w:rsid w:val="21C8AE8D"/>
    <w:rsid w:val="21EC9A05"/>
    <w:rsid w:val="21EE83A1"/>
    <w:rsid w:val="22182C64"/>
    <w:rsid w:val="227942A0"/>
    <w:rsid w:val="227D0105"/>
    <w:rsid w:val="2286E28D"/>
    <w:rsid w:val="22DDFF18"/>
    <w:rsid w:val="2315EF90"/>
    <w:rsid w:val="23CD9A31"/>
    <w:rsid w:val="23F6040B"/>
    <w:rsid w:val="243385A9"/>
    <w:rsid w:val="243A7FDA"/>
    <w:rsid w:val="2495A77E"/>
    <w:rsid w:val="2525CB39"/>
    <w:rsid w:val="25ED1297"/>
    <w:rsid w:val="263C1197"/>
    <w:rsid w:val="26CCABFD"/>
    <w:rsid w:val="26EBEACD"/>
    <w:rsid w:val="270F98A3"/>
    <w:rsid w:val="27475EF3"/>
    <w:rsid w:val="274FC00B"/>
    <w:rsid w:val="27A2D62D"/>
    <w:rsid w:val="282CED27"/>
    <w:rsid w:val="2852FDBF"/>
    <w:rsid w:val="2878E18D"/>
    <w:rsid w:val="288F31FF"/>
    <w:rsid w:val="28BDD903"/>
    <w:rsid w:val="28EDC26D"/>
    <w:rsid w:val="295B2174"/>
    <w:rsid w:val="2A97593A"/>
    <w:rsid w:val="2AC50E33"/>
    <w:rsid w:val="2BB3FDA9"/>
    <w:rsid w:val="2BE4E008"/>
    <w:rsid w:val="2C741E78"/>
    <w:rsid w:val="2C87644B"/>
    <w:rsid w:val="2C90AB3A"/>
    <w:rsid w:val="2CE6B7DA"/>
    <w:rsid w:val="2D060D81"/>
    <w:rsid w:val="2D5B1B3E"/>
    <w:rsid w:val="2D87C914"/>
    <w:rsid w:val="2DC10960"/>
    <w:rsid w:val="2DE3B4CD"/>
    <w:rsid w:val="2E165BC4"/>
    <w:rsid w:val="2E8E3B10"/>
    <w:rsid w:val="2EEF2E3F"/>
    <w:rsid w:val="2F0A8A3F"/>
    <w:rsid w:val="2F34F222"/>
    <w:rsid w:val="31D40673"/>
    <w:rsid w:val="323E12DE"/>
    <w:rsid w:val="32E49DE4"/>
    <w:rsid w:val="33188A13"/>
    <w:rsid w:val="33581DA4"/>
    <w:rsid w:val="33BBE472"/>
    <w:rsid w:val="33FDB338"/>
    <w:rsid w:val="34251180"/>
    <w:rsid w:val="343442EA"/>
    <w:rsid w:val="346C3AAB"/>
    <w:rsid w:val="34D376DB"/>
    <w:rsid w:val="34D63E2F"/>
    <w:rsid w:val="351E2567"/>
    <w:rsid w:val="3659529B"/>
    <w:rsid w:val="367000D9"/>
    <w:rsid w:val="36A13456"/>
    <w:rsid w:val="375243ED"/>
    <w:rsid w:val="37E452CF"/>
    <w:rsid w:val="37F90AA0"/>
    <w:rsid w:val="37FD0ABC"/>
    <w:rsid w:val="3841ABE2"/>
    <w:rsid w:val="385B134D"/>
    <w:rsid w:val="387CE15A"/>
    <w:rsid w:val="38853BCA"/>
    <w:rsid w:val="391FAD7A"/>
    <w:rsid w:val="392D3825"/>
    <w:rsid w:val="3934F9B3"/>
    <w:rsid w:val="39497801"/>
    <w:rsid w:val="3953BD26"/>
    <w:rsid w:val="395B1239"/>
    <w:rsid w:val="39634A7D"/>
    <w:rsid w:val="39A87D97"/>
    <w:rsid w:val="39BAA78B"/>
    <w:rsid w:val="3A8B79EE"/>
    <w:rsid w:val="3AB68CE9"/>
    <w:rsid w:val="3B6B78CF"/>
    <w:rsid w:val="3BCA1C8D"/>
    <w:rsid w:val="3C80CD68"/>
    <w:rsid w:val="3CEC4489"/>
    <w:rsid w:val="3D0F6F38"/>
    <w:rsid w:val="3D30C90F"/>
    <w:rsid w:val="3D32BBA9"/>
    <w:rsid w:val="3DAC9417"/>
    <w:rsid w:val="3DB2AA22"/>
    <w:rsid w:val="3DF18B06"/>
    <w:rsid w:val="3E8C54A6"/>
    <w:rsid w:val="3ED22080"/>
    <w:rsid w:val="4006712F"/>
    <w:rsid w:val="4060C1AD"/>
    <w:rsid w:val="40964EC8"/>
    <w:rsid w:val="42394B5D"/>
    <w:rsid w:val="4265AD5A"/>
    <w:rsid w:val="428E44BE"/>
    <w:rsid w:val="42BBA861"/>
    <w:rsid w:val="430A897D"/>
    <w:rsid w:val="435671EB"/>
    <w:rsid w:val="4364D928"/>
    <w:rsid w:val="43DD4710"/>
    <w:rsid w:val="45071964"/>
    <w:rsid w:val="4507354E"/>
    <w:rsid w:val="4556F184"/>
    <w:rsid w:val="45DC6F0D"/>
    <w:rsid w:val="45F17724"/>
    <w:rsid w:val="460A9F81"/>
    <w:rsid w:val="461AD4D7"/>
    <w:rsid w:val="4687BC38"/>
    <w:rsid w:val="469C1543"/>
    <w:rsid w:val="47320D85"/>
    <w:rsid w:val="473E30D8"/>
    <w:rsid w:val="47485096"/>
    <w:rsid w:val="479C94B7"/>
    <w:rsid w:val="480B408F"/>
    <w:rsid w:val="4909AB16"/>
    <w:rsid w:val="4919AEC3"/>
    <w:rsid w:val="495A17F2"/>
    <w:rsid w:val="495E0C04"/>
    <w:rsid w:val="49B0A9F7"/>
    <w:rsid w:val="49C5A25C"/>
    <w:rsid w:val="49CC0C63"/>
    <w:rsid w:val="4A446FDE"/>
    <w:rsid w:val="4AC401DB"/>
    <w:rsid w:val="4ACCE125"/>
    <w:rsid w:val="4AF4EC34"/>
    <w:rsid w:val="4B54C2AD"/>
    <w:rsid w:val="4B71935A"/>
    <w:rsid w:val="4BD9F2F3"/>
    <w:rsid w:val="4BEADA36"/>
    <w:rsid w:val="4BF85B8C"/>
    <w:rsid w:val="4C6A3895"/>
    <w:rsid w:val="4CA63EA3"/>
    <w:rsid w:val="4CF78B3F"/>
    <w:rsid w:val="4D11B18C"/>
    <w:rsid w:val="4DBCE6FF"/>
    <w:rsid w:val="4DEE10B9"/>
    <w:rsid w:val="4E082152"/>
    <w:rsid w:val="4E17243A"/>
    <w:rsid w:val="4E1A4919"/>
    <w:rsid w:val="4E40A49C"/>
    <w:rsid w:val="4EAEEC64"/>
    <w:rsid w:val="4F36F60F"/>
    <w:rsid w:val="50525F2F"/>
    <w:rsid w:val="50A9F786"/>
    <w:rsid w:val="50AD3145"/>
    <w:rsid w:val="50D8D89C"/>
    <w:rsid w:val="519BD3E8"/>
    <w:rsid w:val="51D9AEF9"/>
    <w:rsid w:val="51DDD42D"/>
    <w:rsid w:val="5248260A"/>
    <w:rsid w:val="5278C5C4"/>
    <w:rsid w:val="52870829"/>
    <w:rsid w:val="536ACE82"/>
    <w:rsid w:val="53919093"/>
    <w:rsid w:val="5414CC3F"/>
    <w:rsid w:val="5459243A"/>
    <w:rsid w:val="54E5CB56"/>
    <w:rsid w:val="55126FE0"/>
    <w:rsid w:val="55EF2975"/>
    <w:rsid w:val="5638B7A3"/>
    <w:rsid w:val="564509F9"/>
    <w:rsid w:val="5679D57A"/>
    <w:rsid w:val="56CFB3EE"/>
    <w:rsid w:val="56D88A07"/>
    <w:rsid w:val="574FC93F"/>
    <w:rsid w:val="57721EB3"/>
    <w:rsid w:val="57AB58D5"/>
    <w:rsid w:val="57C46394"/>
    <w:rsid w:val="58078CCB"/>
    <w:rsid w:val="5844567B"/>
    <w:rsid w:val="58894D6A"/>
    <w:rsid w:val="58AD4CF5"/>
    <w:rsid w:val="58B1700C"/>
    <w:rsid w:val="58D8E6A2"/>
    <w:rsid w:val="58E46653"/>
    <w:rsid w:val="59634005"/>
    <w:rsid w:val="5986C65E"/>
    <w:rsid w:val="59CFE5F3"/>
    <w:rsid w:val="59D2A3FE"/>
    <w:rsid w:val="5A0D0C0A"/>
    <w:rsid w:val="5A26A0D3"/>
    <w:rsid w:val="5A88D7B2"/>
    <w:rsid w:val="5A8AF631"/>
    <w:rsid w:val="5B40065E"/>
    <w:rsid w:val="5B4B009C"/>
    <w:rsid w:val="5BDEF370"/>
    <w:rsid w:val="5C71E8EC"/>
    <w:rsid w:val="5C77B7CE"/>
    <w:rsid w:val="5CB6CE6A"/>
    <w:rsid w:val="5D438B5B"/>
    <w:rsid w:val="5DC0A75E"/>
    <w:rsid w:val="5E88BFF3"/>
    <w:rsid w:val="5EA01502"/>
    <w:rsid w:val="5EB6C4C6"/>
    <w:rsid w:val="5EDE5EE2"/>
    <w:rsid w:val="5F2F8347"/>
    <w:rsid w:val="5F4EF22D"/>
    <w:rsid w:val="5F99EFD4"/>
    <w:rsid w:val="5FAE4184"/>
    <w:rsid w:val="600897A8"/>
    <w:rsid w:val="6013FB0F"/>
    <w:rsid w:val="6050ADC7"/>
    <w:rsid w:val="60E60F68"/>
    <w:rsid w:val="60E65BBA"/>
    <w:rsid w:val="60FEAA1E"/>
    <w:rsid w:val="61055878"/>
    <w:rsid w:val="6118883F"/>
    <w:rsid w:val="6133FDAA"/>
    <w:rsid w:val="615D34AB"/>
    <w:rsid w:val="61E3B0DD"/>
    <w:rsid w:val="61F4D731"/>
    <w:rsid w:val="61F4D734"/>
    <w:rsid w:val="621CF721"/>
    <w:rsid w:val="628980EE"/>
    <w:rsid w:val="6345E3C7"/>
    <w:rsid w:val="64A23F29"/>
    <w:rsid w:val="64A32947"/>
    <w:rsid w:val="64CDF770"/>
    <w:rsid w:val="64CEB10E"/>
    <w:rsid w:val="64E46429"/>
    <w:rsid w:val="64E4E1C1"/>
    <w:rsid w:val="6504ED23"/>
    <w:rsid w:val="650B9A0A"/>
    <w:rsid w:val="656AF38D"/>
    <w:rsid w:val="65D1B845"/>
    <w:rsid w:val="6611B3D3"/>
    <w:rsid w:val="6806653D"/>
    <w:rsid w:val="6839CA04"/>
    <w:rsid w:val="68594B55"/>
    <w:rsid w:val="6890C613"/>
    <w:rsid w:val="68A7D474"/>
    <w:rsid w:val="68EDE9C4"/>
    <w:rsid w:val="68F90791"/>
    <w:rsid w:val="69E91273"/>
    <w:rsid w:val="69EE2B4A"/>
    <w:rsid w:val="6A32D282"/>
    <w:rsid w:val="6B126ACB"/>
    <w:rsid w:val="6B31EBB9"/>
    <w:rsid w:val="6B4E9257"/>
    <w:rsid w:val="6B98CFD2"/>
    <w:rsid w:val="6BBC6EBC"/>
    <w:rsid w:val="6C77DB64"/>
    <w:rsid w:val="6CC7A9F5"/>
    <w:rsid w:val="6CDD60F2"/>
    <w:rsid w:val="6D9016DB"/>
    <w:rsid w:val="6DB4D1A5"/>
    <w:rsid w:val="6DE2ECC9"/>
    <w:rsid w:val="6DF337F6"/>
    <w:rsid w:val="6F090281"/>
    <w:rsid w:val="6F6FB5BB"/>
    <w:rsid w:val="6F843725"/>
    <w:rsid w:val="6F8D5911"/>
    <w:rsid w:val="6FBF87BD"/>
    <w:rsid w:val="6FE150D2"/>
    <w:rsid w:val="7089ABCD"/>
    <w:rsid w:val="708C4AAA"/>
    <w:rsid w:val="71123532"/>
    <w:rsid w:val="71220635"/>
    <w:rsid w:val="719D6515"/>
    <w:rsid w:val="71AA6B17"/>
    <w:rsid w:val="7281AC66"/>
    <w:rsid w:val="72890C16"/>
    <w:rsid w:val="72AF9117"/>
    <w:rsid w:val="72E79898"/>
    <w:rsid w:val="72E84AC8"/>
    <w:rsid w:val="72FA3734"/>
    <w:rsid w:val="7328DA9B"/>
    <w:rsid w:val="7344FA23"/>
    <w:rsid w:val="737677B2"/>
    <w:rsid w:val="73C08C6B"/>
    <w:rsid w:val="7443629F"/>
    <w:rsid w:val="7455584F"/>
    <w:rsid w:val="76352380"/>
    <w:rsid w:val="766939E2"/>
    <w:rsid w:val="769C0D39"/>
    <w:rsid w:val="76C5C864"/>
    <w:rsid w:val="77078217"/>
    <w:rsid w:val="77538CBB"/>
    <w:rsid w:val="776D27D5"/>
    <w:rsid w:val="77A52874"/>
    <w:rsid w:val="77E2A2AC"/>
    <w:rsid w:val="780A2D91"/>
    <w:rsid w:val="7923F094"/>
    <w:rsid w:val="7999C49C"/>
    <w:rsid w:val="79CE9ABE"/>
    <w:rsid w:val="7A2AA00E"/>
    <w:rsid w:val="7A601080"/>
    <w:rsid w:val="7A9A8A33"/>
    <w:rsid w:val="7AA74FB5"/>
    <w:rsid w:val="7AAB7176"/>
    <w:rsid w:val="7AED7182"/>
    <w:rsid w:val="7B25E239"/>
    <w:rsid w:val="7B3A33B3"/>
    <w:rsid w:val="7B58BBC0"/>
    <w:rsid w:val="7B70F6E4"/>
    <w:rsid w:val="7B966C82"/>
    <w:rsid w:val="7BAC1B59"/>
    <w:rsid w:val="7BEE86F2"/>
    <w:rsid w:val="7BF7211D"/>
    <w:rsid w:val="7C7B73C5"/>
    <w:rsid w:val="7D386C58"/>
    <w:rsid w:val="7DF1000E"/>
    <w:rsid w:val="7DF1A7A4"/>
    <w:rsid w:val="7E2C26B6"/>
    <w:rsid w:val="7E8C8026"/>
    <w:rsid w:val="7EB1925E"/>
    <w:rsid w:val="7F18E63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3016B055"/>
  <w15:chartTrackingRefBased/>
  <w15:docId w15:val="{48232554-3325-4725-AE8E-D502C5A36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spacing w:after="120" w:line="247" w:lineRule="auto"/>
    </w:pPr>
    <w:rPr>
      <w:rFonts w:ascii="Calibri" w:hAnsi="Calibri"/>
      <w:color w:val="000000"/>
      <w:sz w:val="22"/>
    </w:rPr>
  </w:style>
  <w:style w:type="paragraph" w:styleId="Heading1">
    <w:name w:val="heading 1"/>
    <w:basedOn w:val="Normal"/>
    <w:next w:val="Normal"/>
    <w:link w:val="Heading1Char"/>
    <w:uiPriority w:val="9"/>
    <w:qFormat/>
    <w:rsid w:val="007C2CC2"/>
    <w:pPr>
      <w:keepNext/>
      <w:keepLines/>
      <w:spacing w:before="160" w:after="100"/>
      <w:outlineLvl w:val="0"/>
    </w:pPr>
    <w:rPr>
      <w:rFonts w:asciiTheme="majorHAnsi" w:eastAsiaTheme="majorEastAsia" w:hAnsiTheme="majorHAnsi" w:cstheme="majorBidi" w:ascii="Calibri Light" w:hAnsi="Calibri Light"/>
      <w:color w:val="2F5496"/>
      <w:sz w:val="32"/>
      <w:szCs w:val="32"/>
    </w:rPr>
  </w:style>
  <w:style w:type="paragraph" w:styleId="Heading2">
    <w:name w:val="heading 2"/>
    <w:basedOn w:val="Normal"/>
    <w:next w:val="Normal"/>
    <w:link w:val="Heading2Char"/>
    <w:uiPriority w:val="9"/>
    <w:unhideWhenUsed/>
    <w:qFormat/>
    <w:pPr>
      <w:keepNext/>
      <w:keepLines/>
      <w:spacing w:before="160" w:after="100"/>
      <w:outlineLvl w:val="1"/>
    </w:pPr>
    <w:rPr>
      <w:rFonts w:asciiTheme="majorHAnsi" w:eastAsiaTheme="majorEastAsia" w:hAnsiTheme="majorHAnsi" w:cstheme="majorBidi" w:ascii="Calibri Light" w:hAnsi="Calibri Light"/>
      <w:color w:val="2F5496"/>
      <w:sz w:val="24"/>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E0408E"/>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normaltextrun">
    <w:name w:val="normaltextrun"/>
    <w:basedOn w:val="DefaultParagraphFont"/>
    <w:rsid w:val="00E0408E"/>
  </w:style>
  <w:style w:type="character" w:customStyle="1" w:styleId="eop">
    <w:name w:val="eop"/>
    <w:basedOn w:val="DefaultParagraphFont"/>
    <w:rsid w:val="00E0408E"/>
  </w:style>
  <w:style w:type="character" w:styleId="CommentReference">
    <w:name w:val="annotation reference"/>
    <w:basedOn w:val="DefaultParagraphFont"/>
    <w:uiPriority w:val="99"/>
    <w:semiHidden/>
    <w:unhideWhenUsed/>
    <w:rsid w:val="00E0408E"/>
    <w:rPr>
      <w:sz w:val="16"/>
      <w:szCs w:val="16"/>
    </w:rPr>
  </w:style>
  <w:style w:type="paragraph" w:styleId="CommentText">
    <w:name w:val="annotation text"/>
    <w:basedOn w:val="Normal"/>
    <w:link w:val="CommentTextChar"/>
    <w:uiPriority w:val="99"/>
    <w:unhideWhenUsed/>
    <w:rsid w:val="00E0408E"/>
    <w:pPr>
      <w:spacing w:line="240" w:lineRule="auto"/>
    </w:pPr>
    <w:rPr>
      <w:sz w:val="20"/>
      <w:szCs w:val="20"/>
    </w:rPr>
  </w:style>
  <w:style w:type="character" w:customStyle="1" w:styleId="CommentTextChar">
    <w:name w:val="Comment Text Char"/>
    <w:basedOn w:val="DefaultParagraphFont"/>
    <w:link w:val="CommentText"/>
    <w:uiPriority w:val="99"/>
    <w:rsid w:val="00E0408E"/>
    <w:rPr>
      <w:sz w:val="20"/>
      <w:szCs w:val="20"/>
    </w:rPr>
  </w:style>
  <w:style w:type="paragraph" w:styleId="CommentSubject">
    <w:name w:val="annotation subject"/>
    <w:basedOn w:val="CommentText"/>
    <w:next w:val="CommentText"/>
    <w:link w:val="CommentSubjectChar"/>
    <w:uiPriority w:val="99"/>
    <w:semiHidden/>
    <w:unhideWhenUsed/>
    <w:rsid w:val="00E0408E"/>
    <w:rPr>
      <w:b/>
      <w:bCs/>
    </w:rPr>
  </w:style>
  <w:style w:type="character" w:customStyle="1" w:styleId="CommentSubjectChar">
    <w:name w:val="Comment Subject Char"/>
    <w:basedOn w:val="CommentTextChar"/>
    <w:link w:val="CommentSubject"/>
    <w:uiPriority w:val="99"/>
    <w:semiHidden/>
    <w:rsid w:val="00E0408E"/>
    <w:rPr>
      <w:b/>
      <w:bCs/>
      <w:sz w:val="20"/>
      <w:szCs w:val="20"/>
    </w:rPr>
  </w:style>
  <w:style w:type="character" w:customStyle="1" w:styleId="Heading1Char">
    <w:name w:val="Heading 1 Char"/>
    <w:basedOn w:val="DefaultParagraphFont"/>
    <w:link w:val="Heading1"/>
    <w:uiPriority w:val="9"/>
    <w:rsid w:val="007C2CC2"/>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7C2CC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2CC2"/>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4443FA"/>
    <w:pPr>
      <w:ind w:left="720"/>
      <w:contextualSpacing/>
    </w:p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microsoft.sharepoint.com/teams/mlads/SitePages/C(1).aspx"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microsoft.sharepoint.com/:f:/t/mlads/Ejv9R_DQq_NElYQbCgiweAwBGyqcV3PCWp44N49lkyxWOg?e=AlNw60" TargetMode="External"/><Relationship Id="rId5" Type="http://schemas.openxmlformats.org/officeDocument/2006/relationships/styles" Target="styles.xml"/><Relationship Id="rId10" Type="http://schemas.openxmlformats.org/officeDocument/2006/relationships/hyperlink" Target="https://microsoft.sharepoint.com/:f:/t/mlads/Ejv9R_DQq_NElYQbCgiweAwBGyqcV3PCWp44N49lkyxWOg?e=vM3UKl" TargetMode="External"/><Relationship Id="rId4" Type="http://schemas.openxmlformats.org/officeDocument/2006/relationships/numbering" Target="numbering.xml"/><Relationship Id="rId9" Type="http://schemas.openxmlformats.org/officeDocument/2006/relationships/hyperlink" Target="https://microsoft.sharepoint.com/teams/mlads/SitePages/MLADS-Conferencw.aspx" TargetMode="External"/><Relationship Id="rId14" Type="http://schemas.openxmlformats.org/officeDocument/2006/relationships/theme" Target="theme/theme1.xml"/><Relationship Id="rId15" Type="http://schemas.openxmlformats.org/officeDocument/2006/relationships/header" Target="header1.xml"/><Relationship Id="rId16" Type="http://schemas.openxmlformats.org/officeDocument/2006/relationships/footer" Target="footer1.xm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2F282A732A10A40B5E6861B9720A85B" ma:contentTypeVersion="26" ma:contentTypeDescription="Create a new document." ma:contentTypeScope="" ma:versionID="60c84eea14f8046c702428830bae9144">
  <xsd:schema xmlns:xsd="http://www.w3.org/2001/XMLSchema" xmlns:xs="http://www.w3.org/2001/XMLSchema" xmlns:p="http://schemas.microsoft.com/office/2006/metadata/properties" xmlns:ns1="http://schemas.microsoft.com/sharepoint/v3" xmlns:ns2="caeb30a9-2c8b-4a3c-a0a0-e0c0af147dd7" xmlns:ns3="77f81409-d3f9-42c7-88a3-a887086b554f" xmlns:ns4="230e9df3-be65-4c73-a93b-d1236ebd677e" targetNamespace="http://schemas.microsoft.com/office/2006/metadata/properties" ma:root="true" ma:fieldsID="136385901250e7aecaf84c86589c0e18" ns1:_="" ns2:_="" ns3:_="" ns4:_="">
    <xsd:import namespace="http://schemas.microsoft.com/sharepoint/v3"/>
    <xsd:import namespace="caeb30a9-2c8b-4a3c-a0a0-e0c0af147dd7"/>
    <xsd:import namespace="77f81409-d3f9-42c7-88a3-a887086b554f"/>
    <xsd:import namespace="230e9df3-be65-4c73-a93b-d1236ebd677e"/>
    <xsd:element name="properties">
      <xsd:complexType>
        <xsd:sequence>
          <xsd:element name="documentManagement">
            <xsd:complexType>
              <xsd:all>
                <xsd:element ref="ns2:SharedWithUsers" minOccurs="0"/>
                <xsd:element ref="ns2:SharedWithDetails" minOccurs="0"/>
                <xsd:element ref="ns1:_ip_UnifiedCompliancePolicyProperties" minOccurs="0"/>
                <xsd:element ref="ns1:_ip_UnifiedCompliancePolicyUIAction" minOccurs="0"/>
                <xsd:element ref="ns2:LastSharedByUser" minOccurs="0"/>
                <xsd:element ref="ns2:LastSharedByTime" minOccurs="0"/>
                <xsd:element ref="ns3:MediaServiceMetadata" minOccurs="0"/>
                <xsd:element ref="ns3:MediaServiceFastMetadata" minOccurs="0"/>
                <xsd:element ref="ns3:MediaServiceDateTaken" minOccurs="0"/>
                <xsd:element ref="ns3:MediaServiceAutoTags" minOccurs="0"/>
                <xsd:element ref="ns3:MediaServiceEventHashCode" minOccurs="0"/>
                <xsd:element ref="ns3:MediaServiceGenerationTime" minOccurs="0"/>
                <xsd:element ref="ns3:MediaServiceOCR" minOccurs="0"/>
                <xsd:element ref="ns3:MediaServiceLocation" minOccurs="0"/>
                <xsd:element ref="ns3:MediaServiceAutoKeyPoints" minOccurs="0"/>
                <xsd:element ref="ns3:MediaServiceKeyPoints" minOccurs="0"/>
                <xsd:element ref="ns3:_x0038_4_x002c_Kumar" minOccurs="0"/>
                <xsd:element ref="ns3:MediaLengthInSeconds" minOccurs="0"/>
                <xsd:element ref="ns3:MediaServiceSearchProperties" minOccurs="0"/>
                <xsd:element ref="ns3:MediaServiceDocTags" minOccurs="0"/>
                <xsd:element ref="ns3:MediaServiceObjectDetectorVersions" minOccurs="0"/>
                <xsd:element ref="ns3:MediaServiceSystemTags" minOccurs="0"/>
                <xsd:element ref="ns3:lcf76f155ced4ddcb4097134ff3c332f" minOccurs="0"/>
                <xsd:element ref="ns4:TaxCatchAll"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0" nillable="true" ma:displayName="Unified Compliance Policy Properties" ma:hidden="true" ma:internalName="_ip_UnifiedCompliancePolicyProperties">
      <xsd:simpleType>
        <xsd:restriction base="dms:Note"/>
      </xsd:simpleType>
    </xsd:element>
    <xsd:element name="_ip_UnifiedCompliancePolicyUIAction" ma:index="1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aeb30a9-2c8b-4a3c-a0a0-e0c0af147dd7"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LastSharedByUser" ma:index="12" nillable="true" ma:displayName="Last Shared By User" ma:description="" ma:internalName="LastSharedByUser" ma:readOnly="true">
      <xsd:simpleType>
        <xsd:restriction base="dms:Note">
          <xsd:maxLength value="255"/>
        </xsd:restriction>
      </xsd:simpleType>
    </xsd:element>
    <xsd:element name="LastSharedByTime" ma:index="13" nillable="true" ma:displayName="Last Shared By Time" ma:description="" ma:internalName="LastSharedByTime" ma:readOnly="tru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77f81409-d3f9-42c7-88a3-a887086b554f" elementFormDefault="qualified">
    <xsd:import namespace="http://schemas.microsoft.com/office/2006/documentManagement/types"/>
    <xsd:import namespace="http://schemas.microsoft.com/office/infopath/2007/PartnerControls"/>
    <xsd:element name="MediaServiceMetadata" ma:index="14" nillable="true" ma:displayName="MediaServiceMetadata" ma:description="" ma:hidden="true" ma:internalName="MediaServiceMetadata" ma:readOnly="true">
      <xsd:simpleType>
        <xsd:restriction base="dms:Note"/>
      </xsd:simpleType>
    </xsd:element>
    <xsd:element name="MediaServiceFastMetadata" ma:index="15" nillable="true" ma:displayName="MediaServiceFastMetadata" ma:description="" ma:hidden="true" ma:internalName="MediaServiceFastMetadata" ma:readOnly="true">
      <xsd:simpleType>
        <xsd:restriction base="dms:Note"/>
      </xsd:simpleType>
    </xsd:element>
    <xsd:element name="MediaServiceDateTaken" ma:index="16" nillable="true" ma:displayName="MediaServiceDateTaken" ma:description="" ma:hidden="true" ma:internalName="MediaServiceDateTaken" ma:readOnly="true">
      <xsd:simpleType>
        <xsd:restriction base="dms:Text"/>
      </xsd:simpleType>
    </xsd:element>
    <xsd:element name="MediaServiceAutoTags" ma:index="17" nillable="true" ma:displayName="MediaServiceAutoTags" ma:description="" ma:internalName="MediaServiceAutoTags"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Location" ma:index="21" nillable="true" ma:displayName="Location" ma:internalName="MediaServiceLocation" ma:readOnly="true">
      <xsd:simpleType>
        <xsd:restriction base="dms:Text"/>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element name="_x0038_4_x002c_Kumar" ma:index="24" nillable="true" ma:displayName="84, Kumar" ma:description="https://microsoft-my.sharepoint.com/:p:/p/abhkum/Eb0LRWIdRLZFiRisljQw8KsBlGWwLefj4oIeY_5URNrwsQ?e=s51881" ma:format="Hyperlink" ma:internalName="_x0038_4_x002c_Kumar">
      <xsd:complexType>
        <xsd:complexContent>
          <xsd:extension base="dms:URL">
            <xsd:sequence>
              <xsd:element name="Url" type="dms:ValidUrl" minOccurs="0" nillable="true"/>
              <xsd:element name="Description" type="xsd:string" nillable="true"/>
            </xsd:sequence>
          </xsd:extension>
        </xsd:complexContent>
      </xsd:complexType>
    </xsd:element>
    <xsd:element name="MediaLengthInSeconds" ma:index="25" nillable="true" ma:displayName="Length (seconds)" ma:internalName="MediaLengthInSeconds" ma:readOnly="true">
      <xsd:simpleType>
        <xsd:restriction base="dms:Unknown"/>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DocTags" ma:index="27" nillable="true" ma:displayName="MediaServiceDocTags" ma:hidden="true" ma:internalName="MediaServiceDocTags" ma:readOnly="true">
      <xsd:simpleType>
        <xsd:restriction base="dms:Note"/>
      </xsd:simpleType>
    </xsd:element>
    <xsd:element name="MediaServiceObjectDetectorVersions" ma:index="28" nillable="true" ma:displayName="MediaServiceObjectDetectorVersions" ma:hidden="true" ma:indexed="true" ma:internalName="MediaServiceObjectDetectorVersions" ma:readOnly="true">
      <xsd:simpleType>
        <xsd:restriction base="dms:Text"/>
      </xsd:simpleType>
    </xsd:element>
    <xsd:element name="MediaServiceSystemTags" ma:index="29" nillable="true" ma:displayName="MediaServiceSystemTags" ma:hidden="true" ma:internalName="MediaServiceSystemTags" ma:readOnly="true">
      <xsd:simpleType>
        <xsd:restriction base="dms:Note"/>
      </xsd:simpleType>
    </xsd:element>
    <xsd:element name="lcf76f155ced4ddcb4097134ff3c332f" ma:index="31" nillable="true" ma:taxonomy="true" ma:internalName="lcf76f155ced4ddcb4097134ff3c332f"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BillingMetadata" ma:index="33" nillable="true" ma:displayName="MediaServiceBillingMetadata" ma:hidden="true" ma:internalName="MediaServiceBillingMetadata"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32" nillable="true" ma:displayName="Taxonomy Catch All Column" ma:hidden="true" ma:list="{435d0b2d-199f-4e67-9232-c6a4bc7b2d48}" ma:internalName="TaxCatchAll" ma:showField="CatchAllData" ma:web="caeb30a9-2c8b-4a3c-a0a0-e0c0af147dd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x0038_4_x002c_Kumar xmlns="77f81409-d3f9-42c7-88a3-a887086b554f">
      <Url xsi:nil="true"/>
      <Description xsi:nil="true"/>
    </_x0038_4_x002c_Kumar>
    <_ip_UnifiedCompliancePolicyProperties xmlns="http://schemas.microsoft.com/sharepoint/v3" xsi:nil="true"/>
    <lcf76f155ced4ddcb4097134ff3c332f xmlns="77f81409-d3f9-42c7-88a3-a887086b554f">
      <Terms xmlns="http://schemas.microsoft.com/office/infopath/2007/PartnerControls"/>
    </lcf76f155ced4ddcb4097134ff3c332f>
    <TaxCatchAll xmlns="230e9df3-be65-4c73-a93b-d1236ebd677e" xsi:nil="true"/>
  </documentManagement>
</p:properties>
</file>

<file path=customXml/itemProps1.xml><?xml version="1.0" encoding="utf-8"?>
<ds:datastoreItem xmlns:ds="http://schemas.openxmlformats.org/officeDocument/2006/customXml" ds:itemID="{93E4390F-D3A7-49C4-935D-F10E0B210BD5}">
  <ds:schemaRefs>
    <ds:schemaRef ds:uri="http://schemas.microsoft.com/sharepoint/v3/contenttype/forms"/>
  </ds:schemaRefs>
</ds:datastoreItem>
</file>

<file path=customXml/itemProps2.xml><?xml version="1.0" encoding="utf-8"?>
<ds:datastoreItem xmlns:ds="http://schemas.openxmlformats.org/officeDocument/2006/customXml" ds:itemID="{D1B44686-054D-4E07-99DB-47BBCC749F3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caeb30a9-2c8b-4a3c-a0a0-e0c0af147dd7"/>
    <ds:schemaRef ds:uri="77f81409-d3f9-42c7-88a3-a887086b554f"/>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10A725F-8FCB-4D8A-B30F-2B7A5BA1F5E4}">
  <ds:schemaRefs>
    <ds:schemaRef ds:uri="http://schemas.microsoft.com/office/2006/metadata/properties"/>
    <ds:schemaRef ds:uri="http://schemas.microsoft.com/office/infopath/2007/PartnerControls"/>
    <ds:schemaRef ds:uri="http://schemas.microsoft.com/sharepoint/v3"/>
    <ds:schemaRef ds:uri="77f81409-d3f9-42c7-88a3-a887086b554f"/>
    <ds:schemaRef ds:uri="230e9df3-be65-4c73-a93b-d1236ebd677e"/>
  </ds:schemaRefs>
</ds:datastoreItem>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0</Pages>
  <Words>0</Words>
  <Characters>0</Characters>
  <Application>Microsoft Office Word</Application>
  <DocSecurity>4</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 This Agent Even Do That? Pre-Execution Validation for Agent Skills - Supplement</dc:title>
  <dc:subject>MLADS+ Agents December 2026 technical-talk proposal</dc:subject>
  <dc:creator/>
  <cp:keywords/>
  <dc:description/>
  <cp:lastModifiedBy/>
  <cp:revision>5</cp:revision>
  <dcterms:created xsi:type="dcterms:W3CDTF">2022-04-24T16:05:00Z</dcterms:created>
  <dcterms:modified xsi:type="dcterms:W3CDTF">2026-09-22T17:08:00Z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0x01010032F282A732A10A40B5E6861B9720A85B</vt:lpwstr>
  </property>
  <property fmtid="{D5CDD505-2E9C-101B-9397-08002B2CF9AE}" pid="3" name="MediaServiceImageTags">
    <vt:lpwstr/>
  </property>
  <property fmtid="{D5CDD505-2E9C-101B-9397-08002B2CF9AE}" pid="4" name="docLang">
    <vt:lpwstr>en</vt:lpwstr>
  </property>
</Properties>
</file>