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D9042" w14:textId="77777777" w:rsidR="00E52CEE" w:rsidRDefault="00E52CEE" w:rsidP="00E52CEE">
      <w:pPr>
        <w:tabs>
          <w:tab w:val="num" w:pos="720"/>
        </w:tabs>
        <w:ind w:left="720" w:hanging="360"/>
      </w:pPr>
    </w:p>
    <w:p w14:paraId="7F04A7B8" w14:textId="471E45F6" w:rsidR="00E52CEE" w:rsidRDefault="00E52CEE" w:rsidP="00E52CEE">
      <w:pPr>
        <w:ind w:left="720"/>
        <w:rPr>
          <w:rFonts w:ascii="Aptos" w:eastAsia="Times New Roman" w:hAnsi="Aptos" w:cs="Times New Roman"/>
          <w:color w:val="212121"/>
          <w:kern w:val="0"/>
          <w:lang w:eastAsia="en-GB"/>
          <w14:ligatures w14:val="none"/>
        </w:rPr>
      </w:pPr>
      <w:r>
        <w:rPr>
          <w:rFonts w:ascii="Aptos" w:eastAsia="Times New Roman" w:hAnsi="Aptos" w:cs="Times New Roman"/>
          <w:color w:val="212121"/>
          <w:kern w:val="0"/>
          <w:lang w:eastAsia="en-GB"/>
          <w14:ligatures w14:val="none"/>
        </w:rPr>
        <w:t>SEGREGATION</w:t>
      </w:r>
    </w:p>
    <w:p w14:paraId="391EB7E7" w14:textId="77777777" w:rsidR="00E52CEE" w:rsidRDefault="00E52CEE" w:rsidP="00E52CEE">
      <w:pPr>
        <w:ind w:left="720"/>
        <w:rPr>
          <w:rFonts w:ascii="Aptos" w:eastAsia="Times New Roman" w:hAnsi="Aptos" w:cs="Times New Roman"/>
          <w:color w:val="212121"/>
          <w:kern w:val="0"/>
          <w:lang w:eastAsia="en-GB"/>
          <w14:ligatures w14:val="none"/>
        </w:rPr>
      </w:pPr>
    </w:p>
    <w:p w14:paraId="16CF0834" w14:textId="77777777" w:rsidR="00E52CEE" w:rsidRDefault="00E52CEE" w:rsidP="00E52CEE">
      <w:pPr>
        <w:ind w:left="720"/>
        <w:rPr>
          <w:rFonts w:ascii="Aptos" w:eastAsia="Times New Roman" w:hAnsi="Aptos" w:cs="Times New Roman"/>
          <w:color w:val="212121"/>
          <w:kern w:val="0"/>
          <w:lang w:eastAsia="en-GB"/>
          <w14:ligatures w14:val="none"/>
        </w:rPr>
      </w:pPr>
    </w:p>
    <w:p w14:paraId="3AB600B2" w14:textId="75815E1E" w:rsidR="00E52CEE" w:rsidRPr="00E52CEE" w:rsidRDefault="00E52CEE" w:rsidP="00E52CEE">
      <w:pPr>
        <w:numPr>
          <w:ilvl w:val="0"/>
          <w:numId w:val="1"/>
        </w:numPr>
        <w:rPr>
          <w:rFonts w:ascii="Aptos" w:eastAsia="Times New Roman" w:hAnsi="Aptos" w:cs="Times New Roman"/>
          <w:color w:val="212121"/>
          <w:kern w:val="0"/>
          <w:lang w:eastAsia="en-GB"/>
          <w14:ligatures w14:val="none"/>
        </w:rPr>
      </w:pPr>
      <w:r w:rsidRPr="00E52CEE">
        <w:rPr>
          <w:rFonts w:ascii="Aptos" w:eastAsia="Times New Roman" w:hAnsi="Aptos" w:cs="Times New Roman"/>
          <w:color w:val="212121"/>
          <w:kern w:val="0"/>
          <w:lang w:eastAsia="en-GB"/>
          <w14:ligatures w14:val="none"/>
        </w:rPr>
        <w:t>Tammaru, T., van Ham, M., Basílio Junior, L., Bērziņš, M., Credit, K., Gaspar Silva, D., Harris, R., Kalm, K., Kauppinen, T., Krišjāne, Z., Malheiros, J., Maloutas, T., Manley, D., Musterd, S., Nel·lo, O., Nevanto, M., Novotný, L., Ouředníček, M., Porcel, S., … Ubarevičienė, R. (2025). A comparative study of socio-economic segregation in European capital city-regions: From segregation to desegregation? </w:t>
      </w:r>
      <w:r w:rsidRPr="00E52CEE">
        <w:rPr>
          <w:rFonts w:ascii="Aptos" w:eastAsia="Times New Roman" w:hAnsi="Aptos" w:cs="Times New Roman"/>
          <w:i/>
          <w:iCs/>
          <w:color w:val="212121"/>
          <w:kern w:val="0"/>
          <w:lang w:eastAsia="en-GB"/>
          <w14:ligatures w14:val="none"/>
        </w:rPr>
        <w:t>Urban Studies</w:t>
      </w:r>
      <w:r w:rsidRPr="00E52CEE">
        <w:rPr>
          <w:rFonts w:ascii="Aptos" w:eastAsia="Times New Roman" w:hAnsi="Aptos" w:cs="Times New Roman"/>
          <w:color w:val="212121"/>
          <w:kern w:val="0"/>
          <w:lang w:eastAsia="en-GB"/>
          <w14:ligatures w14:val="none"/>
        </w:rPr>
        <w:t>. </w:t>
      </w:r>
      <w:hyperlink r:id="rId5" w:tooltip="https://doi.org/10.1177/00420980251378028" w:history="1">
        <w:r w:rsidRPr="00E52CEE">
          <w:rPr>
            <w:rFonts w:ascii="Aptos" w:eastAsia="Times New Roman" w:hAnsi="Aptos" w:cs="Times New Roman"/>
            <w:color w:val="96607D"/>
            <w:kern w:val="0"/>
            <w:u w:val="single"/>
            <w:lang w:eastAsia="en-GB"/>
            <w14:ligatures w14:val="none"/>
          </w:rPr>
          <w:t>https://doi.org/10.1177/00420980251378028</w:t>
        </w:r>
      </w:hyperlink>
    </w:p>
    <w:p w14:paraId="73457125" w14:textId="77777777" w:rsidR="00E52CEE" w:rsidRPr="00E52CEE" w:rsidRDefault="00E52CEE" w:rsidP="00E52CEE">
      <w:pPr>
        <w:rPr>
          <w:rFonts w:ascii="Aptos" w:eastAsia="Times New Roman" w:hAnsi="Aptos" w:cs="Times New Roman"/>
          <w:color w:val="212121"/>
          <w:kern w:val="0"/>
          <w:lang w:eastAsia="en-GB"/>
          <w14:ligatures w14:val="none"/>
        </w:rPr>
      </w:pPr>
      <w:r w:rsidRPr="00E52CEE">
        <w:rPr>
          <w:rFonts w:ascii="Aptos" w:eastAsia="Times New Roman" w:hAnsi="Aptos" w:cs="Times New Roman"/>
          <w:color w:val="212121"/>
          <w:kern w:val="0"/>
          <w:lang w:val="en-US" w:eastAsia="en-GB"/>
          <w14:ligatures w14:val="none"/>
        </w:rPr>
        <w:t> </w:t>
      </w:r>
    </w:p>
    <w:p w14:paraId="4A129965" w14:textId="77777777" w:rsidR="00E52CEE" w:rsidRPr="00E52CEE" w:rsidRDefault="00E52CEE" w:rsidP="00E52CEE">
      <w:pPr>
        <w:numPr>
          <w:ilvl w:val="0"/>
          <w:numId w:val="2"/>
        </w:numPr>
        <w:rPr>
          <w:rFonts w:ascii="Aptos" w:eastAsia="Times New Roman" w:hAnsi="Aptos" w:cs="Times New Roman"/>
          <w:color w:val="212121"/>
          <w:kern w:val="0"/>
          <w:lang w:eastAsia="en-GB"/>
          <w14:ligatures w14:val="none"/>
        </w:rPr>
      </w:pPr>
      <w:r w:rsidRPr="00E52CEE">
        <w:rPr>
          <w:rFonts w:ascii="Aptos" w:eastAsia="Times New Roman" w:hAnsi="Aptos" w:cs="Times New Roman"/>
          <w:color w:val="212121"/>
          <w:kern w:val="0"/>
          <w:lang w:eastAsia="en-GB"/>
          <w14:ligatures w14:val="none"/>
        </w:rPr>
        <w:t>van Ham, M., &amp; Tammaru, T. (2016). New perspectives on ethnic segregation over time and space. A domains approach. </w:t>
      </w:r>
      <w:r w:rsidRPr="00E52CEE">
        <w:rPr>
          <w:rFonts w:ascii="Aptos" w:eastAsia="Times New Roman" w:hAnsi="Aptos" w:cs="Times New Roman"/>
          <w:i/>
          <w:iCs/>
          <w:color w:val="212121"/>
          <w:kern w:val="0"/>
          <w:lang w:eastAsia="en-GB"/>
          <w14:ligatures w14:val="none"/>
        </w:rPr>
        <w:t>Urban Geography</w:t>
      </w:r>
      <w:r w:rsidRPr="00E52CEE">
        <w:rPr>
          <w:rFonts w:ascii="Aptos" w:eastAsia="Times New Roman" w:hAnsi="Aptos" w:cs="Times New Roman"/>
          <w:color w:val="212121"/>
          <w:kern w:val="0"/>
          <w:lang w:eastAsia="en-GB"/>
          <w14:ligatures w14:val="none"/>
        </w:rPr>
        <w:t>, </w:t>
      </w:r>
      <w:r w:rsidRPr="00E52CEE">
        <w:rPr>
          <w:rFonts w:ascii="Aptos" w:eastAsia="Times New Roman" w:hAnsi="Aptos" w:cs="Times New Roman"/>
          <w:i/>
          <w:iCs/>
          <w:color w:val="212121"/>
          <w:kern w:val="0"/>
          <w:lang w:eastAsia="en-GB"/>
          <w14:ligatures w14:val="none"/>
        </w:rPr>
        <w:t>37</w:t>
      </w:r>
      <w:r w:rsidRPr="00E52CEE">
        <w:rPr>
          <w:rFonts w:ascii="Aptos" w:eastAsia="Times New Roman" w:hAnsi="Aptos" w:cs="Times New Roman"/>
          <w:color w:val="212121"/>
          <w:kern w:val="0"/>
          <w:lang w:eastAsia="en-GB"/>
          <w14:ligatures w14:val="none"/>
        </w:rPr>
        <w:t>(7), 953–962. </w:t>
      </w:r>
      <w:hyperlink r:id="rId6" w:tooltip="https://doi.org/10.1080/02723638.2016.1142152" w:history="1">
        <w:r w:rsidRPr="00E52CEE">
          <w:rPr>
            <w:rFonts w:ascii="Aptos" w:eastAsia="Times New Roman" w:hAnsi="Aptos" w:cs="Times New Roman"/>
            <w:color w:val="96607D"/>
            <w:kern w:val="0"/>
            <w:u w:val="single"/>
            <w:lang w:eastAsia="en-GB"/>
            <w14:ligatures w14:val="none"/>
          </w:rPr>
          <w:t>https://doi.org/10.1080/02723638.2016.1142152</w:t>
        </w:r>
      </w:hyperlink>
    </w:p>
    <w:p w14:paraId="46938265" w14:textId="77777777" w:rsidR="00E52CEE" w:rsidRPr="00E52CEE" w:rsidRDefault="00E52CEE" w:rsidP="00E52CEE">
      <w:pPr>
        <w:rPr>
          <w:rFonts w:ascii="Aptos" w:eastAsia="Times New Roman" w:hAnsi="Aptos" w:cs="Times New Roman"/>
          <w:color w:val="212121"/>
          <w:kern w:val="0"/>
          <w:lang w:eastAsia="en-GB"/>
          <w14:ligatures w14:val="none"/>
        </w:rPr>
      </w:pPr>
      <w:r w:rsidRPr="00E52CEE">
        <w:rPr>
          <w:rFonts w:ascii="Aptos" w:eastAsia="Times New Roman" w:hAnsi="Aptos" w:cs="Times New Roman"/>
          <w:color w:val="212121"/>
          <w:kern w:val="0"/>
          <w:lang w:val="en-US" w:eastAsia="en-GB"/>
          <w14:ligatures w14:val="none"/>
        </w:rPr>
        <w:t> </w:t>
      </w:r>
    </w:p>
    <w:p w14:paraId="23FE3A34" w14:textId="77777777" w:rsidR="00E52CEE" w:rsidRPr="00E52CEE" w:rsidRDefault="00E52CEE" w:rsidP="00E52CEE">
      <w:pPr>
        <w:numPr>
          <w:ilvl w:val="0"/>
          <w:numId w:val="3"/>
        </w:numPr>
        <w:rPr>
          <w:rFonts w:ascii="Aptos" w:eastAsia="Times New Roman" w:hAnsi="Aptos" w:cs="Times New Roman"/>
          <w:color w:val="212121"/>
          <w:kern w:val="0"/>
          <w:lang w:eastAsia="en-GB"/>
          <w14:ligatures w14:val="none"/>
        </w:rPr>
      </w:pPr>
      <w:r w:rsidRPr="00E52CEE">
        <w:rPr>
          <w:rFonts w:ascii="Aptos" w:eastAsia="Times New Roman" w:hAnsi="Aptos" w:cs="Times New Roman"/>
          <w:color w:val="212121"/>
          <w:kern w:val="0"/>
          <w:lang w:eastAsia="en-GB"/>
          <w14:ligatures w14:val="none"/>
        </w:rPr>
        <w:t>Ruonavaara, H., Rasinkangas, J., &amp; Rosengren, K. (2025). Preventing, curing, mitigating: Anti-segregation policies in urban Finland. </w:t>
      </w:r>
      <w:r w:rsidRPr="00E52CEE">
        <w:rPr>
          <w:rFonts w:ascii="Aptos" w:eastAsia="Times New Roman" w:hAnsi="Aptos" w:cs="Times New Roman"/>
          <w:i/>
          <w:iCs/>
          <w:color w:val="212121"/>
          <w:kern w:val="0"/>
          <w:lang w:eastAsia="en-GB"/>
          <w14:ligatures w14:val="none"/>
        </w:rPr>
        <w:t>Cities</w:t>
      </w:r>
      <w:r w:rsidRPr="00E52CEE">
        <w:rPr>
          <w:rFonts w:ascii="Aptos" w:eastAsia="Times New Roman" w:hAnsi="Aptos" w:cs="Times New Roman"/>
          <w:color w:val="212121"/>
          <w:kern w:val="0"/>
          <w:lang w:eastAsia="en-GB"/>
          <w14:ligatures w14:val="none"/>
        </w:rPr>
        <w:t>, </w:t>
      </w:r>
      <w:r w:rsidRPr="00E52CEE">
        <w:rPr>
          <w:rFonts w:ascii="Aptos" w:eastAsia="Times New Roman" w:hAnsi="Aptos" w:cs="Times New Roman"/>
          <w:i/>
          <w:iCs/>
          <w:color w:val="212121"/>
          <w:kern w:val="0"/>
          <w:lang w:eastAsia="en-GB"/>
          <w14:ligatures w14:val="none"/>
        </w:rPr>
        <w:t>160</w:t>
      </w:r>
      <w:r w:rsidRPr="00E52CEE">
        <w:rPr>
          <w:rFonts w:ascii="Aptos" w:eastAsia="Times New Roman" w:hAnsi="Aptos" w:cs="Times New Roman"/>
          <w:color w:val="212121"/>
          <w:kern w:val="0"/>
          <w:lang w:eastAsia="en-GB"/>
          <w14:ligatures w14:val="none"/>
        </w:rPr>
        <w:t>, 105838. </w:t>
      </w:r>
      <w:hyperlink r:id="rId7" w:tooltip="https://doi.org/10.1016/j.cities.2025.105838" w:history="1">
        <w:r w:rsidRPr="00E52CEE">
          <w:rPr>
            <w:rFonts w:ascii="Aptos" w:eastAsia="Times New Roman" w:hAnsi="Aptos" w:cs="Times New Roman"/>
            <w:color w:val="96607D"/>
            <w:kern w:val="0"/>
            <w:u w:val="single"/>
            <w:lang w:eastAsia="en-GB"/>
            <w14:ligatures w14:val="none"/>
          </w:rPr>
          <w:t>https://doi.org/10.1016/j.cities.2025.105838</w:t>
        </w:r>
      </w:hyperlink>
    </w:p>
    <w:p w14:paraId="6B0BAABD" w14:textId="77777777" w:rsidR="00E52CEE" w:rsidRPr="00E52CEE" w:rsidRDefault="00E52CEE" w:rsidP="00E52CEE">
      <w:pPr>
        <w:rPr>
          <w:rFonts w:ascii="Aptos" w:eastAsia="Times New Roman" w:hAnsi="Aptos" w:cs="Times New Roman"/>
          <w:color w:val="212121"/>
          <w:kern w:val="0"/>
          <w:lang w:eastAsia="en-GB"/>
          <w14:ligatures w14:val="none"/>
        </w:rPr>
      </w:pPr>
      <w:r w:rsidRPr="00E52CEE">
        <w:rPr>
          <w:rFonts w:ascii="Aptos" w:eastAsia="Times New Roman" w:hAnsi="Aptos" w:cs="Times New Roman"/>
          <w:color w:val="212121"/>
          <w:kern w:val="0"/>
          <w:lang w:val="en-US" w:eastAsia="en-GB"/>
          <w14:ligatures w14:val="none"/>
        </w:rPr>
        <w:t> </w:t>
      </w:r>
    </w:p>
    <w:p w14:paraId="39A20A4C" w14:textId="77777777" w:rsidR="00E52CEE" w:rsidRPr="00E52CEE" w:rsidRDefault="00E52CEE" w:rsidP="00E52CEE">
      <w:pPr>
        <w:numPr>
          <w:ilvl w:val="0"/>
          <w:numId w:val="4"/>
        </w:numPr>
        <w:rPr>
          <w:rFonts w:ascii="Aptos" w:eastAsia="Times New Roman" w:hAnsi="Aptos" w:cs="Times New Roman"/>
          <w:color w:val="212121"/>
          <w:kern w:val="0"/>
          <w:lang w:eastAsia="en-GB"/>
          <w14:ligatures w14:val="none"/>
        </w:rPr>
      </w:pPr>
      <w:r w:rsidRPr="00E52CEE">
        <w:rPr>
          <w:rFonts w:ascii="Aptos" w:eastAsia="Times New Roman" w:hAnsi="Aptos" w:cs="Times New Roman"/>
          <w:color w:val="212121"/>
          <w:kern w:val="0"/>
          <w:lang w:eastAsia="en-GB"/>
          <w14:ligatures w14:val="none"/>
        </w:rPr>
        <w:t>Stjernberg, M., Cavicchia, R., Bogason, A., &amp; Vuithier, A. (2025). </w:t>
      </w:r>
      <w:r w:rsidRPr="00E52CEE">
        <w:rPr>
          <w:rFonts w:ascii="Aptos" w:eastAsia="Times New Roman" w:hAnsi="Aptos" w:cs="Times New Roman"/>
          <w:i/>
          <w:iCs/>
          <w:color w:val="212121"/>
          <w:kern w:val="0"/>
          <w:lang w:eastAsia="en-GB"/>
          <w14:ligatures w14:val="none"/>
        </w:rPr>
        <w:t>Beyond segregation: Nordic approaches to socially inclusive cities</w:t>
      </w:r>
      <w:r w:rsidRPr="00E52CEE">
        <w:rPr>
          <w:rFonts w:ascii="Aptos" w:eastAsia="Times New Roman" w:hAnsi="Aptos" w:cs="Times New Roman"/>
          <w:color w:val="212121"/>
          <w:kern w:val="0"/>
          <w:lang w:eastAsia="en-GB"/>
          <w14:ligatures w14:val="none"/>
        </w:rPr>
        <w:t>. </w:t>
      </w:r>
      <w:hyperlink r:id="rId8" w:tooltip="https://pub.nordregio.org/r-2025-7-beyond-segregation-nordic-approaches-to-socially-inclusive-cities/beyond-segregation.pdf" w:history="1">
        <w:r w:rsidRPr="00E52CEE">
          <w:rPr>
            <w:rFonts w:ascii="Aptos" w:eastAsia="Times New Roman" w:hAnsi="Aptos" w:cs="Times New Roman"/>
            <w:color w:val="96607D"/>
            <w:kern w:val="0"/>
            <w:u w:val="single"/>
            <w:lang w:eastAsia="en-GB"/>
            <w14:ligatures w14:val="none"/>
          </w:rPr>
          <w:t>https://pub.nordregio.org/r-2025-7-beyond-segregation-nordic-approaches-to-socially-inclusive-cities/beyond-segregation.pdf</w:t>
        </w:r>
      </w:hyperlink>
    </w:p>
    <w:p w14:paraId="6DE9A627" w14:textId="77777777" w:rsidR="00106217" w:rsidRDefault="00106217"/>
    <w:sectPr w:rsidR="00106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B8E"/>
    <w:multiLevelType w:val="multilevel"/>
    <w:tmpl w:val="8E00F8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372C7"/>
    <w:multiLevelType w:val="multilevel"/>
    <w:tmpl w:val="3E2698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105973"/>
    <w:multiLevelType w:val="multilevel"/>
    <w:tmpl w:val="905E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35779C"/>
    <w:multiLevelType w:val="multilevel"/>
    <w:tmpl w:val="005AEB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723941">
    <w:abstractNumId w:val="2"/>
  </w:num>
  <w:num w:numId="2" w16cid:durableId="2085031476">
    <w:abstractNumId w:val="1"/>
  </w:num>
  <w:num w:numId="3" w16cid:durableId="1683513770">
    <w:abstractNumId w:val="0"/>
  </w:num>
  <w:num w:numId="4" w16cid:durableId="328288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CEE"/>
    <w:rsid w:val="00106217"/>
    <w:rsid w:val="0018448D"/>
    <w:rsid w:val="0019040D"/>
    <w:rsid w:val="005100BF"/>
    <w:rsid w:val="00E52CEE"/>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4:docId w14:val="32511BBA"/>
  <w15:chartTrackingRefBased/>
  <w15:docId w15:val="{EA29F0EA-0182-5A4B-BD01-0DA15762E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C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C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C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C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CEE"/>
    <w:rPr>
      <w:rFonts w:eastAsiaTheme="majorEastAsia" w:cstheme="majorBidi"/>
      <w:color w:val="272727" w:themeColor="text1" w:themeTint="D8"/>
    </w:rPr>
  </w:style>
  <w:style w:type="paragraph" w:styleId="Title">
    <w:name w:val="Title"/>
    <w:basedOn w:val="Normal"/>
    <w:next w:val="Normal"/>
    <w:link w:val="TitleChar"/>
    <w:uiPriority w:val="10"/>
    <w:qFormat/>
    <w:rsid w:val="00E52C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C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C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2CEE"/>
    <w:rPr>
      <w:i/>
      <w:iCs/>
      <w:color w:val="404040" w:themeColor="text1" w:themeTint="BF"/>
    </w:rPr>
  </w:style>
  <w:style w:type="paragraph" w:styleId="ListParagraph">
    <w:name w:val="List Paragraph"/>
    <w:basedOn w:val="Normal"/>
    <w:uiPriority w:val="34"/>
    <w:qFormat/>
    <w:rsid w:val="00E52CEE"/>
    <w:pPr>
      <w:ind w:left="720"/>
      <w:contextualSpacing/>
    </w:pPr>
  </w:style>
  <w:style w:type="character" w:styleId="IntenseEmphasis">
    <w:name w:val="Intense Emphasis"/>
    <w:basedOn w:val="DefaultParagraphFont"/>
    <w:uiPriority w:val="21"/>
    <w:qFormat/>
    <w:rsid w:val="00E52CEE"/>
    <w:rPr>
      <w:i/>
      <w:iCs/>
      <w:color w:val="0F4761" w:themeColor="accent1" w:themeShade="BF"/>
    </w:rPr>
  </w:style>
  <w:style w:type="paragraph" w:styleId="IntenseQuote">
    <w:name w:val="Intense Quote"/>
    <w:basedOn w:val="Normal"/>
    <w:next w:val="Normal"/>
    <w:link w:val="IntenseQuoteChar"/>
    <w:uiPriority w:val="30"/>
    <w:qFormat/>
    <w:rsid w:val="00E52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CEE"/>
    <w:rPr>
      <w:i/>
      <w:iCs/>
      <w:color w:val="0F4761" w:themeColor="accent1" w:themeShade="BF"/>
    </w:rPr>
  </w:style>
  <w:style w:type="character" w:styleId="IntenseReference">
    <w:name w:val="Intense Reference"/>
    <w:basedOn w:val="DefaultParagraphFont"/>
    <w:uiPriority w:val="32"/>
    <w:qFormat/>
    <w:rsid w:val="00E52CEE"/>
    <w:rPr>
      <w:b/>
      <w:bCs/>
      <w:smallCaps/>
      <w:color w:val="0F4761" w:themeColor="accent1" w:themeShade="BF"/>
      <w:spacing w:val="5"/>
    </w:rPr>
  </w:style>
  <w:style w:type="character" w:customStyle="1" w:styleId="apple-converted-space">
    <w:name w:val="apple-converted-space"/>
    <w:basedOn w:val="DefaultParagraphFont"/>
    <w:rsid w:val="00E52CEE"/>
  </w:style>
  <w:style w:type="character" w:styleId="Hyperlink">
    <w:name w:val="Hyperlink"/>
    <w:basedOn w:val="DefaultParagraphFont"/>
    <w:uiPriority w:val="99"/>
    <w:semiHidden/>
    <w:unhideWhenUsed/>
    <w:rsid w:val="00E52C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nordregio.org/r-2025-7-beyond-segregation-nordic-approaches-to-socially-inclusive-cities/beyond-segregation.pdf" TargetMode="External"/><Relationship Id="rId3" Type="http://schemas.openxmlformats.org/officeDocument/2006/relationships/settings" Target="settings.xml"/><Relationship Id="rId7" Type="http://schemas.openxmlformats.org/officeDocument/2006/relationships/hyperlink" Target="https://doi.org/10.1016/j.cities.2025.1058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02723638.2016.1142152" TargetMode="External"/><Relationship Id="rId5" Type="http://schemas.openxmlformats.org/officeDocument/2006/relationships/hyperlink" Target="https://doi.org/10.1177/0042098025137802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Lilius Johanna</dc:creator>
  <cp:keywords/>
  <dc:description/>
  <cp:lastModifiedBy>Lilius Johanna</cp:lastModifiedBy>
  <cp:revision>1</cp:revision>
  <dcterms:created xsi:type="dcterms:W3CDTF">2026-01-12T13:26:00Z</dcterms:created>
  <dcterms:modified xsi:type="dcterms:W3CDTF">2026-01-12T13:26:00Z</dcterms:modified>
</cp:coreProperties>
</file>