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0092" w14:textId="7048F230" w:rsidR="007E039E" w:rsidRDefault="007E039E" w:rsidP="00037363">
      <w:pPr>
        <w:spacing w:after="0" w:line="480" w:lineRule="auto"/>
        <w:rPr>
          <w:rFonts w:ascii="Arial" w:hAnsi="Arial" w:cs="Arial"/>
          <w:b/>
          <w:bCs/>
        </w:rPr>
      </w:pPr>
      <w:r>
        <w:rPr>
          <w:rFonts w:ascii="Arial" w:hAnsi="Arial" w:cs="Arial"/>
          <w:b/>
          <w:bCs/>
        </w:rPr>
        <w:t>INTRODUCTION</w:t>
      </w:r>
    </w:p>
    <w:p w14:paraId="22705601" w14:textId="77777777" w:rsidR="007E039E" w:rsidRPr="00FA5D71" w:rsidRDefault="007E039E" w:rsidP="007E039E">
      <w:pPr>
        <w:spacing w:after="0" w:line="480" w:lineRule="auto"/>
        <w:rPr>
          <w:rFonts w:ascii="Arial" w:hAnsi="Arial" w:cs="Arial"/>
        </w:rPr>
      </w:pPr>
      <w:commentRangeStart w:id="0"/>
      <w:r w:rsidRPr="00FA5D71">
        <w:rPr>
          <w:rFonts w:ascii="Arial" w:hAnsi="Arial" w:cs="Arial"/>
        </w:rPr>
        <w:t>The fathead minnow (</w:t>
      </w:r>
      <w:proofErr w:type="spellStart"/>
      <w:r w:rsidRPr="00FA5D71">
        <w:rPr>
          <w:rFonts w:ascii="Arial" w:hAnsi="Arial" w:cs="Arial"/>
          <w:i/>
          <w:iCs/>
        </w:rPr>
        <w:t>Pimephales</w:t>
      </w:r>
      <w:proofErr w:type="spellEnd"/>
      <w:r w:rsidRPr="00FA5D71">
        <w:rPr>
          <w:rFonts w:ascii="Arial" w:hAnsi="Arial" w:cs="Arial"/>
          <w:i/>
          <w:iCs/>
        </w:rPr>
        <w:t xml:space="preserve"> </w:t>
      </w:r>
      <w:proofErr w:type="spellStart"/>
      <w:r w:rsidRPr="00FA5D71">
        <w:rPr>
          <w:rFonts w:ascii="Arial" w:hAnsi="Arial" w:cs="Arial"/>
          <w:i/>
          <w:iCs/>
        </w:rPr>
        <w:t>promelas</w:t>
      </w:r>
      <w:proofErr w:type="spellEnd"/>
      <w:r w:rsidRPr="00FA5D71">
        <w:rPr>
          <w:rFonts w:ascii="Arial" w:hAnsi="Arial" w:cs="Arial"/>
        </w:rPr>
        <w:t>) is a</w:t>
      </w:r>
      <w:r>
        <w:rPr>
          <w:rFonts w:ascii="Arial" w:hAnsi="Arial" w:cs="Arial"/>
        </w:rPr>
        <w:t xml:space="preserve">n emerging </w:t>
      </w:r>
      <w:r w:rsidRPr="00FA5D71">
        <w:rPr>
          <w:rFonts w:ascii="Arial" w:hAnsi="Arial" w:cs="Arial"/>
        </w:rPr>
        <w:t xml:space="preserve">model </w:t>
      </w:r>
      <w:r>
        <w:rPr>
          <w:rFonts w:ascii="Arial" w:hAnsi="Arial" w:cs="Arial"/>
        </w:rPr>
        <w:t xml:space="preserve">for studies of anthropogenic effects on behavior (REFS). </w:t>
      </w:r>
      <w:r w:rsidRPr="00FA5D71">
        <w:rPr>
          <w:rFonts w:ascii="Arial" w:hAnsi="Arial" w:cs="Arial"/>
        </w:rPr>
        <w:t>which can be bred in captivity, and can typically reach maturity at 5 months</w:t>
      </w:r>
      <w:r w:rsidRPr="00FA5D71">
        <w:rPr>
          <w:rFonts w:ascii="Arial" w:hAnsi="Arial" w:cs="Arial"/>
        </w:rPr>
        <w:fldChar w:fldCharType="begin" w:fldLock="1"/>
      </w:r>
      <w:r w:rsidRPr="00FA5D71">
        <w:rPr>
          <w:rFonts w:ascii="Arial" w:hAnsi="Arial" w:cs="Arial"/>
        </w:rPr>
        <w:instrText>ADDIN CSL_CITATION {"citationItems":[{"id":"ITEM-1","itemData":{"DOI":"10.1016/j.etap.2004.05.010","ISSN":"13826689","abstract":"Examination of gonadal histopathology has been beneficial in understanding and assessing the effects of potential endocrine disrupting chemicals in fish and other organisms. The present study describes the normal gonadal histology of the fathead minnow (Pimephales promelas), a widely used test organism, reviews typical effects of endocrine disrupting chemicals with different modes/mechanisms of action on the histological structure of the ovaries and testes, and recommends methods for optimizing histopathological results. © 2004 Elsevier B.V. All rights reserved.","author":[{"dropping-particle":"","family":"Leino","given":"Richard L.","non-dropping-particle":"","parse-names":false,"suffix":""},{"dropping-particle":"","family":"Jensen","given":"Kathleen M.","non-dropping-particle":"","parse-names":false,"suffix":""},{"dropping-particle":"","family":"Ankley","given":"Gerald T.","non-dropping-particle":"","parse-names":false,"suffix":""}],"container-title":"Environmental Toxicology and Pharmacology","id":"ITEM-1","issue":"1","issued":{"date-parts":[["2005"]]},"page":"85-98","title":"Gonadal histology and characteristic histopathology associated with endocrine disruption in the adult fathead minnow (Pimephales promelas)","type":"article-journal","volume":"19"},"uris":["http://www.mendeley.com/documents/?uuid=e9e9e550-2fae-41ab-90df-9053323050d7"]}],"mendeley":{"formattedCitation":"&lt;sup&gt;1&lt;/sup&gt;","plainTextFormattedCitation":"1","previouslyFormattedCitation":"&lt;sup&gt;1&lt;/sup&gt;"},"properties":{"noteIndex":0},"schema":"https://github.com/citation-style-language/schema/raw/master/csl-citation.json"}</w:instrText>
      </w:r>
      <w:r w:rsidRPr="00FA5D71">
        <w:rPr>
          <w:rFonts w:ascii="Arial" w:hAnsi="Arial" w:cs="Arial"/>
        </w:rPr>
        <w:fldChar w:fldCharType="separate"/>
      </w:r>
      <w:r w:rsidRPr="00FA5D71">
        <w:rPr>
          <w:rFonts w:ascii="Arial" w:hAnsi="Arial" w:cs="Arial"/>
          <w:noProof/>
          <w:vertAlign w:val="superscript"/>
        </w:rPr>
        <w:t>1</w:t>
      </w:r>
      <w:r w:rsidRPr="00FA5D71">
        <w:rPr>
          <w:rFonts w:ascii="Arial" w:hAnsi="Arial" w:cs="Arial"/>
        </w:rPr>
        <w:fldChar w:fldCharType="end"/>
      </w:r>
      <w:r w:rsidRPr="00FA5D71">
        <w:rPr>
          <w:rFonts w:ascii="Arial" w:hAnsi="Arial" w:cs="Arial"/>
        </w:rPr>
        <w:t xml:space="preserve">. </w:t>
      </w:r>
      <w:commentRangeEnd w:id="0"/>
      <w:r>
        <w:rPr>
          <w:rStyle w:val="CommentReference"/>
        </w:rPr>
        <w:commentReference w:id="0"/>
      </w:r>
    </w:p>
    <w:p w14:paraId="7466AFBA" w14:textId="77777777" w:rsidR="007E039E" w:rsidRPr="007E039E" w:rsidRDefault="007E039E" w:rsidP="00037363">
      <w:pPr>
        <w:spacing w:after="0" w:line="480" w:lineRule="auto"/>
        <w:rPr>
          <w:rFonts w:ascii="Arial" w:hAnsi="Arial" w:cs="Arial"/>
        </w:rPr>
      </w:pPr>
    </w:p>
    <w:p w14:paraId="3D669055" w14:textId="77777777" w:rsidR="007E039E" w:rsidRDefault="007E039E" w:rsidP="00037363">
      <w:pPr>
        <w:spacing w:after="0" w:line="480" w:lineRule="auto"/>
        <w:rPr>
          <w:rFonts w:ascii="Arial" w:hAnsi="Arial" w:cs="Arial"/>
          <w:b/>
          <w:bCs/>
        </w:rPr>
      </w:pPr>
    </w:p>
    <w:p w14:paraId="02FE74C2" w14:textId="0216BD3D" w:rsidR="00037363" w:rsidRPr="003B675A" w:rsidRDefault="00037363" w:rsidP="00037363">
      <w:pPr>
        <w:spacing w:after="0" w:line="480" w:lineRule="auto"/>
        <w:rPr>
          <w:rFonts w:ascii="Arial" w:hAnsi="Arial" w:cs="Arial"/>
          <w:b/>
          <w:bCs/>
        </w:rPr>
      </w:pPr>
      <w:commentRangeStart w:id="1"/>
      <w:r w:rsidRPr="003B675A">
        <w:rPr>
          <w:rFonts w:ascii="Arial" w:hAnsi="Arial" w:cs="Arial"/>
          <w:b/>
          <w:bCs/>
        </w:rPr>
        <w:t>MATERIALS AND METHODS</w:t>
      </w:r>
      <w:commentRangeEnd w:id="1"/>
      <w:r w:rsidR="00707ED1">
        <w:rPr>
          <w:rStyle w:val="CommentReference"/>
        </w:rPr>
        <w:commentReference w:id="1"/>
      </w:r>
    </w:p>
    <w:p w14:paraId="799F004B" w14:textId="4E53287A" w:rsidR="00037363" w:rsidRPr="00FA5D71" w:rsidRDefault="00037363" w:rsidP="00037363">
      <w:pPr>
        <w:spacing w:after="0" w:line="480" w:lineRule="auto"/>
        <w:rPr>
          <w:rFonts w:ascii="Arial" w:hAnsi="Arial" w:cs="Arial"/>
          <w:b/>
          <w:bCs/>
        </w:rPr>
      </w:pPr>
      <w:r w:rsidRPr="00FA5D71">
        <w:rPr>
          <w:rFonts w:ascii="Arial" w:hAnsi="Arial" w:cs="Arial"/>
          <w:b/>
          <w:bCs/>
        </w:rPr>
        <w:t>Subjects</w:t>
      </w:r>
      <w:r w:rsidR="00A46C50">
        <w:rPr>
          <w:rFonts w:ascii="Arial" w:hAnsi="Arial" w:cs="Arial"/>
          <w:b/>
          <w:bCs/>
        </w:rPr>
        <w:t xml:space="preserve"> </w:t>
      </w:r>
      <w:r w:rsidRPr="00FA5D71">
        <w:rPr>
          <w:rFonts w:ascii="Arial" w:hAnsi="Arial" w:cs="Arial"/>
          <w:b/>
          <w:bCs/>
        </w:rPr>
        <w:t xml:space="preserve">and </w:t>
      </w:r>
      <w:r w:rsidR="00C91E04">
        <w:rPr>
          <w:rFonts w:ascii="Arial" w:hAnsi="Arial" w:cs="Arial"/>
          <w:b/>
          <w:bCs/>
        </w:rPr>
        <w:t>animal care</w:t>
      </w:r>
    </w:p>
    <w:p w14:paraId="56F040F4" w14:textId="7E953F71" w:rsidR="00754AEC" w:rsidRPr="00FA5D71" w:rsidRDefault="00386BDD" w:rsidP="00754AEC">
      <w:pPr>
        <w:spacing w:after="0" w:line="480" w:lineRule="auto"/>
        <w:rPr>
          <w:rFonts w:ascii="Arial" w:hAnsi="Arial" w:cs="Arial"/>
        </w:rPr>
      </w:pPr>
      <w:r>
        <w:rPr>
          <w:rFonts w:ascii="Arial" w:hAnsi="Arial" w:cs="Arial"/>
        </w:rPr>
        <w:t>The subjects of this</w:t>
      </w:r>
      <w:r w:rsidR="00037363" w:rsidRPr="00FA5D71">
        <w:rPr>
          <w:rFonts w:ascii="Arial" w:hAnsi="Arial" w:cs="Arial"/>
        </w:rPr>
        <w:t xml:space="preserve"> study were </w:t>
      </w:r>
      <w:r w:rsidR="000E647B">
        <w:rPr>
          <w:rFonts w:ascii="Arial" w:hAnsi="Arial" w:cs="Arial"/>
        </w:rPr>
        <w:t xml:space="preserve">the </w:t>
      </w:r>
      <w:r w:rsidR="00037363" w:rsidRPr="00FA5D71">
        <w:rPr>
          <w:rFonts w:ascii="Arial" w:hAnsi="Arial" w:cs="Arial"/>
        </w:rPr>
        <w:t xml:space="preserve">progeny of six-month old </w:t>
      </w:r>
      <w:r w:rsidR="00037363" w:rsidRPr="00FA5D71">
        <w:rPr>
          <w:rFonts w:ascii="Arial" w:hAnsi="Arial" w:cs="Arial"/>
          <w:i/>
          <w:iCs/>
        </w:rPr>
        <w:t>P. promelas</w:t>
      </w:r>
      <w:r w:rsidR="00037363" w:rsidRPr="00FA5D71">
        <w:rPr>
          <w:rFonts w:ascii="Arial" w:hAnsi="Arial" w:cs="Arial"/>
        </w:rPr>
        <w:t xml:space="preserve"> purchased from a culturing facility (Environmental Consulting and Testing; WI, USA). </w:t>
      </w:r>
      <w:r w:rsidR="000E647B">
        <w:rPr>
          <w:rFonts w:ascii="Arial" w:hAnsi="Arial" w:cs="Arial"/>
        </w:rPr>
        <w:t>Breeding groups of t</w:t>
      </w:r>
      <w:r w:rsidR="00037363" w:rsidRPr="00FA5D71">
        <w:rPr>
          <w:rFonts w:ascii="Arial" w:hAnsi="Arial" w:cs="Arial"/>
        </w:rPr>
        <w:t xml:space="preserve">wo females and one male </w:t>
      </w:r>
      <w:r w:rsidR="000E647B">
        <w:rPr>
          <w:rFonts w:ascii="Arial" w:hAnsi="Arial" w:cs="Arial"/>
        </w:rPr>
        <w:t>were</w:t>
      </w:r>
      <w:r w:rsidR="00037363" w:rsidRPr="00FA5D71">
        <w:rPr>
          <w:rFonts w:ascii="Arial" w:hAnsi="Arial" w:cs="Arial"/>
        </w:rPr>
        <w:t xml:space="preserve"> housed </w:t>
      </w:r>
      <w:r w:rsidR="00813B09" w:rsidRPr="00FA5D71">
        <w:rPr>
          <w:rFonts w:ascii="Arial" w:hAnsi="Arial" w:cs="Arial"/>
        </w:rPr>
        <w:t xml:space="preserve">in 6-L tanks </w:t>
      </w:r>
      <w:r w:rsidR="00037363" w:rsidRPr="00FA5D71">
        <w:rPr>
          <w:rFonts w:ascii="Arial" w:hAnsi="Arial" w:cs="Arial"/>
        </w:rPr>
        <w:t>in a continuous flow-through system (</w:t>
      </w:r>
      <w:proofErr w:type="spellStart"/>
      <w:r w:rsidR="00037363" w:rsidRPr="00FA5D71">
        <w:rPr>
          <w:rFonts w:ascii="Arial" w:hAnsi="Arial" w:cs="Arial"/>
        </w:rPr>
        <w:t>Aquaneering</w:t>
      </w:r>
      <w:proofErr w:type="spellEnd"/>
      <w:r w:rsidR="00037363" w:rsidRPr="00FA5D71">
        <w:rPr>
          <w:rFonts w:ascii="Arial" w:hAnsi="Arial" w:cs="Arial"/>
        </w:rPr>
        <w:t>, CA, USA</w:t>
      </w:r>
      <w:r w:rsidR="00813B09" w:rsidRPr="00FA5D71">
        <w:rPr>
          <w:rFonts w:ascii="Arial" w:hAnsi="Arial" w:cs="Arial"/>
        </w:rPr>
        <w:t>)</w:t>
      </w:r>
      <w:r w:rsidR="00037363" w:rsidRPr="00FA5D71">
        <w:rPr>
          <w:rFonts w:ascii="Arial" w:hAnsi="Arial" w:cs="Arial"/>
        </w:rPr>
        <w:t>. Each tank contained a spawning tile for clutches to be laid</w:t>
      </w:r>
      <w:r w:rsidR="00D95C66" w:rsidRPr="00FA5D71">
        <w:rPr>
          <w:rFonts w:ascii="Arial" w:hAnsi="Arial" w:cs="Arial"/>
        </w:rPr>
        <w:t xml:space="preserve"> upon</w:t>
      </w:r>
      <w:r w:rsidR="00037363" w:rsidRPr="00FA5D71">
        <w:rPr>
          <w:rFonts w:ascii="Arial" w:hAnsi="Arial" w:cs="Arial"/>
        </w:rPr>
        <w:t xml:space="preserve">. Spawning tiles were monitored twice daily, and clutches were removed on the day they were laid and randomly assigned to a control or treatment group. </w:t>
      </w:r>
      <w:r w:rsidR="000E647B">
        <w:rPr>
          <w:rFonts w:ascii="Arial" w:hAnsi="Arial" w:cs="Arial"/>
        </w:rPr>
        <w:t>The f</w:t>
      </w:r>
      <w:r w:rsidR="00037363" w:rsidRPr="00FA5D71">
        <w:rPr>
          <w:rFonts w:ascii="Arial" w:hAnsi="Arial" w:cs="Arial"/>
        </w:rPr>
        <w:t xml:space="preserve">ish were fed live prey </w:t>
      </w:r>
      <w:r w:rsidR="000E647B">
        <w:rPr>
          <w:rFonts w:ascii="Arial" w:hAnsi="Arial" w:cs="Arial"/>
        </w:rPr>
        <w:t xml:space="preserve">items </w:t>
      </w:r>
      <w:r w:rsidR="00037363" w:rsidRPr="00FA5D71">
        <w:rPr>
          <w:rFonts w:ascii="Arial" w:hAnsi="Arial" w:cs="Arial"/>
        </w:rPr>
        <w:t>(</w:t>
      </w:r>
      <w:r w:rsidR="00037363" w:rsidRPr="00FA5D71">
        <w:rPr>
          <w:rFonts w:ascii="Arial" w:hAnsi="Arial" w:cs="Arial"/>
          <w:i/>
          <w:iCs/>
        </w:rPr>
        <w:t xml:space="preserve">Artemia </w:t>
      </w:r>
      <w:proofErr w:type="spellStart"/>
      <w:r w:rsidR="00037363" w:rsidRPr="00FA5D71">
        <w:rPr>
          <w:rFonts w:ascii="Arial" w:hAnsi="Arial" w:cs="Arial"/>
          <w:i/>
          <w:iCs/>
        </w:rPr>
        <w:t>franciscana</w:t>
      </w:r>
      <w:proofErr w:type="spellEnd"/>
      <w:r w:rsidR="00037363" w:rsidRPr="00FA5D71">
        <w:rPr>
          <w:rFonts w:ascii="Arial" w:hAnsi="Arial" w:cs="Arial"/>
        </w:rPr>
        <w:t xml:space="preserve">; Brine Shrimp Direct, UT, USA) </w:t>
      </w:r>
      <w:r w:rsidR="000E647B">
        <w:rPr>
          <w:rFonts w:ascii="Arial" w:hAnsi="Arial" w:cs="Arial"/>
        </w:rPr>
        <w:t xml:space="preserve">twice daily </w:t>
      </w:r>
      <w:r w:rsidR="00037363" w:rsidRPr="00FA5D71">
        <w:rPr>
          <w:rFonts w:ascii="Arial" w:hAnsi="Arial" w:cs="Arial"/>
        </w:rPr>
        <w:t xml:space="preserve">and </w:t>
      </w:r>
      <w:r w:rsidR="000E647B">
        <w:rPr>
          <w:rFonts w:ascii="Arial" w:hAnsi="Arial" w:cs="Arial"/>
        </w:rPr>
        <w:t>were maintained for</w:t>
      </w:r>
      <w:r w:rsidR="00037363" w:rsidRPr="00FA5D71">
        <w:rPr>
          <w:rFonts w:ascii="Arial" w:hAnsi="Arial" w:cs="Arial"/>
        </w:rPr>
        <w:t xml:space="preserve"> </w:t>
      </w:r>
      <w:r w:rsidR="000E647B">
        <w:rPr>
          <w:rFonts w:ascii="Arial" w:hAnsi="Arial" w:cs="Arial"/>
        </w:rPr>
        <w:t xml:space="preserve">the entirety of the experiment </w:t>
      </w:r>
      <w:r w:rsidR="00037363" w:rsidRPr="00FA5D71">
        <w:rPr>
          <w:rFonts w:ascii="Arial" w:hAnsi="Arial" w:cs="Arial"/>
        </w:rPr>
        <w:t xml:space="preserve">under a 16 h: 8 h light-dark regime at room temperature (mean ± SD: 20.6°C ± 0.86°C). Mortality events were </w:t>
      </w:r>
      <w:r w:rsidR="00B76A94">
        <w:rPr>
          <w:rFonts w:ascii="Arial" w:hAnsi="Arial" w:cs="Arial"/>
        </w:rPr>
        <w:t xml:space="preserve">also </w:t>
      </w:r>
      <w:r w:rsidR="00037363" w:rsidRPr="00FA5D71">
        <w:rPr>
          <w:rFonts w:ascii="Arial" w:hAnsi="Arial" w:cs="Arial"/>
        </w:rPr>
        <w:t>monitored twice daily</w:t>
      </w:r>
      <w:commentRangeStart w:id="2"/>
      <w:commentRangeStart w:id="3"/>
      <w:r w:rsidR="00037363" w:rsidRPr="00FA5D71">
        <w:rPr>
          <w:rFonts w:ascii="Arial" w:hAnsi="Arial" w:cs="Arial"/>
        </w:rPr>
        <w:t>.</w:t>
      </w:r>
      <w:commentRangeEnd w:id="2"/>
      <w:r w:rsidR="00037363" w:rsidRPr="00FA5D71">
        <w:rPr>
          <w:rStyle w:val="CommentReference"/>
          <w:rFonts w:ascii="Arial" w:hAnsi="Arial" w:cs="Arial"/>
          <w:sz w:val="22"/>
          <w:szCs w:val="22"/>
        </w:rPr>
        <w:commentReference w:id="2"/>
      </w:r>
      <w:commentRangeEnd w:id="3"/>
      <w:r w:rsidR="00313833">
        <w:rPr>
          <w:rStyle w:val="CommentReference"/>
        </w:rPr>
        <w:commentReference w:id="3"/>
      </w:r>
      <w:r w:rsidR="003B675A">
        <w:rPr>
          <w:rFonts w:ascii="Arial" w:hAnsi="Arial" w:cs="Arial"/>
        </w:rPr>
        <w:t xml:space="preserve"> </w:t>
      </w:r>
      <w:r w:rsidR="00754AEC" w:rsidRPr="00FA5D71">
        <w:rPr>
          <w:rFonts w:ascii="Arial" w:hAnsi="Arial" w:cs="Arial"/>
        </w:rPr>
        <w:t>All procedures were approved by the Institutional Animal Care and Use Committee at Ball State University (1142896-1).</w:t>
      </w:r>
    </w:p>
    <w:p w14:paraId="2195478A" w14:textId="3EAFCD9C" w:rsidR="003B675A" w:rsidRPr="00FA5D71" w:rsidRDefault="003B675A" w:rsidP="003B675A">
      <w:pPr>
        <w:spacing w:after="0" w:line="480" w:lineRule="auto"/>
        <w:rPr>
          <w:rFonts w:ascii="Arial" w:hAnsi="Arial" w:cs="Arial"/>
        </w:rPr>
      </w:pPr>
    </w:p>
    <w:p w14:paraId="5A916343" w14:textId="76E63838" w:rsidR="00037363" w:rsidRPr="00FA5D71" w:rsidRDefault="00037363" w:rsidP="00D95C66">
      <w:pPr>
        <w:spacing w:after="0" w:line="480" w:lineRule="auto"/>
        <w:ind w:firstLine="720"/>
        <w:rPr>
          <w:rFonts w:ascii="Arial" w:hAnsi="Arial" w:cs="Arial"/>
        </w:rPr>
      </w:pPr>
    </w:p>
    <w:p w14:paraId="2E24C64F" w14:textId="746F4416" w:rsidR="00037363" w:rsidRPr="00FA5D71" w:rsidRDefault="00037363" w:rsidP="00037363">
      <w:pPr>
        <w:spacing w:after="0" w:line="480" w:lineRule="auto"/>
        <w:rPr>
          <w:rFonts w:ascii="Arial" w:hAnsi="Arial" w:cs="Arial"/>
          <w:b/>
          <w:bCs/>
        </w:rPr>
      </w:pPr>
      <w:r w:rsidRPr="00FA5D71">
        <w:rPr>
          <w:rFonts w:ascii="Arial" w:hAnsi="Arial" w:cs="Arial"/>
          <w:b/>
          <w:bCs/>
        </w:rPr>
        <w:t>Treatment</w:t>
      </w:r>
      <w:r w:rsidR="00754AEC">
        <w:rPr>
          <w:rFonts w:ascii="Arial" w:hAnsi="Arial" w:cs="Arial"/>
          <w:b/>
          <w:bCs/>
        </w:rPr>
        <w:t xml:space="preserve"> regime</w:t>
      </w:r>
    </w:p>
    <w:p w14:paraId="76963992" w14:textId="471E5C9B" w:rsidR="00F73D7F" w:rsidRDefault="00037363" w:rsidP="00037363">
      <w:pPr>
        <w:spacing w:after="0" w:line="480" w:lineRule="auto"/>
        <w:rPr>
          <w:rFonts w:ascii="Arial" w:hAnsi="Arial" w:cs="Arial"/>
        </w:rPr>
      </w:pPr>
      <w:r w:rsidRPr="00FA5D71">
        <w:rPr>
          <w:rFonts w:ascii="Arial" w:hAnsi="Arial" w:cs="Arial"/>
        </w:rPr>
        <w:t>Stock solutions</w:t>
      </w:r>
      <w:r w:rsidR="00A003EE">
        <w:rPr>
          <w:rFonts w:ascii="Arial" w:hAnsi="Arial" w:cs="Arial"/>
        </w:rPr>
        <w:t>,</w:t>
      </w:r>
      <w:r w:rsidRPr="00FA5D71">
        <w:rPr>
          <w:rFonts w:ascii="Arial" w:hAnsi="Arial" w:cs="Arial"/>
        </w:rPr>
        <w:t xml:space="preserve"> consisting of serially diluted solutions of powdered β-methylamino-L-alanine (BMAA; Sigma Aldrich, Inc., Germany) </w:t>
      </w:r>
      <w:r w:rsidR="00FD04C0">
        <w:rPr>
          <w:rFonts w:ascii="Arial" w:hAnsi="Arial" w:cs="Arial"/>
        </w:rPr>
        <w:t>dissolved in</w:t>
      </w:r>
      <w:r w:rsidR="00FD04C0" w:rsidRPr="00FA5D71">
        <w:rPr>
          <w:rFonts w:ascii="Arial" w:hAnsi="Arial" w:cs="Arial"/>
        </w:rPr>
        <w:t xml:space="preserve"> </w:t>
      </w:r>
      <w:r w:rsidRPr="00FA5D71">
        <w:rPr>
          <w:rFonts w:ascii="Arial" w:hAnsi="Arial" w:cs="Arial"/>
        </w:rPr>
        <w:t>ultra-pure water (Millipore, MA, USA)</w:t>
      </w:r>
      <w:r w:rsidR="00A003EE">
        <w:rPr>
          <w:rFonts w:ascii="Arial" w:hAnsi="Arial" w:cs="Arial"/>
        </w:rPr>
        <w:t>,</w:t>
      </w:r>
      <w:r w:rsidRPr="00FA5D71">
        <w:rPr>
          <w:rFonts w:ascii="Arial" w:hAnsi="Arial" w:cs="Arial"/>
        </w:rPr>
        <w:t xml:space="preserve"> were made weekly and stored in amber glass bottles at 4°C. Treatments with nominal concentrations of 5 or 25 </w:t>
      </w:r>
      <w:commentRangeStart w:id="4"/>
      <w:commentRangeStart w:id="5"/>
      <w:r w:rsidRPr="00FA5D71">
        <w:rPr>
          <w:rFonts w:ascii="Arial" w:hAnsi="Arial" w:cs="Arial"/>
        </w:rPr>
        <w:t xml:space="preserve">ng/L </w:t>
      </w:r>
      <w:commentRangeEnd w:id="4"/>
      <w:r w:rsidR="009B39D4" w:rsidRPr="00FA5D71">
        <w:rPr>
          <w:rStyle w:val="CommentReference"/>
          <w:rFonts w:ascii="Arial" w:hAnsi="Arial" w:cs="Arial"/>
          <w:sz w:val="22"/>
          <w:szCs w:val="22"/>
        </w:rPr>
        <w:commentReference w:id="4"/>
      </w:r>
      <w:commentRangeEnd w:id="5"/>
      <w:r w:rsidR="00952467">
        <w:rPr>
          <w:rStyle w:val="CommentReference"/>
        </w:rPr>
        <w:commentReference w:id="5"/>
      </w:r>
      <w:r w:rsidRPr="00FA5D71">
        <w:rPr>
          <w:rFonts w:ascii="Arial" w:hAnsi="Arial" w:cs="Arial"/>
        </w:rPr>
        <w:t>BMAA (her</w:t>
      </w:r>
      <w:r w:rsidR="00AD5C0D">
        <w:rPr>
          <w:rFonts w:ascii="Arial" w:hAnsi="Arial" w:cs="Arial"/>
        </w:rPr>
        <w:t>e</w:t>
      </w:r>
      <w:r w:rsidRPr="00FA5D71">
        <w:rPr>
          <w:rFonts w:ascii="Arial" w:hAnsi="Arial" w:cs="Arial"/>
        </w:rPr>
        <w:t>after referred to as BMAA</w:t>
      </w:r>
      <w:r w:rsidRPr="00FA5D71">
        <w:rPr>
          <w:rFonts w:ascii="Arial" w:hAnsi="Arial" w:cs="Arial"/>
          <w:vertAlign w:val="subscript"/>
        </w:rPr>
        <w:t>LOW</w:t>
      </w:r>
      <w:r w:rsidRPr="00FA5D71">
        <w:rPr>
          <w:rFonts w:ascii="Arial" w:hAnsi="Arial" w:cs="Arial"/>
        </w:rPr>
        <w:t xml:space="preserve"> and BMAA</w:t>
      </w:r>
      <w:r w:rsidRPr="00FA5D71">
        <w:rPr>
          <w:rFonts w:ascii="Arial" w:hAnsi="Arial" w:cs="Arial"/>
          <w:vertAlign w:val="subscript"/>
        </w:rPr>
        <w:t>HIGH</w:t>
      </w:r>
      <w:r w:rsidRPr="00FA5D71">
        <w:rPr>
          <w:rFonts w:ascii="Arial" w:hAnsi="Arial" w:cs="Arial"/>
        </w:rPr>
        <w:t xml:space="preserve">) and a control (0 ng/L) </w:t>
      </w:r>
      <w:r w:rsidRPr="00FA5D71">
        <w:rPr>
          <w:rFonts w:ascii="Arial" w:hAnsi="Arial" w:cs="Arial"/>
        </w:rPr>
        <w:lastRenderedPageBreak/>
        <w:t xml:space="preserve">were prepared each day </w:t>
      </w:r>
      <w:r w:rsidR="00610346">
        <w:rPr>
          <w:rFonts w:ascii="Arial" w:hAnsi="Arial" w:cs="Arial"/>
        </w:rPr>
        <w:t>by adding an</w:t>
      </w:r>
      <w:r w:rsidRPr="00FA5D71">
        <w:rPr>
          <w:rFonts w:ascii="Arial" w:hAnsi="Arial" w:cs="Arial"/>
        </w:rPr>
        <w:t xml:space="preserve"> appropriate concentration of stock solution</w:t>
      </w:r>
      <w:r w:rsidR="00610346">
        <w:rPr>
          <w:rFonts w:ascii="Arial" w:hAnsi="Arial" w:cs="Arial"/>
        </w:rPr>
        <w:t xml:space="preserve"> to</w:t>
      </w:r>
      <w:r w:rsidR="00610346" w:rsidRPr="00FA5D71">
        <w:rPr>
          <w:rFonts w:ascii="Arial" w:hAnsi="Arial" w:cs="Arial"/>
        </w:rPr>
        <w:t xml:space="preserve"> aged, aerated water</w:t>
      </w:r>
      <w:r w:rsidRPr="00FA5D71">
        <w:rPr>
          <w:rFonts w:ascii="Arial" w:hAnsi="Arial" w:cs="Arial"/>
        </w:rPr>
        <w:t xml:space="preserve">. </w:t>
      </w:r>
      <w:commentRangeStart w:id="6"/>
      <w:r w:rsidRPr="00FA5D71">
        <w:rPr>
          <w:rFonts w:ascii="Arial" w:hAnsi="Arial" w:cs="Arial"/>
        </w:rPr>
        <w:t>BMAA has been detected in waterways in concentrations as low as 100 ng/L to as high as 25 µg/L</w:t>
      </w:r>
      <w:r w:rsidR="00D95C66" w:rsidRPr="00FA5D71">
        <w:rPr>
          <w:rFonts w:ascii="Arial" w:hAnsi="Arial" w:cs="Arial"/>
        </w:rPr>
        <w:fldChar w:fldCharType="begin" w:fldLock="1"/>
      </w:r>
      <w:r w:rsidR="00D90D7F" w:rsidRPr="00FA5D71">
        <w:rPr>
          <w:rFonts w:ascii="Arial" w:hAnsi="Arial" w:cs="Arial"/>
        </w:rPr>
        <w:instrText>ADDIN CSL_CITATION {"citationItems":[{"id":"ITEM-1","itemData":{"DOI":"10.3390/toxins6020488","ISSN":"20726651","PMID":"24476710","abstract":"Several groups of microorganisms are capable of producing toxins in aquatic environments. Cyanobacteria are prevalent blue green algae in freshwater systems, and many species produce cyanotoxins which include a variety of chemical irritants, hepatotoxins and neurotoxins. Production and occurrence of potent neurotoxic cyanotoxins β-N-methylamino-L-alanine (BMAA), 2,4-diaminobutyric acid dihydrochloride (DABA), and anatoxin-a are especially critical with environmental implications to public and animal health. Biomagnification, though not well understood in aquatic systems, is potentially relevant to both human and animal health effects. Because little is known regarding their presence in fresh water, we investigated the occurrence and potential for bioaccumulation of cyanotoxins in several Nebraska reservoirs. Collection and analysis of 387 environmental and biological samples (water, fish, and aquatic plant) provided a snapshot of their occurrence. A sensitive detection method was developed using solid phase extraction (SPE) in combination with high pressure liquid chromatography-fluorescence detection (HPLC/FD) with confirmation by liquid chromatography-tandem mass spectrometry (LC/MS/MS). HPLC/FD detection limits ranged from 5 to 7 μg/L and LC/MS/MS detection limits were &lt;0.5 μg/L, while detection limits for biological samples were in the range of 0.8-3.2 ng/g depending on the matrix. Based on these methods, measurable levels of these neurotoxic compounds were detected in approximately 25% of the samples, with detections of BMAA in about 18.1%, DABA in 17.1%, and anatoxin-a in 11.9%. © 2014 by the authors; licensee MDPI, Basel, Switzerland.","author":[{"dropping-particle":"","family":"Al-Sammak","given":"Maitham Ahmed","non-dropping-particle":"","parse-names":false,"suffix":""},{"dropping-particle":"","family":"Hoagland","given":"Kyle D.","non-dropping-particle":"","parse-names":false,"suffix":""},{"dropping-particle":"","family":"Cassada","given":"David","non-dropping-particle":"","parse-names":false,"suffix":""},{"dropping-particle":"","family":"Snow","given":"Daniel D.","non-dropping-particle":"","parse-names":false,"suffix":""}],"container-title":"Toxins","id":"ITEM-1","issue":"2","issued":{"date-parts":[["2014"]]},"page":"488-508","title":"Co-occurrence of the cyanotoxins BMAA, DABA and anatoxin-a in Nebraska reservoirs, fish, and aquatic plants","type":"article-journal","volume":"6"},"uris":["http://www.mendeley.com/documents/?uuid=9296d254-f24c-45ea-a563-95d3792e69b4"]},{"id":"ITEM-2","itemData":{"DOI":"10.1371/journal.pone.0220698","ISBN":"1111111111","ISSN":"19326203","PMID":"31386693","abstract":"The neurotoxin β-N-methylamino-L-alanine (BMAA), suspected to trigger neurodegenerative diseases, can be produced during cyanobacterial bloom events and subsequently affect ecosystems and water sources. Some of its isomers including β-amino-N-methylalanine (BAMA), N-(2-aminoethyl) glycine (AEG), and 2,4-diaminobutyric acid (DAB) may show different toxicities than BMAA. Here, we set out to provide a fast and sensitive method for the monitoring of AEG, BAMA, DAB and BMAA in surface waters. A procedure based on aqueous derivatization with 9-fluorenylmethyl chloroformate (FMOC-Cl) was investigated for this purpose. Under optimized conditions, a small aqueous sample aliquot (5 mL) was spiked with BMAA-d3 internal standard, subjected to FMOC-Cl derivatization, centrifuged, and analyzed. The high-throughput instrumental method (10 min per sample) involved on-line pre-concentration and desalting coupled to ultra-high-performance liquid chromatography high-resolution mass spectrometry (UHPLC-HRMS). Chromatographic gradient and mobile phases were adjusted to obtain suitable separation of the 4 isomers. The method limits of detection were in the range of 2–5 ng L-1. In-matrix validation parameters including linearity range, accuracy, precision, and matrix effects were assessed. The method was applied to surface water samples (n = 82) collected at a large spatial scale in lakes and rivers in Canada. DAB was found in &gt;70% of samples at variable concentrations (&lt;3–1,900 ng L-1), the highest concentrations corresponding to lake samples in cyanobacterial bloom periods. BMAA was only reported (110 ng L-1) at one HAB-impacted location. This is one of the first studies to report on the profiles of AEG, BAMA, DAB, and BMAA in background and impacted surface waters.","author":[{"dropping-particle":"","family":"Duy","given":"Sung Vo","non-dropping-particle":"","parse-names":false,"suffix":""},{"dropping-particle":"","family":"Munoz","given":"Gabriel","non-dropping-particle":"","parse-names":false,"suffix":""},{"dropping-particle":"","family":"Dinh","given":"Quoc Tuc","non-dropping-particle":"","parse-names":false,"suffix":""},{"dropping-particle":"","family":"Do","given":"Dat Tien","non-dropping-particle":"","parse-names":false,"suffix":""},{"dropping-particle":"","family":"Simon","given":"Dana F.","non-dropping-particle":"","parse-names":false,"suffix":""},{"dropping-particle":"","family":"Sauvé","given":"Sébastien","non-dropping-particle":"","parse-names":false,"suffix":""}],"container-title":"PLoS ONE","id":"ITEM-2","issue":"8","issued":{"date-parts":[["2019"]]},"page":"1-23","title":"Analysis of the neurotoxin β-N-methylamino-L-alanine (BMAA) and isomers in surface water by FMOC derivatization liquid chromatography high resolution mass spectrometry","type":"article-journal","volume":"14"},"uris":["http://www.mendeley.com/documents/?uuid=a542a843-105a-4fd3-b320-c6f73d1a0483"]}],"mendeley":{"formattedCitation":"&lt;sup&gt;2,3&lt;/sup&gt;","plainTextFormattedCitation":"2,3","previouslyFormattedCitation":"&lt;sup&gt;2,3&lt;/sup&gt;"},"properties":{"noteIndex":0},"schema":"https://github.com/citation-style-language/schema/raw/master/csl-citation.json"}</w:instrText>
      </w:r>
      <w:r w:rsidR="00D95C66" w:rsidRPr="00FA5D71">
        <w:rPr>
          <w:rFonts w:ascii="Arial" w:hAnsi="Arial" w:cs="Arial"/>
        </w:rPr>
        <w:fldChar w:fldCharType="separate"/>
      </w:r>
      <w:r w:rsidR="00D95C66" w:rsidRPr="00FA5D71">
        <w:rPr>
          <w:rFonts w:ascii="Arial" w:hAnsi="Arial" w:cs="Arial"/>
          <w:noProof/>
          <w:vertAlign w:val="superscript"/>
        </w:rPr>
        <w:t>2,3</w:t>
      </w:r>
      <w:r w:rsidR="00D95C66" w:rsidRPr="00FA5D71">
        <w:rPr>
          <w:rFonts w:ascii="Arial" w:hAnsi="Arial" w:cs="Arial"/>
        </w:rPr>
        <w:fldChar w:fldCharType="end"/>
      </w:r>
      <w:r w:rsidRPr="00FA5D71">
        <w:rPr>
          <w:rFonts w:ascii="Arial" w:hAnsi="Arial" w:cs="Arial"/>
        </w:rPr>
        <w:t xml:space="preserve"> (</w:t>
      </w:r>
      <w:proofErr w:type="spellStart"/>
      <w:r w:rsidRPr="00FA5D71">
        <w:rPr>
          <w:rFonts w:ascii="Arial" w:hAnsi="Arial" w:cs="Arial"/>
          <w:highlight w:val="lightGray"/>
        </w:rPr>
        <w:t>Wilitsie</w:t>
      </w:r>
      <w:proofErr w:type="spellEnd"/>
      <w:r w:rsidRPr="00FA5D71">
        <w:rPr>
          <w:rFonts w:ascii="Arial" w:hAnsi="Arial" w:cs="Arial"/>
          <w:highlight w:val="lightGray"/>
        </w:rPr>
        <w:t xml:space="preserve"> et al. 2018</w:t>
      </w:r>
      <w:r w:rsidRPr="00FA5D71">
        <w:rPr>
          <w:rFonts w:ascii="Arial" w:hAnsi="Arial" w:cs="Arial"/>
        </w:rPr>
        <w:t xml:space="preserve">). </w:t>
      </w:r>
      <w:commentRangeEnd w:id="6"/>
      <w:r w:rsidR="00610346">
        <w:rPr>
          <w:rStyle w:val="CommentReference"/>
        </w:rPr>
        <w:commentReference w:id="6"/>
      </w:r>
      <w:r w:rsidR="00F36658">
        <w:rPr>
          <w:rFonts w:ascii="Arial" w:hAnsi="Arial" w:cs="Arial"/>
        </w:rPr>
        <w:t xml:space="preserve">The water was </w:t>
      </w:r>
      <w:r w:rsidRPr="00FA5D71">
        <w:rPr>
          <w:rFonts w:ascii="Arial" w:hAnsi="Arial" w:cs="Arial"/>
        </w:rPr>
        <w:t>exchange</w:t>
      </w:r>
      <w:r w:rsidR="00F36658">
        <w:rPr>
          <w:rFonts w:ascii="Arial" w:hAnsi="Arial" w:cs="Arial"/>
        </w:rPr>
        <w:t>d each day using</w:t>
      </w:r>
      <w:r w:rsidR="00F36658" w:rsidRPr="00FA5D71">
        <w:rPr>
          <w:rFonts w:ascii="Arial" w:hAnsi="Arial" w:cs="Arial"/>
        </w:rPr>
        <w:t xml:space="preserve"> </w:t>
      </w:r>
      <w:r w:rsidR="00F36658">
        <w:rPr>
          <w:rFonts w:ascii="Arial" w:hAnsi="Arial" w:cs="Arial"/>
        </w:rPr>
        <w:t>a</w:t>
      </w:r>
      <w:r w:rsidR="00F36658" w:rsidRPr="00FA5D71">
        <w:rPr>
          <w:rFonts w:ascii="Arial" w:hAnsi="Arial" w:cs="Arial"/>
        </w:rPr>
        <w:t xml:space="preserve"> 50% static renewal protocol </w:t>
      </w:r>
      <w:r w:rsidRPr="00FA5D71">
        <w:rPr>
          <w:rFonts w:ascii="Arial" w:hAnsi="Arial" w:cs="Arial"/>
        </w:rPr>
        <w:t>to account for degradation (</w:t>
      </w:r>
      <w:r w:rsidRPr="00FA5D71">
        <w:rPr>
          <w:rFonts w:ascii="Arial" w:hAnsi="Arial" w:cs="Arial"/>
          <w:highlight w:val="lightGray"/>
        </w:rPr>
        <w:t>USEPA 2002</w:t>
      </w:r>
      <w:r w:rsidRPr="00FA5D71">
        <w:rPr>
          <w:rFonts w:ascii="Arial" w:hAnsi="Arial" w:cs="Arial"/>
        </w:rPr>
        <w:t>).</w:t>
      </w:r>
      <w:r w:rsidR="009B39D4" w:rsidRPr="00FA5D71">
        <w:rPr>
          <w:rFonts w:ascii="Arial" w:hAnsi="Arial" w:cs="Arial"/>
        </w:rPr>
        <w:t xml:space="preserve"> </w:t>
      </w:r>
    </w:p>
    <w:p w14:paraId="56D2E067" w14:textId="12EC36F5" w:rsidR="00F73D7F" w:rsidRDefault="00333EF2" w:rsidP="002B07D5">
      <w:pPr>
        <w:spacing w:after="0" w:line="480" w:lineRule="auto"/>
        <w:ind w:firstLine="720"/>
        <w:rPr>
          <w:rFonts w:ascii="Arial" w:hAnsi="Arial" w:cs="Arial"/>
        </w:rPr>
      </w:pPr>
      <w:commentRangeStart w:id="7"/>
      <w:r w:rsidRPr="00FA5D71">
        <w:rPr>
          <w:rFonts w:ascii="Arial" w:hAnsi="Arial" w:cs="Arial"/>
        </w:rPr>
        <w:t xml:space="preserve">Fish </w:t>
      </w:r>
      <w:commentRangeEnd w:id="7"/>
      <w:r w:rsidR="00C05A68">
        <w:rPr>
          <w:rStyle w:val="CommentReference"/>
        </w:rPr>
        <w:commentReference w:id="7"/>
      </w:r>
      <w:r w:rsidRPr="00FA5D71">
        <w:rPr>
          <w:rFonts w:ascii="Arial" w:hAnsi="Arial" w:cs="Arial"/>
        </w:rPr>
        <w:t>in the BMAA</w:t>
      </w:r>
      <w:r w:rsidRPr="00FA5D71">
        <w:rPr>
          <w:rFonts w:ascii="Arial" w:hAnsi="Arial" w:cs="Arial"/>
          <w:vertAlign w:val="subscript"/>
        </w:rPr>
        <w:t>LOW</w:t>
      </w:r>
      <w:r w:rsidRPr="00FA5D71">
        <w:rPr>
          <w:rFonts w:ascii="Arial" w:hAnsi="Arial" w:cs="Arial"/>
        </w:rPr>
        <w:t xml:space="preserve"> and BMAA</w:t>
      </w:r>
      <w:r w:rsidRPr="00FA5D71">
        <w:rPr>
          <w:rFonts w:ascii="Arial" w:hAnsi="Arial" w:cs="Arial"/>
          <w:vertAlign w:val="subscript"/>
        </w:rPr>
        <w:t>HIGH</w:t>
      </w:r>
      <w:r w:rsidRPr="00FA5D71">
        <w:rPr>
          <w:rFonts w:ascii="Arial" w:hAnsi="Arial" w:cs="Arial"/>
        </w:rPr>
        <w:t xml:space="preserve"> groups </w:t>
      </w:r>
      <w:r>
        <w:rPr>
          <w:rFonts w:ascii="Arial" w:hAnsi="Arial" w:cs="Arial"/>
        </w:rPr>
        <w:t xml:space="preserve">developed in the presence of BMAA </w:t>
      </w:r>
      <w:r w:rsidRPr="00FA5D71">
        <w:rPr>
          <w:rFonts w:ascii="Arial" w:hAnsi="Arial" w:cs="Arial"/>
        </w:rPr>
        <w:t>for the first 21</w:t>
      </w:r>
      <w:r w:rsidR="001948FE" w:rsidRPr="001948FE">
        <w:rPr>
          <w:rFonts w:ascii="Arial" w:hAnsi="Arial" w:cs="Arial"/>
        </w:rPr>
        <w:t xml:space="preserve"> </w:t>
      </w:r>
      <w:r w:rsidR="001948FE">
        <w:rPr>
          <w:rFonts w:ascii="Arial" w:hAnsi="Arial" w:cs="Arial"/>
        </w:rPr>
        <w:t>days post fertilization</w:t>
      </w:r>
      <w:r>
        <w:rPr>
          <w:rFonts w:ascii="Arial" w:hAnsi="Arial" w:cs="Arial"/>
        </w:rPr>
        <w:t xml:space="preserve"> </w:t>
      </w:r>
      <w:r w:rsidR="001948FE">
        <w:rPr>
          <w:rFonts w:ascii="Arial" w:hAnsi="Arial" w:cs="Arial"/>
        </w:rPr>
        <w:t>(</w:t>
      </w:r>
      <w:proofErr w:type="spellStart"/>
      <w:r w:rsidR="001948FE">
        <w:rPr>
          <w:rFonts w:ascii="Arial" w:hAnsi="Arial" w:cs="Arial"/>
        </w:rPr>
        <w:t>dpf</w:t>
      </w:r>
      <w:proofErr w:type="spellEnd"/>
      <w:r w:rsidR="001948FE">
        <w:rPr>
          <w:rFonts w:ascii="Arial" w:hAnsi="Arial" w:cs="Arial"/>
        </w:rPr>
        <w:t>)</w:t>
      </w:r>
      <w:r w:rsidR="00DB2BEB">
        <w:rPr>
          <w:rFonts w:ascii="Arial" w:hAnsi="Arial" w:cs="Arial"/>
        </w:rPr>
        <w:t>,</w:t>
      </w:r>
      <w:r w:rsidRPr="00FA5D71">
        <w:rPr>
          <w:rFonts w:ascii="Arial" w:hAnsi="Arial" w:cs="Arial"/>
        </w:rPr>
        <w:t xml:space="preserve"> </w:t>
      </w:r>
      <w:r w:rsidR="006C2A7C">
        <w:rPr>
          <w:rFonts w:ascii="Arial" w:hAnsi="Arial" w:cs="Arial"/>
        </w:rPr>
        <w:t>and</w:t>
      </w:r>
      <w:r w:rsidRPr="00FA5D71">
        <w:rPr>
          <w:rFonts w:ascii="Arial" w:hAnsi="Arial" w:cs="Arial"/>
        </w:rPr>
        <w:t xml:space="preserve"> in clean water for the </w:t>
      </w:r>
      <w:r>
        <w:rPr>
          <w:rFonts w:ascii="Arial" w:hAnsi="Arial" w:cs="Arial"/>
        </w:rPr>
        <w:t xml:space="preserve">remainder </w:t>
      </w:r>
      <w:r w:rsidRPr="00FA5D71">
        <w:rPr>
          <w:rFonts w:ascii="Arial" w:hAnsi="Arial" w:cs="Arial"/>
        </w:rPr>
        <w:t xml:space="preserve">of the experiment. </w:t>
      </w:r>
      <w:r w:rsidR="00452B6D" w:rsidRPr="00FA5D71">
        <w:rPr>
          <w:rFonts w:ascii="Arial" w:hAnsi="Arial" w:cs="Arial"/>
        </w:rPr>
        <w:t xml:space="preserve">Clutches were maintained on the spawning tile in a 750 mL glass vessel fitted with an </w:t>
      </w:r>
      <w:proofErr w:type="spellStart"/>
      <w:r w:rsidR="00452B6D" w:rsidRPr="00FA5D71">
        <w:rPr>
          <w:rFonts w:ascii="Arial" w:hAnsi="Arial" w:cs="Arial"/>
        </w:rPr>
        <w:t>airstone</w:t>
      </w:r>
      <w:proofErr w:type="spellEnd"/>
      <w:r w:rsidR="00452B6D" w:rsidRPr="00FA5D71">
        <w:rPr>
          <w:rFonts w:ascii="Arial" w:hAnsi="Arial" w:cs="Arial"/>
        </w:rPr>
        <w:t xml:space="preserve"> for 5 </w:t>
      </w:r>
      <w:proofErr w:type="spellStart"/>
      <w:r w:rsidR="00452B6D" w:rsidRPr="00FA5D71">
        <w:rPr>
          <w:rFonts w:ascii="Arial" w:hAnsi="Arial" w:cs="Arial"/>
        </w:rPr>
        <w:t>dpf</w:t>
      </w:r>
      <w:proofErr w:type="spellEnd"/>
      <w:r w:rsidR="00452B6D" w:rsidRPr="00FA5D71">
        <w:rPr>
          <w:rFonts w:ascii="Arial" w:hAnsi="Arial" w:cs="Arial"/>
        </w:rPr>
        <w:t xml:space="preserve"> </w:t>
      </w:r>
      <w:r w:rsidR="00F73D7F">
        <w:rPr>
          <w:rFonts w:ascii="Arial" w:hAnsi="Arial" w:cs="Arial"/>
        </w:rPr>
        <w:t xml:space="preserve">before being transferred </w:t>
      </w:r>
      <w:r w:rsidR="00037363" w:rsidRPr="00FA5D71">
        <w:rPr>
          <w:rFonts w:ascii="Arial" w:hAnsi="Arial" w:cs="Arial"/>
        </w:rPr>
        <w:t>to individual housing containers (6</w:t>
      </w:r>
      <w:r w:rsidR="00F73D7F">
        <w:rPr>
          <w:rFonts w:ascii="Arial" w:hAnsi="Arial" w:cs="Arial"/>
        </w:rPr>
        <w:t>-</w:t>
      </w:r>
      <w:r w:rsidR="00037363" w:rsidRPr="00FA5D71">
        <w:rPr>
          <w:rFonts w:ascii="Arial" w:hAnsi="Arial" w:cs="Arial"/>
        </w:rPr>
        <w:t>well plate; Corning, Inc., NY, USA)</w:t>
      </w:r>
      <w:r w:rsidR="00395B2A">
        <w:rPr>
          <w:rFonts w:ascii="Arial" w:hAnsi="Arial" w:cs="Arial"/>
        </w:rPr>
        <w:t xml:space="preserve"> where they hatched</w:t>
      </w:r>
      <w:r w:rsidR="00037363" w:rsidRPr="00FA5D71">
        <w:rPr>
          <w:rFonts w:ascii="Arial" w:hAnsi="Arial" w:cs="Arial"/>
        </w:rPr>
        <w:t xml:space="preserve">. </w:t>
      </w:r>
      <w:r w:rsidR="00A003EE">
        <w:rPr>
          <w:rFonts w:ascii="Arial" w:hAnsi="Arial" w:cs="Arial"/>
        </w:rPr>
        <w:t xml:space="preserve">The fish were </w:t>
      </w:r>
      <w:r w:rsidR="00037363" w:rsidRPr="00FA5D71">
        <w:rPr>
          <w:rFonts w:ascii="Arial" w:hAnsi="Arial" w:cs="Arial"/>
        </w:rPr>
        <w:t xml:space="preserve">housed </w:t>
      </w:r>
      <w:r w:rsidR="00A003EE">
        <w:rPr>
          <w:rFonts w:ascii="Arial" w:hAnsi="Arial" w:cs="Arial"/>
        </w:rPr>
        <w:t xml:space="preserve">separately </w:t>
      </w:r>
      <w:r>
        <w:rPr>
          <w:rFonts w:ascii="Arial" w:hAnsi="Arial" w:cs="Arial"/>
        </w:rPr>
        <w:t xml:space="preserve">after hatching </w:t>
      </w:r>
      <w:r w:rsidR="009B39D4" w:rsidRPr="00FA5D71">
        <w:rPr>
          <w:rFonts w:ascii="Arial" w:hAnsi="Arial" w:cs="Arial"/>
        </w:rPr>
        <w:t xml:space="preserve">because </w:t>
      </w:r>
      <w:r w:rsidR="00A003EE">
        <w:rPr>
          <w:rFonts w:ascii="Arial" w:hAnsi="Arial" w:cs="Arial"/>
        </w:rPr>
        <w:t>it is not</w:t>
      </w:r>
      <w:r w:rsidR="009B39D4" w:rsidRPr="00FA5D71">
        <w:rPr>
          <w:rFonts w:ascii="Arial" w:hAnsi="Arial" w:cs="Arial"/>
        </w:rPr>
        <w:t xml:space="preserve"> possible </w:t>
      </w:r>
      <w:r w:rsidR="00A003EE">
        <w:rPr>
          <w:rFonts w:ascii="Arial" w:hAnsi="Arial" w:cs="Arial"/>
        </w:rPr>
        <w:t>to mark newly-hatched fish</w:t>
      </w:r>
      <w:r w:rsidR="00D90D7F" w:rsidRPr="00FA5D71">
        <w:rPr>
          <w:rFonts w:ascii="Arial" w:hAnsi="Arial" w:cs="Arial"/>
        </w:rPr>
        <w:fldChar w:fldCharType="begin" w:fldLock="1"/>
      </w:r>
      <w:r w:rsidR="00D90D7F" w:rsidRPr="00FA5D71">
        <w:rPr>
          <w:rFonts w:ascii="Arial" w:hAnsi="Arial" w:cs="Arial"/>
        </w:rPr>
        <w:instrText>ADDIN CSL_CITATION {"citationItems":[{"id":"ITEM-1","itemData":{"ISSN":"00074977","abstract":"Fluorescent elastomer injection was used to mark newly settled Hawaiian coral reef fishes (8-56 mm SL) in the laboratory and in the field. Marking success was influenced by depth of subcutaneous tag injection, anatomical location of the tag, pigmentation of the skin at that location, and investigator's experience with the technique. Visibility up to several months and little mortality was achieved with careful handling of the fish and skillful placement of the injection. In the laboratory, mortality related to marking occurred within 24 h of the procedure. Within this time, one mortality was observed for fish &gt; 20 mm SL; fish &lt; 20 mm SL experienced 13% mortality. Fish marked and held in the laboratory showed 100% tag visibility and retention for observation periods up to 76 d. Of 286 fish marked, released and tracked in the field, 67% were regularly resighted for observation periods up to 130 d. Of 59 fish observed in the field for at least 45 d, 36% were resighted; four were resighted at least 100 d after marking. Visibility of one tag was reduced over the first 30 d by growth of surrounding tissue. Because of small tag size and the large number of unique combinations of tag color and injection location, field identification of individuals was possible. Success in recognizing individually marked fish in the field required some observer experience. Although not necessary in this study, under low visibility conditions, resighting success could be enhanced with the use of UV-A filtered light.","author":[{"dropping-particle":"","family":"Frederick","given":"Jennifer L.","non-dropping-particle":"","parse-names":false,"suffix":""}],"container-title":"Bulletin of Marine Science","id":"ITEM-1","issue":"2","issued":{"date-parts":[["1997"]]},"page":"399-408","title":"Evaluation of fluorescent elastomer injection as a method for marking small fish","type":"article-journal","volume":"61"},"uris":["http://www.mendeley.com/documents/?uuid=21d87be2-7646-4c2e-8fcd-c2dcfaf2224e"]},{"id":"ITEM-2","itemData":{"DOI":"10.1007/s00265-016-2206-z","ISSN":"03405443","abstract":"Abstract: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4,5&lt;/sup&gt;","plainTextFormattedCitation":"4,5","previouslyFormattedCitation":"&lt;sup&gt;4,5&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4,5</w:t>
      </w:r>
      <w:r w:rsidR="00D90D7F" w:rsidRPr="00FA5D71">
        <w:rPr>
          <w:rFonts w:ascii="Arial" w:hAnsi="Arial" w:cs="Arial"/>
        </w:rPr>
        <w:fldChar w:fldCharType="end"/>
      </w:r>
      <w:r w:rsidR="00037363" w:rsidRPr="00FA5D71">
        <w:rPr>
          <w:rFonts w:ascii="Arial" w:hAnsi="Arial" w:cs="Arial"/>
        </w:rPr>
        <w:t>.</w:t>
      </w:r>
      <w:r w:rsidR="009B39D4" w:rsidRPr="00FA5D71">
        <w:rPr>
          <w:rFonts w:ascii="Arial" w:hAnsi="Arial" w:cs="Arial"/>
        </w:rPr>
        <w:t xml:space="preserve"> </w:t>
      </w:r>
      <w:commentRangeStart w:id="8"/>
      <w:r w:rsidR="009B39D4" w:rsidRPr="00FA5D71">
        <w:rPr>
          <w:rFonts w:ascii="Arial" w:hAnsi="Arial" w:cs="Arial"/>
        </w:rPr>
        <w:t>Because fish can develop social preferences early in lif</w:t>
      </w:r>
      <w:r w:rsidR="00D90D7F" w:rsidRPr="00FA5D71">
        <w:rPr>
          <w:rFonts w:ascii="Arial" w:hAnsi="Arial" w:cs="Arial"/>
        </w:rPr>
        <w:t>e</w:t>
      </w:r>
      <w:r w:rsidR="00D90D7F" w:rsidRPr="00FA5D71">
        <w:rPr>
          <w:rFonts w:ascii="Arial" w:hAnsi="Arial" w:cs="Arial"/>
        </w:rPr>
        <w:fldChar w:fldCharType="begin" w:fldLock="1"/>
      </w:r>
      <w:r w:rsidR="00D90D7F" w:rsidRPr="00FA5D71">
        <w:rPr>
          <w:rFonts w:ascii="Arial" w:hAnsi="Arial" w:cs="Arial"/>
        </w:rPr>
        <w:instrText>ADDIN CSL_CITATION {"citationItems":[{"id":"ITEM-1","itemData":{"DOI":"10.3389/fncir.2015.00039","ISSN":"16625110","PMID":"26347614","abstract":"Adult zebrafish are robustly social animals whereas larva is not. We designed an assay to determine at what stage of development zebrafish begin to interact with and prefer other fish. One week old zebrafish do not show significant social preference whereas most 3 weeks old zebrafish strongly prefer to remain in a compartment where they can view conspecifics. However, for some individuals, the presence of conspecifics drives avoidance instead of attraction. Social preference is dependent on vision and requires viewing fish of a similar age/size. In addition, over the same 1–3 weeks period larval zebrafish increasingly tend to coordinate their movements, a simple form of social interaction. Finally, social preference and coupled interactions are differentially modified by an NMDAR antagonist and acute exposure to ethanol, both of which are known to alter social behavior in adult zebrafish.","author":[{"dropping-particle":"","family":"Dreosti","given":"Elena","non-dropping-particle":"","parse-names":false,"suffix":""},{"dropping-particle":"","family":"Lopes","given":"Gonçalo","non-dropping-particle":"","parse-names":false,"suffix":""},{"dropping-particle":"","family":"Kampff","given":"Adam R.","non-dropping-particle":"","parse-names":false,"suffix":""},{"dropping-particle":"","family":"Wilson","given":"Stephen W.","non-dropping-particle":"","parse-names":false,"suffix":""}],"container-title":"Frontiers in Neural Circuits","id":"ITEM-1","issue":"AUGUST","issued":{"date-parts":[["2015"]]},"page":"1-9","title":"Development of social behavior in young zebrafish","type":"article-journal","volume":"9"},"uris":["http://www.mendeley.com/documents/?uuid=9f27c011-df57-4fae-a8dd-3dc04d37cb74"]},{"id":"ITEM-2","itemData":{"DOI":"10.1007/s00265-016-2206-z","ISSN":"03405443","abstract":"Abstract: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5,6&lt;/sup&gt;","plainTextFormattedCitation":"5,6","previouslyFormattedCitation":"&lt;sup&gt;5,6&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5,6</w:t>
      </w:r>
      <w:r w:rsidR="00D90D7F" w:rsidRPr="00FA5D71">
        <w:rPr>
          <w:rFonts w:ascii="Arial" w:hAnsi="Arial" w:cs="Arial"/>
        </w:rPr>
        <w:fldChar w:fldCharType="end"/>
      </w:r>
      <w:r w:rsidR="00D90D7F" w:rsidRPr="00FA5D71">
        <w:rPr>
          <w:rFonts w:ascii="Arial" w:hAnsi="Arial" w:cs="Arial"/>
        </w:rPr>
        <w:t>,</w:t>
      </w:r>
      <w:r w:rsidR="009B39D4" w:rsidRPr="00FA5D71">
        <w:rPr>
          <w:rFonts w:ascii="Arial" w:hAnsi="Arial" w:cs="Arial"/>
        </w:rPr>
        <w:t xml:space="preserve"> we did not obstruct potential visual ability to conspecifics. Similarly, to facilitate chemical interactions so as not to impede development because of social isolation, we introduced chemical cues from tanks containing the clutch of fish not selected in the experiment daily during water exchanges</w:t>
      </w:r>
      <w:r w:rsidR="00D90D7F" w:rsidRPr="00FA5D71">
        <w:rPr>
          <w:rFonts w:ascii="Arial" w:hAnsi="Arial" w:cs="Arial"/>
        </w:rPr>
        <w:fldChar w:fldCharType="begin" w:fldLock="1"/>
      </w:r>
      <w:r w:rsidR="00D90D7F" w:rsidRPr="00FA5D71">
        <w:rPr>
          <w:rFonts w:ascii="Arial" w:hAnsi="Arial" w:cs="Arial"/>
        </w:rPr>
        <w:instrText>ADDIN CSL_CITATION {"citationItems":[{"id":"ITEM-1","itemData":{"DOI":"10.1093/beheco/arq152","ISSN":"10452249","abstract":"Information gathered by animals through different sensory modalities at any given point may be aligned, that is, consistent across different senses, or in conflict, where different senses provide different information. This latter instance may occur for a variety of reasons, including differences in speed of dispersal and persistence of some cues relative to others. By gathering information using multiple sensory modalities simultaneously, animals may be able to mediate this conflict and increase decision accuracy. This study examined the use of different sensory modalities over a short spatial range by mosquitofish in locating conspecifics and avoiding a cryptic sympatric predator. Fish were provided with visual and/or chemical cues either separately or simultaneously. Where visual and chemical cues were provided simultaneously, they were either aligned or in conflict. As expected, fish with access to aligned cues generally performed best, approaching a conspecific shoal sooner and spending longer in proximity to the shoal and avoiding approaching the predators for longer and spending less time in proximity to them. Fish with access to conflicting cues performed as well as those with access to aligned cues in overall time spent in proximity to predators, while they were more wary of conspecific visual cues presented in association with predator chemical cues. However, fish with access to conflicting cues were slower to approach conspecific visual cues and, crucially, faster to approach predator visual cues than fish with access to aligned cues. This suggests that although multimodal cue use generally promotes accuracy, the potential remains for conflicting cues to generate risky decisions. © The Author 2010. Published by Oxford University Press on behalf of the International Society for Behavioral Ecology. All rights reserved.","author":[{"dropping-particle":"","family":"Ward","given":"Ashley J.W.","non-dropping-particle":"","parse-names":false,"suffix":""},{"dropping-particle":"","family":"Mehner","given":"Thomas","non-dropping-particle":"","parse-names":false,"suffix":""}],"container-title":"Behavioral Ecology","id":"ITEM-1","issue":"6","issued":{"date-parts":[["2010"]]},"page":"1315-1320","title":"Multimodal mixed messages: The use of multiple cues allows greater accuracy in social recognition and predator detection decisions in the mosquitofish, Gambusia holbrooki","type":"article-journal","volume":"21"},"uris":["http://www.mendeley.com/documents/?uuid=23ba9f5e-928f-4983-9b9a-2484b930e4eb"]},{"id":"ITEM-2","itemData":{"DOI":"10.1007/s00265-016-2206-z","ISSN":"03405443","abstract":"Abstract: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5,7&lt;/sup&gt;","plainTextFormattedCitation":"5,7","previouslyFormattedCitation":"&lt;sup&gt;5,7&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5,7</w:t>
      </w:r>
      <w:r w:rsidR="00D90D7F" w:rsidRPr="00FA5D71">
        <w:rPr>
          <w:rFonts w:ascii="Arial" w:hAnsi="Arial" w:cs="Arial"/>
        </w:rPr>
        <w:fldChar w:fldCharType="end"/>
      </w:r>
      <w:r w:rsidR="009B39D4" w:rsidRPr="00FA5D71">
        <w:rPr>
          <w:rFonts w:ascii="Arial" w:hAnsi="Arial" w:cs="Arial"/>
        </w:rPr>
        <w:t>.</w:t>
      </w:r>
      <w:commentRangeEnd w:id="8"/>
      <w:r w:rsidR="008A2697">
        <w:rPr>
          <w:rStyle w:val="CommentReference"/>
        </w:rPr>
        <w:commentReference w:id="8"/>
      </w:r>
      <w:r w:rsidR="007F46C0" w:rsidRPr="00FA5D71">
        <w:rPr>
          <w:rFonts w:ascii="Arial" w:hAnsi="Arial" w:cs="Arial"/>
        </w:rPr>
        <w:t xml:space="preserve"> </w:t>
      </w:r>
      <w:r w:rsidR="00B05C23">
        <w:rPr>
          <w:rFonts w:ascii="Arial" w:hAnsi="Arial" w:cs="Arial"/>
        </w:rPr>
        <w:t>Each fish</w:t>
      </w:r>
      <w:r w:rsidR="007F46C0" w:rsidRPr="00FA5D71">
        <w:rPr>
          <w:rFonts w:ascii="Arial" w:hAnsi="Arial" w:cs="Arial"/>
        </w:rPr>
        <w:t xml:space="preserve"> w</w:t>
      </w:r>
      <w:r w:rsidR="00B05C23">
        <w:rPr>
          <w:rFonts w:ascii="Arial" w:hAnsi="Arial" w:cs="Arial"/>
        </w:rPr>
        <w:t>as</w:t>
      </w:r>
      <w:r w:rsidR="007F46C0" w:rsidRPr="00FA5D71">
        <w:rPr>
          <w:rFonts w:ascii="Arial" w:hAnsi="Arial" w:cs="Arial"/>
        </w:rPr>
        <w:t xml:space="preserve"> </w:t>
      </w:r>
      <w:r w:rsidR="00B05C23">
        <w:rPr>
          <w:rFonts w:ascii="Arial" w:hAnsi="Arial" w:cs="Arial"/>
        </w:rPr>
        <w:t xml:space="preserve">transferred to a </w:t>
      </w:r>
      <w:commentRangeStart w:id="9"/>
      <w:r w:rsidR="007F46C0" w:rsidRPr="00FA5D71">
        <w:rPr>
          <w:rFonts w:ascii="Arial" w:hAnsi="Arial" w:cs="Arial"/>
        </w:rPr>
        <w:t xml:space="preserve">glass vessel </w:t>
      </w:r>
      <w:commentRangeEnd w:id="9"/>
      <w:r w:rsidR="00B05C23">
        <w:rPr>
          <w:rStyle w:val="CommentReference"/>
        </w:rPr>
        <w:commentReference w:id="9"/>
      </w:r>
      <w:r w:rsidR="007F46C0" w:rsidRPr="00FA5D71">
        <w:rPr>
          <w:rFonts w:ascii="Arial" w:hAnsi="Arial" w:cs="Arial"/>
        </w:rPr>
        <w:t xml:space="preserve"> at </w:t>
      </w:r>
      <w:r w:rsidR="00494BDC" w:rsidRPr="00FA5D71">
        <w:rPr>
          <w:rFonts w:ascii="Arial" w:hAnsi="Arial" w:cs="Arial"/>
        </w:rPr>
        <w:t>49</w:t>
      </w:r>
      <w:r w:rsidR="007F46C0" w:rsidRPr="00FA5D71">
        <w:rPr>
          <w:rFonts w:ascii="Arial" w:hAnsi="Arial" w:cs="Arial"/>
        </w:rPr>
        <w:t xml:space="preserve"> </w:t>
      </w:r>
      <w:proofErr w:type="spellStart"/>
      <w:r w:rsidR="007F46C0" w:rsidRPr="00FA5D71">
        <w:rPr>
          <w:rFonts w:ascii="Arial" w:hAnsi="Arial" w:cs="Arial"/>
        </w:rPr>
        <w:t>dpf</w:t>
      </w:r>
      <w:proofErr w:type="spellEnd"/>
      <w:r w:rsidR="00B05C23">
        <w:rPr>
          <w:rFonts w:ascii="Arial" w:hAnsi="Arial" w:cs="Arial"/>
        </w:rPr>
        <w:t>,</w:t>
      </w:r>
      <w:r w:rsidR="007F46C0" w:rsidRPr="00FA5D71">
        <w:rPr>
          <w:rFonts w:ascii="Arial" w:hAnsi="Arial" w:cs="Arial"/>
        </w:rPr>
        <w:t xml:space="preserve"> and </w:t>
      </w:r>
      <w:r w:rsidR="00B05C23">
        <w:rPr>
          <w:rFonts w:ascii="Arial" w:hAnsi="Arial" w:cs="Arial"/>
        </w:rPr>
        <w:t xml:space="preserve">then to </w:t>
      </w:r>
      <w:r w:rsidR="007F46C0" w:rsidRPr="00FA5D71">
        <w:rPr>
          <w:rFonts w:ascii="Arial" w:hAnsi="Arial" w:cs="Arial"/>
        </w:rPr>
        <w:t xml:space="preserve">a </w:t>
      </w:r>
      <w:r w:rsidR="00494BDC" w:rsidRPr="00FA5D71">
        <w:rPr>
          <w:rFonts w:ascii="Arial" w:hAnsi="Arial" w:cs="Arial"/>
        </w:rPr>
        <w:t>1.8</w:t>
      </w:r>
      <w:r w:rsidR="007F46C0" w:rsidRPr="00FA5D71">
        <w:rPr>
          <w:rFonts w:ascii="Arial" w:hAnsi="Arial" w:cs="Arial"/>
        </w:rPr>
        <w:t xml:space="preserve"> L tank in an </w:t>
      </w:r>
      <w:proofErr w:type="spellStart"/>
      <w:r w:rsidR="007F46C0" w:rsidRPr="00FA5D71">
        <w:rPr>
          <w:rFonts w:ascii="Arial" w:hAnsi="Arial" w:cs="Arial"/>
        </w:rPr>
        <w:t>Aquaneering</w:t>
      </w:r>
      <w:proofErr w:type="spellEnd"/>
      <w:r w:rsidR="007F46C0" w:rsidRPr="00FA5D71">
        <w:rPr>
          <w:rFonts w:ascii="Arial" w:hAnsi="Arial" w:cs="Arial"/>
        </w:rPr>
        <w:t xml:space="preserve"> Flow Through System at </w:t>
      </w:r>
      <w:r w:rsidR="00494BDC" w:rsidRPr="00FA5D71">
        <w:rPr>
          <w:rFonts w:ascii="Arial" w:hAnsi="Arial" w:cs="Arial"/>
        </w:rPr>
        <w:t>77</w:t>
      </w:r>
      <w:r w:rsidR="007F46C0" w:rsidRPr="00FA5D71">
        <w:rPr>
          <w:rFonts w:ascii="Arial" w:hAnsi="Arial" w:cs="Arial"/>
        </w:rPr>
        <w:t xml:space="preserve"> </w:t>
      </w:r>
      <w:proofErr w:type="spellStart"/>
      <w:r w:rsidR="007F46C0" w:rsidRPr="00FA5D71">
        <w:rPr>
          <w:rFonts w:ascii="Arial" w:hAnsi="Arial" w:cs="Arial"/>
        </w:rPr>
        <w:t>dpf</w:t>
      </w:r>
      <w:proofErr w:type="spellEnd"/>
      <w:r w:rsidR="00B05C23">
        <w:rPr>
          <w:rFonts w:ascii="Arial" w:hAnsi="Arial" w:cs="Arial"/>
        </w:rPr>
        <w:t xml:space="preserve"> where they </w:t>
      </w:r>
      <w:r w:rsidR="00813B09" w:rsidRPr="00FA5D71">
        <w:rPr>
          <w:rFonts w:ascii="Arial" w:hAnsi="Arial" w:cs="Arial"/>
        </w:rPr>
        <w:t>remain</w:t>
      </w:r>
      <w:r w:rsidR="00B05C23">
        <w:rPr>
          <w:rFonts w:ascii="Arial" w:hAnsi="Arial" w:cs="Arial"/>
        </w:rPr>
        <w:t>ed for the</w:t>
      </w:r>
      <w:r w:rsidR="00813B09" w:rsidRPr="00FA5D71">
        <w:rPr>
          <w:rFonts w:ascii="Arial" w:hAnsi="Arial" w:cs="Arial"/>
        </w:rPr>
        <w:t xml:space="preserve"> </w:t>
      </w:r>
      <w:r w:rsidR="00E01BE7">
        <w:rPr>
          <w:rFonts w:ascii="Arial" w:hAnsi="Arial" w:cs="Arial"/>
        </w:rPr>
        <w:t xml:space="preserve">rest </w:t>
      </w:r>
      <w:r w:rsidR="00813B09" w:rsidRPr="00FA5D71">
        <w:rPr>
          <w:rFonts w:ascii="Arial" w:hAnsi="Arial" w:cs="Arial"/>
        </w:rPr>
        <w:t>of the experiment</w:t>
      </w:r>
      <w:r w:rsidR="007F46C0" w:rsidRPr="00FA5D71">
        <w:rPr>
          <w:rFonts w:ascii="Arial" w:hAnsi="Arial" w:cs="Arial"/>
        </w:rPr>
        <w:t>.</w:t>
      </w:r>
      <w:r w:rsidR="00037363" w:rsidRPr="00FA5D71">
        <w:rPr>
          <w:rFonts w:ascii="Arial" w:hAnsi="Arial" w:cs="Arial"/>
        </w:rPr>
        <w:t xml:space="preserve"> </w:t>
      </w:r>
    </w:p>
    <w:p w14:paraId="2467E520" w14:textId="77777777" w:rsidR="002B07D5" w:rsidRPr="00FA5D71" w:rsidRDefault="002B07D5" w:rsidP="00D147E4">
      <w:pPr>
        <w:spacing w:after="0" w:line="480" w:lineRule="auto"/>
        <w:ind w:firstLine="720"/>
        <w:rPr>
          <w:rFonts w:ascii="Arial" w:hAnsi="Arial" w:cs="Arial"/>
        </w:rPr>
      </w:pPr>
    </w:p>
    <w:p w14:paraId="3A09C9ED" w14:textId="243E1F46" w:rsidR="00037363" w:rsidRPr="00FA5D71" w:rsidRDefault="00037363" w:rsidP="00037363">
      <w:pPr>
        <w:spacing w:after="0" w:line="480" w:lineRule="auto"/>
        <w:rPr>
          <w:rFonts w:ascii="Arial" w:hAnsi="Arial" w:cs="Arial"/>
          <w:i/>
          <w:iCs/>
        </w:rPr>
      </w:pPr>
      <w:commentRangeStart w:id="10"/>
      <w:r w:rsidRPr="00FA5D71">
        <w:rPr>
          <w:rFonts w:ascii="Arial" w:hAnsi="Arial" w:cs="Arial"/>
          <w:i/>
          <w:iCs/>
        </w:rPr>
        <w:t>Embryonic-Exposure Assay</w:t>
      </w:r>
      <w:commentRangeEnd w:id="10"/>
      <w:r w:rsidR="00216782">
        <w:rPr>
          <w:rStyle w:val="CommentReference"/>
        </w:rPr>
        <w:commentReference w:id="10"/>
      </w:r>
    </w:p>
    <w:p w14:paraId="24945141" w14:textId="0A7ADE77" w:rsidR="00037363" w:rsidRPr="00FA5D71" w:rsidRDefault="00037363" w:rsidP="00813B09">
      <w:pPr>
        <w:spacing w:after="0" w:line="480" w:lineRule="auto"/>
        <w:rPr>
          <w:rFonts w:ascii="Arial" w:hAnsi="Arial" w:cs="Arial"/>
        </w:rPr>
      </w:pPr>
      <w:r w:rsidRPr="00FA5D71">
        <w:rPr>
          <w:rFonts w:ascii="Arial" w:hAnsi="Arial" w:cs="Arial"/>
        </w:rPr>
        <w:t>Fish develop quickly; within 17 hours after fertilization, convulsive behaviors can be detected</w:t>
      </w:r>
      <w:r w:rsidR="001E7761" w:rsidRPr="00FA5D71">
        <w:rPr>
          <w:rFonts w:ascii="Arial" w:hAnsi="Arial" w:cs="Arial"/>
        </w:rPr>
        <w:t xml:space="preserve"> </w:t>
      </w:r>
      <w:r w:rsidR="001E7761" w:rsidRPr="00FA5D71">
        <w:rPr>
          <w:rFonts w:ascii="Arial" w:hAnsi="Arial" w:cs="Arial"/>
          <w:highlight w:val="cyan"/>
        </w:rPr>
        <w:t>(</w:t>
      </w:r>
      <w:commentRangeStart w:id="11"/>
      <w:commentRangeStart w:id="12"/>
      <w:r w:rsidR="00494BDC" w:rsidRPr="00FA5D71">
        <w:rPr>
          <w:rFonts w:ascii="Arial" w:hAnsi="Arial" w:cs="Arial"/>
          <w:highlight w:val="cyan"/>
        </w:rPr>
        <w:t>CITE</w:t>
      </w:r>
      <w:commentRangeEnd w:id="11"/>
      <w:r w:rsidR="00813B09" w:rsidRPr="00FA5D71">
        <w:rPr>
          <w:rStyle w:val="CommentReference"/>
          <w:rFonts w:ascii="Arial" w:hAnsi="Arial" w:cs="Arial"/>
          <w:sz w:val="22"/>
          <w:szCs w:val="22"/>
        </w:rPr>
        <w:commentReference w:id="11"/>
      </w:r>
      <w:commentRangeEnd w:id="12"/>
      <w:r w:rsidR="0060774B">
        <w:rPr>
          <w:rStyle w:val="CommentReference"/>
        </w:rPr>
        <w:commentReference w:id="12"/>
      </w:r>
      <w:r w:rsidR="001E7761" w:rsidRPr="00FA5D71">
        <w:rPr>
          <w:rFonts w:ascii="Arial" w:hAnsi="Arial" w:cs="Arial"/>
          <w:highlight w:val="cyan"/>
        </w:rPr>
        <w:t>)</w:t>
      </w:r>
      <w:r w:rsidRPr="00FA5D71">
        <w:rPr>
          <w:rFonts w:ascii="Arial" w:hAnsi="Arial" w:cs="Arial"/>
        </w:rPr>
        <w:t>. Burst activity reflects the development of the nervous system and is especially useful in understanding how neurological disruption develops as the fish does</w:t>
      </w:r>
      <w:commentRangeStart w:id="13"/>
      <w:commentRangeStart w:id="14"/>
      <w:r w:rsidR="00D90D7F" w:rsidRPr="00FA5D71">
        <w:rPr>
          <w:rFonts w:ascii="Arial" w:hAnsi="Arial" w:cs="Arial"/>
        </w:rPr>
        <w:fldChar w:fldCharType="begin" w:fldLock="1"/>
      </w:r>
      <w:r w:rsidR="00D90D7F" w:rsidRPr="00FA5D71">
        <w:rPr>
          <w:rFonts w:ascii="Arial" w:hAnsi="Arial" w:cs="Arial"/>
        </w:rPr>
        <w:instrText>ADDIN CSL_CITATION {"citationItems":[{"id":"ITEM-1","itemData":{"DOI":"10.1016/j.clinph.2005.02.025","ISSN":"13882457","PMID":"15953555","abstract":"Objective: To investigate whether very low EEG frequency activity can be recorded from post asphyctic full term neonates using EEG equipment where the high pass filter level was lowered to 0.05 Hz. Methods: The time constant of the amplifier hardware was set to 3.2 s in order to enable recordings that equal to a high pass filter cut off at 0.05 Hz. Burst episodes were selected from the EEGs of 5 post asphyctic full term neonates. The episodes were analysed visually using different montages and subjected to power spectrum analysis. Powers in two bands were estimated; 0-1 and 1-4 Hz, designated very low- and low-frequency activity, respectively (VLFA, LFA). Results: In all infants, VLFA coinciding with the burst episodes could be detected. The duration of the VLFA was about the same as that of the burst episode i.e. around 4 s. The activity was most prominent over the posterior regions. In this small material, a large amount of VLFA neonatally seemed to possibly be related to a more favourable prognosis. Conclusions: VLFA can be recorded from post asphyctic full term neonates using EEG equipment with lowered cut off frequency for the high pass filter. Significance: VLFA normally disregarded due to filtering, is present in the EEG of sick neonates and may carry important clinical information. © 2005 International Federation of Clinical Neurophysiology. Published by Elsevier Ireland Ltd. All rights reserved.","author":[{"dropping-particle":"","family":"Thordstein","given":"M.","non-dropping-particle":"","parse-names":false,"suffix":""},{"dropping-particle":"","family":"Löfgren","given":"N.","non-dropping-particle":"","parse-names":false,"suffix":""},{"dropping-particle":"","family":"Flisberg","given":"A.","non-dropping-particle":"","parse-names":false,"suffix":""},{"dropping-particle":"","family":"Bågenholm","given":"R.","non-dropping-particle":"","parse-names":false,"suffix":""},{"dropping-particle":"","family":"Lindecrantz","given":"K.","non-dropping-particle":"","parse-names":false,"suffix":""},{"dropping-particle":"","family":"Kjellmer","given":"I.","non-dropping-particle":"","parse-names":false,"suffix":""}],"container-title":"Clinical Neurophysiology","id":"ITEM-1","issue":"7","issued":{"date-parts":[["2005"]]},"page":"1501-1506","title":"Infraslow EEG activity in burst periods from post asphyctic full term neonates","type":"article-journal","volume":"116"},"uris":["http://www.mendeley.com/documents/?uuid=5cdaaabe-f656-4079-af9f-ffcb5d7dd216"]},{"id":"ITEM-2","itemData":{"DOI":"10.1152/jn.00995.2015","ISSN":"15221598","PMID":"26984425","abstract":"The goal of this work was to define the contributions of intrinsic and synaptic mechanisms toward spontaneous network-wide bursting activity, observed in dissociated rat hippocampal cell cultures. This network behavior is typically characterized by short-duration bursts, separated by order of magnitude longer interburst intervals. We hypothesize that while shorttimescale synaptic processes modulate spectro-temporal intraburst properties and network-wide burst propagation, much longer timescales of intrinsic membrane properties such as persistent sodium (Nap) currents govern burst onset during interburst intervals. To test this, we used synaptic receptor antagonists picrotoxin, 6-cyano-7- nitroquinoxaline-2,3-dione (CNQX), and 3-(2-carboxypiperazine-4- yl)propyl-1-phosphonate (CPP) to selectively block GABAA, AMPA, and NMDA receptors and riluzole to selectively block Nap channels. We systematically compared intracellular activity (recorded with patch clamp) and network activity (recorded with multielectrode arrays) in eight different synaptic connectivity conditions: GABAA + NMDA + AMPA, NMDA + AMPA, GABAA + AMPA, GABAA + NMDA, AMPA, NMDA, GABAA, and all receptors blocked. Furthermore, we used mixed-effects modeling to quantify the aforementioned independent and interactive synaptic receptor contributions toward spectro-temporal burst properties including intraburst spike rate, burst activity index, burst duration, power in the local field potential, network connectivity, and transmission delays. We found that blocking intrinsic Nap currents completely abolished bursting activity, demonstrating their critical role in burst onset within the network. On the other hand, blocking different combinations of synaptic receptors revealed that spectro-temporal burst properties are uniquely associated with synaptic functionality and that excitatory connectivity is necessary for the presence of network-wide bursting. In addition to confirming the critical contribution of direct excitatory effects, mixed-effects modeling also revealed distinct combined (nonlinear) contributions of excitatory and inhibitory synaptic activity to network bursting properties.","author":[{"dropping-particle":"","family":"Suresh","given":"Jyothsna","non-dropping-particle":"","parse-names":false,"suffix":""},{"dropping-particle":"","family":"Radojicic","given":"Mihailo","non-dropping-particle":"","parse-names":false,"suffix":""},{"dropping-particle":"","family":"Pesce","given":"Lorenzo L.","non-dropping-particle":"","parse-names":false,"suffix":""},{"dropping-particle":"","family":"Bhansali","given":"Anita","non-dropping-particle":"","parse-names":false,"suffix":""},{"dropping-particle":"","family":"Wang","given":"Janice","non-dropping-particle":"","parse-names":false,"suffix":""},{"dropping-particle":"","family":"Tryba","given":"Andrew K.","non-dropping-particle":"","parse-names":false,"suffix":""},{"dropping-particle":"","family":"Marks","given":"Jeremy D.","non-dropping-particle":"","parse-names":false,"suffix":""},{"dropping-particle":"","family":"Drongelen","given":"Wim","non-dropping-particle":"Van","parse-names":false,"suffix":""}],"container-title":"Journal of Neurophysiology","id":"ITEM-2","issue":"6","issued":{"date-parts":[["2016"]]},"page":"3073-3089","title":"Network burst activity in hippocampal neuronal cultures: The role of synaptic and intrinsic currents","type":"article-journal","volume":"115"},"uris":["http://www.mendeley.com/documents/?uuid=48518f60-b393-4fbf-8d99-ca9e149ffa55"]}],"mendeley":{"formattedCitation":"&lt;sup&gt;8,9&lt;/sup&gt;","plainTextFormattedCitation":"8,9","previouslyFormattedCitation":"&lt;sup&gt;8,9&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8,9</w:t>
      </w:r>
      <w:r w:rsidR="00D90D7F" w:rsidRPr="00FA5D71">
        <w:rPr>
          <w:rFonts w:ascii="Arial" w:hAnsi="Arial" w:cs="Arial"/>
        </w:rPr>
        <w:fldChar w:fldCharType="end"/>
      </w:r>
      <w:commentRangeEnd w:id="13"/>
      <w:r w:rsidR="00D90D7F" w:rsidRPr="00FA5D71">
        <w:rPr>
          <w:rStyle w:val="CommentReference"/>
          <w:rFonts w:ascii="Arial" w:hAnsi="Arial" w:cs="Arial"/>
          <w:sz w:val="22"/>
          <w:szCs w:val="22"/>
        </w:rPr>
        <w:commentReference w:id="13"/>
      </w:r>
      <w:commentRangeEnd w:id="14"/>
      <w:r w:rsidR="0060774B">
        <w:rPr>
          <w:rStyle w:val="CommentReference"/>
        </w:rPr>
        <w:commentReference w:id="14"/>
      </w:r>
      <w:r w:rsidRPr="00FA5D71">
        <w:rPr>
          <w:rFonts w:ascii="Arial" w:hAnsi="Arial" w:cs="Arial"/>
        </w:rPr>
        <w:t xml:space="preserve">. Embryos were </w:t>
      </w:r>
      <w:r w:rsidR="001E7761" w:rsidRPr="00FA5D71">
        <w:rPr>
          <w:rFonts w:ascii="Arial" w:hAnsi="Arial" w:cs="Arial"/>
        </w:rPr>
        <w:t xml:space="preserve">individually </w:t>
      </w:r>
      <w:r w:rsidRPr="00FA5D71">
        <w:rPr>
          <w:rFonts w:ascii="Arial" w:hAnsi="Arial" w:cs="Arial"/>
        </w:rPr>
        <w:t xml:space="preserve">placed in a 3.6 cm diameter petri </w:t>
      </w:r>
      <w:r w:rsidR="001E7761" w:rsidRPr="00FA5D71">
        <w:rPr>
          <w:rFonts w:ascii="Arial" w:hAnsi="Arial" w:cs="Arial"/>
        </w:rPr>
        <w:t>dish</w:t>
      </w:r>
      <w:r w:rsidRPr="00FA5D71">
        <w:rPr>
          <w:rFonts w:ascii="Arial" w:hAnsi="Arial" w:cs="Arial"/>
        </w:rPr>
        <w:t xml:space="preserve">. 60-second videos of larvae were taken using </w:t>
      </w:r>
      <w:r w:rsidR="00BD0D39" w:rsidRPr="00FA5D71">
        <w:rPr>
          <w:rFonts w:ascii="Arial" w:hAnsi="Arial" w:cs="Arial"/>
        </w:rPr>
        <w:t xml:space="preserve">a LED low heat stereo microscope and 5 MP camera (SZM series; </w:t>
      </w:r>
      <w:proofErr w:type="spellStart"/>
      <w:r w:rsidR="00BD0D39" w:rsidRPr="00FA5D71">
        <w:rPr>
          <w:rFonts w:ascii="Arial" w:hAnsi="Arial" w:cs="Arial"/>
        </w:rPr>
        <w:t>AmScope</w:t>
      </w:r>
      <w:proofErr w:type="spellEnd"/>
      <w:r w:rsidR="00BD0D39" w:rsidRPr="00FA5D71">
        <w:rPr>
          <w:rFonts w:ascii="Arial" w:hAnsi="Arial" w:cs="Arial"/>
        </w:rPr>
        <w:t xml:space="preserve">, CA, USA) and recorded via </w:t>
      </w:r>
      <w:proofErr w:type="spellStart"/>
      <w:r w:rsidR="00BD0D39" w:rsidRPr="00FA5D71">
        <w:rPr>
          <w:rFonts w:ascii="Arial" w:hAnsi="Arial" w:cs="Arial"/>
        </w:rPr>
        <w:t>TCapture</w:t>
      </w:r>
      <w:proofErr w:type="spellEnd"/>
      <w:r w:rsidR="00BD0D39" w:rsidRPr="00FA5D71">
        <w:rPr>
          <w:rFonts w:ascii="Arial" w:hAnsi="Arial" w:cs="Arial"/>
        </w:rPr>
        <w:t xml:space="preserve"> (</w:t>
      </w:r>
      <w:proofErr w:type="spellStart"/>
      <w:r w:rsidR="00BD0D39" w:rsidRPr="00FA5D71">
        <w:rPr>
          <w:rFonts w:ascii="Arial" w:hAnsi="Arial" w:cs="Arial"/>
        </w:rPr>
        <w:t>Tucsen</w:t>
      </w:r>
      <w:proofErr w:type="spellEnd"/>
      <w:r w:rsidR="00BD0D39" w:rsidRPr="00FA5D71">
        <w:rPr>
          <w:rFonts w:ascii="Arial" w:hAnsi="Arial" w:cs="Arial"/>
        </w:rPr>
        <w:t xml:space="preserve"> Photonics Co., Ltd., </w:t>
      </w:r>
      <w:proofErr w:type="spellStart"/>
      <w:r w:rsidR="00BD0D39" w:rsidRPr="00FA5D71">
        <w:rPr>
          <w:rFonts w:ascii="Arial" w:hAnsi="Arial" w:cs="Arial"/>
        </w:rPr>
        <w:t>Jujian</w:t>
      </w:r>
      <w:proofErr w:type="spellEnd"/>
      <w:r w:rsidR="00BD0D39" w:rsidRPr="00FA5D71">
        <w:rPr>
          <w:rFonts w:ascii="Arial" w:hAnsi="Arial" w:cs="Arial"/>
        </w:rPr>
        <w:t>, PRC) imaging software at a frame rate of approximately 6 fps.</w:t>
      </w:r>
      <w:r w:rsidRPr="00FA5D71">
        <w:rPr>
          <w:rFonts w:ascii="Arial" w:hAnsi="Arial" w:cs="Arial"/>
        </w:rPr>
        <w:t xml:space="preserve"> Videos were imported into </w:t>
      </w:r>
      <w:proofErr w:type="spellStart"/>
      <w:r w:rsidRPr="00FA5D71">
        <w:rPr>
          <w:rFonts w:ascii="Arial" w:hAnsi="Arial" w:cs="Arial"/>
        </w:rPr>
        <w:t>Danioscope</w:t>
      </w:r>
      <w:proofErr w:type="spellEnd"/>
      <w:r w:rsidRPr="00FA5D71">
        <w:rPr>
          <w:rFonts w:ascii="Arial" w:hAnsi="Arial" w:cs="Arial"/>
        </w:rPr>
        <w:t xml:space="preserve"> software (Noldus Information, Wageningen, Netherlands) as a </w:t>
      </w:r>
      <w:commentRangeStart w:id="15"/>
      <w:r w:rsidRPr="00FA5D71">
        <w:rPr>
          <w:rFonts w:ascii="Arial" w:hAnsi="Arial" w:cs="Arial"/>
        </w:rPr>
        <w:t>compressed AV</w:t>
      </w:r>
      <w:commentRangeEnd w:id="15"/>
      <w:r w:rsidRPr="00FA5D71">
        <w:rPr>
          <w:rStyle w:val="CommentReference"/>
          <w:rFonts w:ascii="Arial" w:hAnsi="Arial" w:cs="Arial"/>
          <w:sz w:val="22"/>
          <w:szCs w:val="22"/>
        </w:rPr>
        <w:commentReference w:id="15"/>
      </w:r>
      <w:r w:rsidRPr="00FA5D71">
        <w:rPr>
          <w:rFonts w:ascii="Arial" w:hAnsi="Arial" w:cs="Arial"/>
        </w:rPr>
        <w:t xml:space="preserve">I file, where activity and burst </w:t>
      </w:r>
      <w:r w:rsidRPr="00FA5D71">
        <w:rPr>
          <w:rFonts w:ascii="Arial" w:hAnsi="Arial" w:cs="Arial"/>
        </w:rPr>
        <w:lastRenderedPageBreak/>
        <w:t>count measurements were calculated.</w:t>
      </w:r>
      <w:r w:rsidR="00D90D7F" w:rsidRPr="00FA5D71">
        <w:rPr>
          <w:rFonts w:ascii="Arial" w:hAnsi="Arial" w:cs="Arial"/>
        </w:rPr>
        <w:t xml:space="preserve"> Burst activity was measured as the percentage of time the embryo was moving from the total test duration. Burst count, or the number of times the embryo moved, was also calculated, along with the burst duration, or the total time spent active.</w:t>
      </w:r>
      <w:r w:rsidR="00895323" w:rsidRPr="00FA5D71">
        <w:rPr>
          <w:rFonts w:ascii="Arial" w:hAnsi="Arial" w:cs="Arial"/>
        </w:rPr>
        <w:t xml:space="preserve"> </w:t>
      </w:r>
      <w:r w:rsidR="00895323" w:rsidRPr="00FA5D71">
        <w:rPr>
          <w:rFonts w:ascii="Arial" w:hAnsi="Arial" w:cs="Arial"/>
          <w:highlight w:val="cyan"/>
        </w:rPr>
        <w:t xml:space="preserve">NOTE: I have not written a results section on this until we know that the numbers from </w:t>
      </w:r>
      <w:proofErr w:type="spellStart"/>
      <w:r w:rsidR="00895323" w:rsidRPr="00FA5D71">
        <w:rPr>
          <w:rFonts w:ascii="Arial" w:hAnsi="Arial" w:cs="Arial"/>
          <w:highlight w:val="cyan"/>
        </w:rPr>
        <w:t>Danioscope</w:t>
      </w:r>
      <w:proofErr w:type="spellEnd"/>
      <w:r w:rsidR="00895323" w:rsidRPr="00FA5D71">
        <w:rPr>
          <w:rFonts w:ascii="Arial" w:hAnsi="Arial" w:cs="Arial"/>
          <w:highlight w:val="cyan"/>
        </w:rPr>
        <w:t xml:space="preserve"> are correct</w:t>
      </w:r>
    </w:p>
    <w:p w14:paraId="11089128" w14:textId="77777777" w:rsidR="00216782" w:rsidRDefault="00216782" w:rsidP="00BD0D39">
      <w:pPr>
        <w:spacing w:after="0" w:line="480" w:lineRule="auto"/>
        <w:rPr>
          <w:rFonts w:ascii="Arial" w:hAnsi="Arial" w:cs="Arial"/>
          <w:b/>
          <w:bCs/>
        </w:rPr>
      </w:pPr>
    </w:p>
    <w:p w14:paraId="7F52227A" w14:textId="0B051093" w:rsidR="00BD0D39" w:rsidRPr="00FA5D71" w:rsidRDefault="00B038C9" w:rsidP="00BD0D39">
      <w:pPr>
        <w:spacing w:after="0" w:line="480" w:lineRule="auto"/>
        <w:rPr>
          <w:rFonts w:ascii="Arial" w:hAnsi="Arial" w:cs="Arial"/>
          <w:b/>
          <w:bCs/>
        </w:rPr>
      </w:pPr>
      <w:commentRangeStart w:id="16"/>
      <w:r>
        <w:rPr>
          <w:rFonts w:ascii="Arial" w:hAnsi="Arial" w:cs="Arial"/>
          <w:b/>
          <w:bCs/>
        </w:rPr>
        <w:t>Behavioral</w:t>
      </w:r>
      <w:r w:rsidR="00B730A7">
        <w:rPr>
          <w:rFonts w:ascii="Arial" w:hAnsi="Arial" w:cs="Arial"/>
          <w:b/>
          <w:bCs/>
        </w:rPr>
        <w:t xml:space="preserve"> </w:t>
      </w:r>
      <w:r w:rsidR="009A2125">
        <w:rPr>
          <w:rFonts w:ascii="Arial" w:hAnsi="Arial" w:cs="Arial"/>
          <w:b/>
          <w:bCs/>
        </w:rPr>
        <w:t>tests</w:t>
      </w:r>
      <w:commentRangeEnd w:id="16"/>
      <w:r w:rsidR="00D210F2">
        <w:rPr>
          <w:rStyle w:val="CommentReference"/>
        </w:rPr>
        <w:commentReference w:id="16"/>
      </w:r>
    </w:p>
    <w:p w14:paraId="159C179B" w14:textId="7484B0A3" w:rsidR="001A20F6" w:rsidRDefault="00BD0D39" w:rsidP="00494BDC">
      <w:pPr>
        <w:spacing w:after="0" w:line="480" w:lineRule="auto"/>
        <w:rPr>
          <w:rFonts w:ascii="Arial" w:hAnsi="Arial" w:cs="Arial"/>
        </w:rPr>
      </w:pPr>
      <w:commentRangeStart w:id="17"/>
      <w:r w:rsidRPr="00FA5D71">
        <w:rPr>
          <w:rFonts w:ascii="Arial" w:hAnsi="Arial" w:cs="Arial"/>
        </w:rPr>
        <w:t>Symptoms of BMAA neurotoxic effects can have a long latency to be expressed following exposure</w:t>
      </w:r>
      <w:r w:rsidR="00D90D7F" w:rsidRPr="00FA5D71">
        <w:rPr>
          <w:rFonts w:ascii="Arial" w:hAnsi="Arial" w:cs="Arial"/>
        </w:rPr>
        <w:fldChar w:fldCharType="begin" w:fldLock="1"/>
      </w:r>
      <w:r w:rsidR="00F6453B" w:rsidRPr="00FA5D71">
        <w:rPr>
          <w:rFonts w:ascii="Arial" w:hAnsi="Arial" w:cs="Arial"/>
        </w:rPr>
        <w:instrText>ADDIN CSL_CITATION {"citationItems":[{"id":"ITEM-1","itemData":{"DOI":"10.1016/j.neuro.2020.04.007","ISSN":"18729711","PMID":"32380192","abstract":"β-N-Methylamino-L-alanine (BMAA), a neurotoxin naturally produced by cyanobacteria, diatoms and dinoflagellates, constitutes a serious environmental and health threat especially during acute blooms, which are becoming more frequent. This neurotoxin is implicated in several neurodegenerative diseases (ND) in humans through contaminated water or food consumption. Even low doses of neurotoxic compounds (NCs) can have lasting effects later in life. In this sense, early stages of development constitute a period of high sensitivity to environmental influence, particularly for the central nervous system. To understand the mechanisms underlying the delayed effects of NCs, newly hatched larvae of the mangrove rivulus fish, Kryptolebias marmoratus, were exposed to two sub-lethal doses of BMAA (20 μg/L and 15 mg/L) for 14 days. This fish naturally produces isogenic lineages due to its self-fertilizing reproduction, which is unique case among vertebrates. It thus provides genetic characteristics that allow scientists to study organisms’ true reaction norm, minimizing genetic variability and focusing exclusively on the effects of the environment. Effect assessment was performed at different levels of biological organization to detect inconspicuous effects of BMAA, since this molecule displays long retention in organisms. BMAA effects on life history traits as well as behavioral traits such as boldness and aggressiveness were assessed more than 100 days after exposure. In addition, the relative expression of 7 potential BMAA target genes was studied, given their involvement in neurotransmission or their association with individual variation in boldness and aggressiveness. Selected genes code for reticulon 4 (RTN4), glutamate vesicular transporter 1 (Slc17a7), glutamine synthetase a (Glula), dopamine receptor D4 (DRD4), monoamine oxidase A (MAOA), calmodulin (CaM) and epedymine (Epd). Despite observing no effects of BMAA on growth, reproduction and behavioral traits, BMAA induced a significant increase of the expression of CaM and MAOA genes at 20 μg/L BMAA compared to the control group. A significant decrease of expression was observed between this lowest BMAA dose and 15 mg/L for DRD4, MAOA and CaM genes. Our results suggest disruption of glutamate turnover, intracellular dopamine depletion and activation of astrocyte protective mechanisms, indicating that BMAA might be excitotoxic. Our study revealed that BMAA can have long-lasting effects on the brain that are sus…","author":[{"dropping-particle":"","family":"Carion","given":"Alessandra","non-dropping-particle":"","parse-names":false,"suffix":""},{"dropping-particle":"","family":"Markey","given":"Angèle","non-dropping-particle":"","parse-names":false,"suffix":""},{"dropping-particle":"","family":"Hétru","given":"Julie","non-dropping-particle":"","parse-names":false,"suffix":""},{"dropping-particle":"","family":"Carpentier","given":"Camille","non-dropping-particle":"","parse-names":false,"suffix":""},{"dropping-particle":"","family":"Suarez-Ulloa","given":"Victoria","non-dropping-particle":"","parse-names":false,"suffix":""},{"dropping-particle":"","family":"Denoël","given":"Mathieu","non-dropping-particle":"","parse-names":false,"suffix":""},{"dropping-particle":"","family":"Earley","given":"Ryan L.","non-dropping-particle":"","parse-names":false,"suffix":""},{"dropping-particle":"","family":"Silvestre","given":"Frédéric","non-dropping-particle":"","parse-names":false,"suffix":""}],"container-title":"NeuroToxicology","id":"ITEM-1","issue":"June 2019","issued":{"date-parts":[["2020"]]},"page":"110-121","publisher":"Elsevier","title":"Behavior and gene expression in the brain of adult self-fertilizing mangrove rivulus fish (Kryptolebias marmoratus) after early life exposure to the neurotoxin β-N-methylamino-L-alanine (BMAA)","type":"article-journal","volume":"79"},"uris":["http://www.mendeley.com/documents/?uuid=17a004fb-0914-443e-9518-34b89da8b7db"]}],"mendeley":{"formattedCitation":"&lt;sup&gt;10&lt;/sup&gt;","plainTextFormattedCitation":"10","previouslyFormattedCitation":"&lt;sup&gt;10&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10</w:t>
      </w:r>
      <w:r w:rsidR="00D90D7F" w:rsidRPr="00FA5D71">
        <w:rPr>
          <w:rFonts w:ascii="Arial" w:hAnsi="Arial" w:cs="Arial"/>
        </w:rPr>
        <w:fldChar w:fldCharType="end"/>
      </w:r>
      <w:r w:rsidRPr="00FA5D71">
        <w:rPr>
          <w:rFonts w:ascii="Arial" w:hAnsi="Arial" w:cs="Arial"/>
        </w:rPr>
        <w:t>. We conducted free</w:t>
      </w:r>
      <w:r w:rsidR="009B39D4" w:rsidRPr="00FA5D71">
        <w:rPr>
          <w:rFonts w:ascii="Arial" w:hAnsi="Arial" w:cs="Arial"/>
        </w:rPr>
        <w:t>-</w:t>
      </w:r>
      <w:r w:rsidRPr="00FA5D71">
        <w:rPr>
          <w:rFonts w:ascii="Arial" w:hAnsi="Arial" w:cs="Arial"/>
        </w:rPr>
        <w:t>swimming personality assays every 28 days</w:t>
      </w:r>
      <w:r w:rsidR="009B39D4" w:rsidRPr="00FA5D71">
        <w:rPr>
          <w:rFonts w:ascii="Arial" w:hAnsi="Arial" w:cs="Arial"/>
        </w:rPr>
        <w:t xml:space="preserve"> following exposure</w:t>
      </w:r>
      <w:r w:rsidRPr="00FA5D71">
        <w:rPr>
          <w:rFonts w:ascii="Arial" w:hAnsi="Arial" w:cs="Arial"/>
        </w:rPr>
        <w:t xml:space="preserve"> to measure the effects of the chemical at sequential points of development. </w:t>
      </w:r>
      <w:r w:rsidR="007F46C0" w:rsidRPr="00FA5D71">
        <w:rPr>
          <w:rFonts w:ascii="Arial" w:hAnsi="Arial" w:cs="Arial"/>
        </w:rPr>
        <w:t xml:space="preserve">Starting at 14 </w:t>
      </w:r>
      <w:proofErr w:type="spellStart"/>
      <w:r w:rsidR="007F46C0" w:rsidRPr="00FA5D71">
        <w:rPr>
          <w:rFonts w:ascii="Arial" w:hAnsi="Arial" w:cs="Arial"/>
        </w:rPr>
        <w:t>dpf</w:t>
      </w:r>
      <w:proofErr w:type="spellEnd"/>
      <w:r w:rsidR="009B39D4" w:rsidRPr="00FA5D71">
        <w:rPr>
          <w:rFonts w:ascii="Arial" w:hAnsi="Arial" w:cs="Arial"/>
        </w:rPr>
        <w:t xml:space="preserve"> until 189 </w:t>
      </w:r>
      <w:proofErr w:type="spellStart"/>
      <w:r w:rsidR="009B39D4" w:rsidRPr="00FA5D71">
        <w:rPr>
          <w:rFonts w:ascii="Arial" w:hAnsi="Arial" w:cs="Arial"/>
        </w:rPr>
        <w:t>dpf</w:t>
      </w:r>
      <w:proofErr w:type="spellEnd"/>
      <w:r w:rsidR="007F46C0" w:rsidRPr="00FA5D71">
        <w:rPr>
          <w:rFonts w:ascii="Arial" w:hAnsi="Arial" w:cs="Arial"/>
        </w:rPr>
        <w:t>,</w:t>
      </w:r>
      <w:commentRangeEnd w:id="17"/>
      <w:r w:rsidR="00AE06BE">
        <w:rPr>
          <w:rStyle w:val="CommentReference"/>
        </w:rPr>
        <w:commentReference w:id="17"/>
      </w:r>
    </w:p>
    <w:p w14:paraId="07D72E9B" w14:textId="3B4DCC65" w:rsidR="003A4B2C" w:rsidRDefault="001A20F6" w:rsidP="004B2A8C">
      <w:pPr>
        <w:spacing w:after="0" w:line="480" w:lineRule="auto"/>
        <w:ind w:firstLine="720"/>
        <w:rPr>
          <w:rFonts w:ascii="Arial" w:hAnsi="Arial" w:cs="Arial"/>
        </w:rPr>
      </w:pPr>
      <w:r>
        <w:rPr>
          <w:rFonts w:ascii="Arial" w:hAnsi="Arial" w:cs="Arial"/>
        </w:rPr>
        <w:t>T</w:t>
      </w:r>
      <w:r w:rsidR="001D6499">
        <w:rPr>
          <w:rFonts w:ascii="Arial" w:hAnsi="Arial" w:cs="Arial"/>
        </w:rPr>
        <w:t>rials were conducted</w:t>
      </w:r>
      <w:r w:rsidR="001D6499" w:rsidRPr="00FA5D71">
        <w:rPr>
          <w:rFonts w:ascii="Arial" w:hAnsi="Arial" w:cs="Arial"/>
        </w:rPr>
        <w:t xml:space="preserve"> </w:t>
      </w:r>
      <w:r w:rsidR="001D6499">
        <w:rPr>
          <w:rFonts w:ascii="Arial" w:hAnsi="Arial" w:cs="Arial"/>
        </w:rPr>
        <w:t xml:space="preserve">in </w:t>
      </w:r>
      <w:r w:rsidR="00AE06BE">
        <w:rPr>
          <w:rFonts w:ascii="Arial" w:hAnsi="Arial" w:cs="Arial"/>
        </w:rPr>
        <w:t>clean</w:t>
      </w:r>
      <w:r w:rsidR="001D6499">
        <w:rPr>
          <w:rFonts w:ascii="Arial" w:hAnsi="Arial" w:cs="Arial"/>
        </w:rPr>
        <w:t xml:space="preserve">, </w:t>
      </w:r>
      <w:r w:rsidR="00AE06BE">
        <w:rPr>
          <w:rFonts w:ascii="Arial" w:hAnsi="Arial" w:cs="Arial"/>
        </w:rPr>
        <w:t>conditioned</w:t>
      </w:r>
      <w:r w:rsidR="001D6499">
        <w:rPr>
          <w:rFonts w:ascii="Arial" w:hAnsi="Arial" w:cs="Arial"/>
        </w:rPr>
        <w:t xml:space="preserve"> water </w:t>
      </w:r>
      <w:r w:rsidR="004B2A8C">
        <w:rPr>
          <w:rFonts w:ascii="Arial" w:hAnsi="Arial" w:cs="Arial"/>
        </w:rPr>
        <w:t>under differential lighting in a</w:t>
      </w:r>
      <w:r w:rsidR="007F46C0" w:rsidRPr="00FA5D71">
        <w:rPr>
          <w:rFonts w:ascii="Arial" w:hAnsi="Arial" w:cs="Arial"/>
        </w:rPr>
        <w:t xml:space="preserve"> </w:t>
      </w:r>
      <w:commentRangeStart w:id="18"/>
      <w:r w:rsidR="009B39D4" w:rsidRPr="00FA5D71">
        <w:rPr>
          <w:rFonts w:ascii="Arial" w:hAnsi="Arial" w:cs="Arial"/>
        </w:rPr>
        <w:t>circular</w:t>
      </w:r>
      <w:r w:rsidR="007F46C0" w:rsidRPr="00FA5D71">
        <w:rPr>
          <w:rFonts w:ascii="Arial" w:hAnsi="Arial" w:cs="Arial"/>
        </w:rPr>
        <w:t xml:space="preserve"> arena </w:t>
      </w:r>
      <w:commentRangeEnd w:id="18"/>
      <w:r w:rsidR="000B4D5F">
        <w:rPr>
          <w:rStyle w:val="CommentReference"/>
        </w:rPr>
        <w:commentReference w:id="18"/>
      </w:r>
      <w:r w:rsidR="004B2A8C">
        <w:rPr>
          <w:rFonts w:ascii="Arial" w:hAnsi="Arial" w:cs="Arial"/>
        </w:rPr>
        <w:t xml:space="preserve"> </w:t>
      </w:r>
      <w:r w:rsidR="007F46C0" w:rsidRPr="00FA5D71">
        <w:rPr>
          <w:rFonts w:ascii="Arial" w:hAnsi="Arial" w:cs="Arial"/>
        </w:rPr>
        <w:t>placed on a no-heat, LED light pad (</w:t>
      </w:r>
      <w:proofErr w:type="spellStart"/>
      <w:r w:rsidR="007F46C0" w:rsidRPr="00FA5D71">
        <w:rPr>
          <w:rFonts w:ascii="Arial" w:hAnsi="Arial" w:cs="Arial"/>
        </w:rPr>
        <w:t>Tiktek</w:t>
      </w:r>
      <w:proofErr w:type="spellEnd"/>
      <w:r w:rsidR="007F46C0" w:rsidRPr="00FA5D71">
        <w:rPr>
          <w:rFonts w:ascii="Arial" w:hAnsi="Arial" w:cs="Arial"/>
        </w:rPr>
        <w:t>/A4-DWT)</w:t>
      </w:r>
      <w:r w:rsidR="00A145B6">
        <w:rPr>
          <w:rFonts w:ascii="Arial" w:hAnsi="Arial" w:cs="Arial"/>
        </w:rPr>
        <w:t xml:space="preserve"> </w:t>
      </w:r>
      <w:r w:rsidR="009B39D4" w:rsidRPr="00FA5D71">
        <w:rPr>
          <w:rFonts w:ascii="Arial" w:hAnsi="Arial" w:cs="Arial"/>
          <w:highlight w:val="cyan"/>
        </w:rPr>
        <w:t>(</w:t>
      </w:r>
      <w:commentRangeStart w:id="19"/>
      <w:r w:rsidR="009B39D4" w:rsidRPr="00FA5D71">
        <w:rPr>
          <w:rFonts w:ascii="Arial" w:hAnsi="Arial" w:cs="Arial"/>
          <w:highlight w:val="cyan"/>
        </w:rPr>
        <w:t>Fig XX)</w:t>
      </w:r>
      <w:r w:rsidR="007F46C0" w:rsidRPr="00FA5D71">
        <w:rPr>
          <w:rFonts w:ascii="Arial" w:hAnsi="Arial" w:cs="Arial"/>
        </w:rPr>
        <w:t xml:space="preserve">. </w:t>
      </w:r>
      <w:commentRangeEnd w:id="19"/>
      <w:r w:rsidR="00A145B6">
        <w:rPr>
          <w:rStyle w:val="CommentReference"/>
        </w:rPr>
        <w:commentReference w:id="19"/>
      </w:r>
      <w:r w:rsidR="008D6CAA">
        <w:rPr>
          <w:rFonts w:ascii="Arial" w:hAnsi="Arial" w:cs="Arial"/>
        </w:rPr>
        <w:t>To begin a trial, a</w:t>
      </w:r>
      <w:r w:rsidR="00740DB9">
        <w:rPr>
          <w:rFonts w:ascii="Arial" w:hAnsi="Arial" w:cs="Arial"/>
        </w:rPr>
        <w:t xml:space="preserve"> f</w:t>
      </w:r>
      <w:r w:rsidR="007F46C0" w:rsidRPr="00FA5D71">
        <w:rPr>
          <w:rFonts w:ascii="Arial" w:hAnsi="Arial" w:cs="Arial"/>
        </w:rPr>
        <w:t xml:space="preserve">ocal larva </w:t>
      </w:r>
      <w:r w:rsidR="00740DB9" w:rsidRPr="00FA5D71">
        <w:rPr>
          <w:rFonts w:ascii="Arial" w:hAnsi="Arial" w:cs="Arial"/>
        </w:rPr>
        <w:t>w</w:t>
      </w:r>
      <w:r w:rsidR="00740DB9">
        <w:rPr>
          <w:rFonts w:ascii="Arial" w:hAnsi="Arial" w:cs="Arial"/>
        </w:rPr>
        <w:t>as</w:t>
      </w:r>
      <w:r w:rsidR="00740DB9" w:rsidRPr="00FA5D71">
        <w:rPr>
          <w:rFonts w:ascii="Arial" w:hAnsi="Arial" w:cs="Arial"/>
        </w:rPr>
        <w:t xml:space="preserve"> </w:t>
      </w:r>
      <w:r w:rsidR="00740DB9">
        <w:rPr>
          <w:rFonts w:ascii="Arial" w:hAnsi="Arial" w:cs="Arial"/>
        </w:rPr>
        <w:t xml:space="preserve">gently </w:t>
      </w:r>
      <w:r w:rsidR="007F46C0" w:rsidRPr="00FA5D71">
        <w:rPr>
          <w:rFonts w:ascii="Arial" w:hAnsi="Arial" w:cs="Arial"/>
        </w:rPr>
        <w:t xml:space="preserve">introduced </w:t>
      </w:r>
      <w:r w:rsidR="00740DB9">
        <w:rPr>
          <w:rFonts w:ascii="Arial" w:hAnsi="Arial" w:cs="Arial"/>
        </w:rPr>
        <w:t xml:space="preserve">to the arena </w:t>
      </w:r>
      <w:r w:rsidR="007F46C0" w:rsidRPr="00FA5D71">
        <w:rPr>
          <w:rFonts w:ascii="Arial" w:hAnsi="Arial" w:cs="Arial"/>
        </w:rPr>
        <w:t xml:space="preserve">via a glass dropper and the trial </w:t>
      </w:r>
      <w:r w:rsidR="004B2A8C">
        <w:rPr>
          <w:rFonts w:ascii="Arial" w:hAnsi="Arial" w:cs="Arial"/>
        </w:rPr>
        <w:t xml:space="preserve">was </w:t>
      </w:r>
      <w:r w:rsidR="007F46C0" w:rsidRPr="00FA5D71">
        <w:rPr>
          <w:rFonts w:ascii="Arial" w:hAnsi="Arial" w:cs="Arial"/>
        </w:rPr>
        <w:t xml:space="preserve">started immediately. </w:t>
      </w:r>
      <w:r w:rsidR="004B2A8C">
        <w:rPr>
          <w:rFonts w:ascii="Arial" w:hAnsi="Arial" w:cs="Arial"/>
        </w:rPr>
        <w:t xml:space="preserve">The </w:t>
      </w:r>
      <w:r w:rsidR="0052184B">
        <w:rPr>
          <w:rFonts w:ascii="Arial" w:hAnsi="Arial" w:cs="Arial"/>
        </w:rPr>
        <w:t xml:space="preserve">swimming </w:t>
      </w:r>
      <w:r w:rsidR="004B2A8C">
        <w:rPr>
          <w:rFonts w:ascii="Arial" w:hAnsi="Arial" w:cs="Arial"/>
        </w:rPr>
        <w:t xml:space="preserve">behavior of focal fish was recorded for </w:t>
      </w:r>
      <w:r w:rsidR="00DE2083">
        <w:rPr>
          <w:rFonts w:ascii="Arial" w:hAnsi="Arial" w:cs="Arial"/>
        </w:rPr>
        <w:t xml:space="preserve">6 min using </w:t>
      </w:r>
      <w:r w:rsidR="004B2A8C">
        <w:rPr>
          <w:rFonts w:ascii="Arial" w:hAnsi="Arial" w:cs="Arial"/>
        </w:rPr>
        <w:t xml:space="preserve">a </w:t>
      </w:r>
      <w:r w:rsidR="00DE2083">
        <w:rPr>
          <w:rFonts w:ascii="Arial" w:hAnsi="Arial" w:cs="Arial"/>
        </w:rPr>
        <w:t xml:space="preserve">monochrome </w:t>
      </w:r>
      <w:r w:rsidR="004B2A8C">
        <w:rPr>
          <w:rFonts w:ascii="Arial" w:hAnsi="Arial" w:cs="Arial"/>
        </w:rPr>
        <w:t xml:space="preserve">GigE </w:t>
      </w:r>
      <w:r w:rsidR="004B2A8C" w:rsidRPr="00FA5D71">
        <w:rPr>
          <w:rFonts w:ascii="Arial" w:hAnsi="Arial" w:cs="Arial"/>
        </w:rPr>
        <w:t xml:space="preserve">camera </w:t>
      </w:r>
      <w:r w:rsidR="004B2A8C">
        <w:rPr>
          <w:rFonts w:ascii="Arial" w:hAnsi="Arial" w:cs="Arial"/>
        </w:rPr>
        <w:t>(Basler AG, Ahrensburg, Germany)</w:t>
      </w:r>
      <w:r w:rsidR="00DE2083">
        <w:rPr>
          <w:rFonts w:ascii="Arial" w:hAnsi="Arial" w:cs="Arial"/>
        </w:rPr>
        <w:t xml:space="preserve"> mounted </w:t>
      </w:r>
      <w:r w:rsidR="00DE2083" w:rsidRPr="00D147E4">
        <w:rPr>
          <w:rFonts w:ascii="Arial" w:hAnsi="Arial" w:cs="Arial"/>
          <w:highlight w:val="cyan"/>
        </w:rPr>
        <w:t>XX cm</w:t>
      </w:r>
      <w:r w:rsidR="00DE2083">
        <w:rPr>
          <w:rFonts w:ascii="Arial" w:hAnsi="Arial" w:cs="Arial"/>
        </w:rPr>
        <w:t xml:space="preserve"> above the arena. </w:t>
      </w:r>
    </w:p>
    <w:p w14:paraId="128ED36E" w14:textId="78CFA666" w:rsidR="00494BDC" w:rsidRPr="00FA5D71" w:rsidRDefault="0052184B" w:rsidP="00D147E4">
      <w:pPr>
        <w:spacing w:after="0" w:line="480" w:lineRule="auto"/>
        <w:ind w:firstLine="720"/>
        <w:rPr>
          <w:rFonts w:ascii="Arial" w:hAnsi="Arial" w:cs="Arial"/>
        </w:rPr>
      </w:pPr>
      <w:r>
        <w:rPr>
          <w:rFonts w:ascii="Arial" w:hAnsi="Arial" w:cs="Arial"/>
        </w:rPr>
        <w:t>We analyzed the behavior</w:t>
      </w:r>
      <w:r w:rsidR="006A0D02">
        <w:rPr>
          <w:rFonts w:ascii="Arial" w:hAnsi="Arial" w:cs="Arial"/>
        </w:rPr>
        <w:t xml:space="preserve"> </w:t>
      </w:r>
      <w:r>
        <w:rPr>
          <w:rFonts w:ascii="Arial" w:hAnsi="Arial" w:cs="Arial"/>
        </w:rPr>
        <w:t xml:space="preserve">of </w:t>
      </w:r>
      <w:r w:rsidR="006A0D02">
        <w:rPr>
          <w:rFonts w:ascii="Arial" w:hAnsi="Arial" w:cs="Arial"/>
        </w:rPr>
        <w:t xml:space="preserve">each fish in each trial </w:t>
      </w:r>
      <w:r w:rsidR="003A4B2C">
        <w:rPr>
          <w:rFonts w:ascii="Arial" w:hAnsi="Arial" w:cs="Arial"/>
        </w:rPr>
        <w:t>using</w:t>
      </w:r>
      <w:r w:rsidR="007F46C0" w:rsidRPr="00FA5D71">
        <w:rPr>
          <w:rFonts w:ascii="Arial" w:hAnsi="Arial" w:cs="Arial"/>
        </w:rPr>
        <w:t xml:space="preserve"> </w:t>
      </w:r>
      <w:proofErr w:type="spellStart"/>
      <w:r w:rsidR="009B39D4" w:rsidRPr="00FA5D71">
        <w:rPr>
          <w:rFonts w:ascii="Arial" w:hAnsi="Arial" w:cs="Arial"/>
        </w:rPr>
        <w:t>Ethovision</w:t>
      </w:r>
      <w:proofErr w:type="spellEnd"/>
      <w:r w:rsidR="009B39D4" w:rsidRPr="00FA5D71">
        <w:rPr>
          <w:rFonts w:ascii="Arial" w:hAnsi="Arial" w:cs="Arial"/>
        </w:rPr>
        <w:t xml:space="preserve"> </w:t>
      </w:r>
      <w:r w:rsidR="003A4B2C">
        <w:rPr>
          <w:rFonts w:ascii="Arial" w:hAnsi="Arial" w:cs="Arial"/>
        </w:rPr>
        <w:t xml:space="preserve">XT </w:t>
      </w:r>
      <w:r w:rsidR="003A4B2C" w:rsidRPr="00FA5D71">
        <w:rPr>
          <w:rFonts w:ascii="Arial" w:hAnsi="Arial" w:cs="Arial"/>
        </w:rPr>
        <w:t xml:space="preserve">software </w:t>
      </w:r>
      <w:r w:rsidR="009B39D4" w:rsidRPr="00FA5D71">
        <w:rPr>
          <w:rFonts w:ascii="Arial" w:hAnsi="Arial" w:cs="Arial"/>
        </w:rPr>
        <w:t>(</w:t>
      </w:r>
      <w:r w:rsidR="004B1530">
        <w:rPr>
          <w:rFonts w:ascii="Arial" w:hAnsi="Arial" w:cs="Arial"/>
        </w:rPr>
        <w:t xml:space="preserve">version 13; </w:t>
      </w:r>
      <w:r w:rsidR="00813B09" w:rsidRPr="00FA5D71">
        <w:rPr>
          <w:rFonts w:ascii="Arial" w:hAnsi="Arial" w:cs="Arial"/>
        </w:rPr>
        <w:t>Noldus Information</w:t>
      </w:r>
      <w:r w:rsidR="005413A5">
        <w:rPr>
          <w:rFonts w:ascii="Arial" w:hAnsi="Arial" w:cs="Arial"/>
        </w:rPr>
        <w:t xml:space="preserve"> Technologies, Inc.</w:t>
      </w:r>
      <w:r w:rsidR="00813B09" w:rsidRPr="00FA5D71">
        <w:rPr>
          <w:rFonts w:ascii="Arial" w:hAnsi="Arial" w:cs="Arial"/>
        </w:rPr>
        <w:t>, Wageningen, Netherlands</w:t>
      </w:r>
      <w:r w:rsidR="009B39D4" w:rsidRPr="00FA5D71">
        <w:rPr>
          <w:rFonts w:ascii="Arial" w:hAnsi="Arial" w:cs="Arial"/>
        </w:rPr>
        <w:t>)</w:t>
      </w:r>
      <w:r w:rsidR="007F46C0" w:rsidRPr="00FA5D71">
        <w:rPr>
          <w:rFonts w:ascii="Arial" w:hAnsi="Arial" w:cs="Arial"/>
        </w:rPr>
        <w:t xml:space="preserve">. </w:t>
      </w:r>
      <w:r w:rsidR="00A8302A">
        <w:rPr>
          <w:rFonts w:ascii="Arial" w:hAnsi="Arial" w:cs="Arial"/>
        </w:rPr>
        <w:t>First, w</w:t>
      </w:r>
      <w:r w:rsidR="00C83820">
        <w:rPr>
          <w:rFonts w:ascii="Arial" w:hAnsi="Arial" w:cs="Arial"/>
        </w:rPr>
        <w:t xml:space="preserve">e </w:t>
      </w:r>
      <w:r w:rsidR="007F46C0" w:rsidRPr="00FA5D71">
        <w:rPr>
          <w:rFonts w:ascii="Arial" w:hAnsi="Arial" w:cs="Arial"/>
        </w:rPr>
        <w:t xml:space="preserve">divided the arena into two </w:t>
      </w:r>
      <w:proofErr w:type="gramStart"/>
      <w:r w:rsidR="00C83820">
        <w:rPr>
          <w:rFonts w:ascii="Arial" w:hAnsi="Arial" w:cs="Arial"/>
        </w:rPr>
        <w:t xml:space="preserve">zones; </w:t>
      </w:r>
      <w:r w:rsidR="00895323" w:rsidRPr="00FA5D71">
        <w:rPr>
          <w:rFonts w:ascii="Arial" w:hAnsi="Arial" w:cs="Arial"/>
        </w:rPr>
        <w:t xml:space="preserve"> </w:t>
      </w:r>
      <w:r w:rsidR="00C83820">
        <w:rPr>
          <w:rFonts w:ascii="Arial" w:hAnsi="Arial" w:cs="Arial"/>
        </w:rPr>
        <w:t>an</w:t>
      </w:r>
      <w:proofErr w:type="gramEnd"/>
      <w:r w:rsidR="00C83820">
        <w:rPr>
          <w:rFonts w:ascii="Arial" w:hAnsi="Arial" w:cs="Arial"/>
        </w:rPr>
        <w:t xml:space="preserve"> </w:t>
      </w:r>
      <w:r w:rsidR="00895323" w:rsidRPr="00FA5D71">
        <w:rPr>
          <w:rFonts w:ascii="Arial" w:hAnsi="Arial" w:cs="Arial"/>
        </w:rPr>
        <w:t xml:space="preserve">inner </w:t>
      </w:r>
      <w:r w:rsidR="00C83820">
        <w:rPr>
          <w:rFonts w:ascii="Arial" w:hAnsi="Arial" w:cs="Arial"/>
        </w:rPr>
        <w:t>zone</w:t>
      </w:r>
      <w:r w:rsidR="00C83820" w:rsidRPr="00FA5D71">
        <w:rPr>
          <w:rFonts w:ascii="Arial" w:hAnsi="Arial" w:cs="Arial"/>
        </w:rPr>
        <w:t xml:space="preserve"> </w:t>
      </w:r>
      <w:commentRangeStart w:id="20"/>
      <w:r w:rsidR="00895323" w:rsidRPr="00FA5D71">
        <w:rPr>
          <w:rFonts w:ascii="Arial" w:hAnsi="Arial" w:cs="Arial"/>
        </w:rPr>
        <w:t>classified as the “risky” area</w:t>
      </w:r>
      <w:r w:rsidR="007F46C0" w:rsidRPr="00FA5D71">
        <w:rPr>
          <w:rFonts w:ascii="Arial" w:hAnsi="Arial" w:cs="Arial"/>
        </w:rPr>
        <w:t xml:space="preserve"> </w:t>
      </w:r>
      <w:commentRangeEnd w:id="20"/>
      <w:r w:rsidR="00C83820">
        <w:rPr>
          <w:rStyle w:val="CommentReference"/>
        </w:rPr>
        <w:commentReference w:id="20"/>
      </w:r>
      <w:r w:rsidR="007F46C0" w:rsidRPr="00FA5D71">
        <w:rPr>
          <w:rFonts w:ascii="Arial" w:hAnsi="Arial" w:cs="Arial"/>
        </w:rPr>
        <w:t>(</w:t>
      </w:r>
      <w:r w:rsidR="007F46C0" w:rsidRPr="00FA5D71">
        <w:rPr>
          <w:rFonts w:ascii="Arial" w:hAnsi="Arial" w:cs="Arial"/>
          <w:highlight w:val="cyan"/>
        </w:rPr>
        <w:t>Fig XX</w:t>
      </w:r>
      <w:r w:rsidR="007F46C0" w:rsidRPr="00FA5D71">
        <w:rPr>
          <w:rFonts w:ascii="Arial" w:hAnsi="Arial" w:cs="Arial"/>
        </w:rPr>
        <w:t>)</w:t>
      </w:r>
      <w:r w:rsidR="00895323" w:rsidRPr="00FA5D71">
        <w:rPr>
          <w:rFonts w:ascii="Arial" w:hAnsi="Arial" w:cs="Arial"/>
        </w:rPr>
        <w:t xml:space="preserve">. </w:t>
      </w:r>
      <w:r w:rsidR="00CC1ABF">
        <w:rPr>
          <w:rFonts w:ascii="Arial" w:hAnsi="Arial" w:cs="Arial"/>
        </w:rPr>
        <w:t>We</w:t>
      </w:r>
      <w:r w:rsidR="00CC1ABF" w:rsidRPr="00FA5D71">
        <w:rPr>
          <w:rFonts w:ascii="Arial" w:hAnsi="Arial" w:cs="Arial"/>
        </w:rPr>
        <w:t xml:space="preserve"> </w:t>
      </w:r>
      <w:r w:rsidR="00CC1ABF">
        <w:rPr>
          <w:rFonts w:ascii="Arial" w:hAnsi="Arial" w:cs="Arial"/>
        </w:rPr>
        <w:t>calculated</w:t>
      </w:r>
      <w:r w:rsidR="00CC1ABF" w:rsidRPr="00FA5D71">
        <w:rPr>
          <w:rFonts w:ascii="Arial" w:hAnsi="Arial" w:cs="Arial"/>
        </w:rPr>
        <w:t xml:space="preserve"> </w:t>
      </w:r>
      <w:r w:rsidR="00895323" w:rsidRPr="00FA5D71">
        <w:rPr>
          <w:rFonts w:ascii="Arial" w:hAnsi="Arial" w:cs="Arial"/>
        </w:rPr>
        <w:t>the la</w:t>
      </w:r>
      <w:r w:rsidR="007F46C0" w:rsidRPr="00FA5D71">
        <w:rPr>
          <w:rFonts w:ascii="Arial" w:hAnsi="Arial" w:cs="Arial"/>
        </w:rPr>
        <w:t xml:space="preserve">tency </w:t>
      </w:r>
      <w:r w:rsidR="00875AC7" w:rsidRPr="00FA5D71">
        <w:rPr>
          <w:rFonts w:ascii="Arial" w:hAnsi="Arial" w:cs="Arial"/>
        </w:rPr>
        <w:t>(</w:t>
      </w:r>
      <w:proofErr w:type="spellStart"/>
      <w:r w:rsidR="00CC1ABF">
        <w:rPr>
          <w:rFonts w:ascii="Arial" w:hAnsi="Arial" w:cs="Arial"/>
        </w:rPr>
        <w:t xml:space="preserve">in </w:t>
      </w:r>
      <w:r w:rsidR="00875AC7" w:rsidRPr="00FA5D71">
        <w:rPr>
          <w:rFonts w:ascii="Arial" w:hAnsi="Arial" w:cs="Arial"/>
        </w:rPr>
        <w:t>s</w:t>
      </w:r>
      <w:proofErr w:type="spellEnd"/>
      <w:r w:rsidR="00875AC7" w:rsidRPr="00FA5D71">
        <w:rPr>
          <w:rFonts w:ascii="Arial" w:hAnsi="Arial" w:cs="Arial"/>
        </w:rPr>
        <w:t xml:space="preserve">) </w:t>
      </w:r>
      <w:r w:rsidR="007F46C0" w:rsidRPr="00FA5D71">
        <w:rPr>
          <w:rFonts w:ascii="Arial" w:hAnsi="Arial" w:cs="Arial"/>
        </w:rPr>
        <w:t xml:space="preserve">of fish to enter the center </w:t>
      </w:r>
      <w:r w:rsidR="00CC1ABF">
        <w:rPr>
          <w:rFonts w:ascii="Arial" w:hAnsi="Arial" w:cs="Arial"/>
        </w:rPr>
        <w:t>zone</w:t>
      </w:r>
      <w:r w:rsidR="007F46C0" w:rsidRPr="00FA5D71">
        <w:rPr>
          <w:rFonts w:ascii="Arial" w:hAnsi="Arial" w:cs="Arial"/>
        </w:rPr>
        <w:t xml:space="preserve">, which we classified as a measure of boldness. The fish was also tracked via </w:t>
      </w:r>
      <w:proofErr w:type="spellStart"/>
      <w:r w:rsidR="007F46C0" w:rsidRPr="00FA5D71">
        <w:rPr>
          <w:rFonts w:ascii="Arial" w:hAnsi="Arial" w:cs="Arial"/>
        </w:rPr>
        <w:t>Ethovision</w:t>
      </w:r>
      <w:proofErr w:type="spellEnd"/>
      <w:r w:rsidR="007F46C0" w:rsidRPr="00FA5D71">
        <w:rPr>
          <w:rFonts w:ascii="Arial" w:hAnsi="Arial" w:cs="Arial"/>
        </w:rPr>
        <w:t xml:space="preserve"> software to determine the total distance traveled</w:t>
      </w:r>
      <w:r w:rsidR="00895323" w:rsidRPr="00FA5D71">
        <w:rPr>
          <w:rFonts w:ascii="Arial" w:hAnsi="Arial" w:cs="Arial"/>
        </w:rPr>
        <w:t xml:space="preserve"> (TD)</w:t>
      </w:r>
      <w:r w:rsidR="007F46C0" w:rsidRPr="00FA5D71">
        <w:rPr>
          <w:rFonts w:ascii="Arial" w:hAnsi="Arial" w:cs="Arial"/>
        </w:rPr>
        <w:t xml:space="preserve">, the cumulative duration </w:t>
      </w:r>
      <w:r w:rsidR="00895323" w:rsidRPr="00FA5D71">
        <w:rPr>
          <w:rFonts w:ascii="Arial" w:hAnsi="Arial" w:cs="Arial"/>
        </w:rPr>
        <w:t xml:space="preserve"> (CD)</w:t>
      </w:r>
      <w:r w:rsidR="007F46C0" w:rsidRPr="00FA5D71">
        <w:rPr>
          <w:rFonts w:ascii="Arial" w:hAnsi="Arial" w:cs="Arial"/>
        </w:rPr>
        <w:t xml:space="preserve">of time (s) spent in the center of the arena, and the total </w:t>
      </w:r>
      <w:r w:rsidR="00895323" w:rsidRPr="00FA5D71">
        <w:rPr>
          <w:rFonts w:ascii="Arial" w:hAnsi="Arial" w:cs="Arial"/>
        </w:rPr>
        <w:t xml:space="preserve">percentage of time the fish was </w:t>
      </w:r>
      <w:r w:rsidR="007F46C0" w:rsidRPr="00FA5D71">
        <w:rPr>
          <w:rFonts w:ascii="Arial" w:hAnsi="Arial" w:cs="Arial"/>
        </w:rPr>
        <w:t>activ</w:t>
      </w:r>
      <w:r w:rsidR="00895323" w:rsidRPr="00FA5D71">
        <w:rPr>
          <w:rFonts w:ascii="Arial" w:hAnsi="Arial" w:cs="Arial"/>
        </w:rPr>
        <w:t>e (A)</w:t>
      </w:r>
      <w:r w:rsidR="007F46C0" w:rsidRPr="00FA5D71">
        <w:rPr>
          <w:rFonts w:ascii="Arial" w:hAnsi="Arial" w:cs="Arial"/>
        </w:rPr>
        <w:t xml:space="preserve">. </w:t>
      </w:r>
      <w:commentRangeStart w:id="21"/>
      <w:r w:rsidR="00F6453B" w:rsidRPr="00FA5D71">
        <w:rPr>
          <w:rFonts w:ascii="Arial" w:hAnsi="Arial" w:cs="Arial"/>
        </w:rPr>
        <w:t>Every</w:t>
      </w:r>
      <w:commentRangeEnd w:id="21"/>
      <w:r w:rsidR="00CC1ABF">
        <w:rPr>
          <w:rStyle w:val="CommentReference"/>
        </w:rPr>
        <w:commentReference w:id="21"/>
      </w:r>
      <w:r w:rsidR="00F6453B" w:rsidRPr="00FA5D71">
        <w:rPr>
          <w:rFonts w:ascii="Arial" w:hAnsi="Arial" w:cs="Arial"/>
        </w:rPr>
        <w:t xml:space="preserve"> fish was</w:t>
      </w:r>
      <w:r w:rsidR="007F46C0" w:rsidRPr="00FA5D71">
        <w:rPr>
          <w:rFonts w:ascii="Arial" w:hAnsi="Arial" w:cs="Arial"/>
        </w:rPr>
        <w:t xml:space="preserve"> tested</w:t>
      </w:r>
      <w:r w:rsidR="00F6453B" w:rsidRPr="00FA5D71">
        <w:rPr>
          <w:rFonts w:ascii="Arial" w:hAnsi="Arial" w:cs="Arial"/>
        </w:rPr>
        <w:t xml:space="preserve"> on</w:t>
      </w:r>
      <w:r w:rsidR="007F46C0" w:rsidRPr="00FA5D71">
        <w:rPr>
          <w:rFonts w:ascii="Arial" w:hAnsi="Arial" w:cs="Arial"/>
        </w:rPr>
        <w:t xml:space="preserve"> </w:t>
      </w:r>
      <w:commentRangeStart w:id="22"/>
      <w:r w:rsidR="007F46C0" w:rsidRPr="00FA5D71">
        <w:rPr>
          <w:rFonts w:ascii="Arial" w:hAnsi="Arial" w:cs="Arial"/>
        </w:rPr>
        <w:t xml:space="preserve">14, 21, 49, 77, 105, 133, 161, and 189 </w:t>
      </w:r>
      <w:proofErr w:type="spellStart"/>
      <w:r w:rsidR="007F46C0" w:rsidRPr="00FA5D71">
        <w:rPr>
          <w:rFonts w:ascii="Arial" w:hAnsi="Arial" w:cs="Arial"/>
        </w:rPr>
        <w:t>dpf</w:t>
      </w:r>
      <w:proofErr w:type="spellEnd"/>
      <w:r w:rsidR="00494BDC" w:rsidRPr="00FA5D71">
        <w:rPr>
          <w:rFonts w:ascii="Arial" w:hAnsi="Arial" w:cs="Arial"/>
        </w:rPr>
        <w:t xml:space="preserve"> (</w:t>
      </w:r>
      <w:r w:rsidR="00494BDC" w:rsidRPr="00FA5D71">
        <w:rPr>
          <w:rFonts w:ascii="Arial" w:hAnsi="Arial" w:cs="Arial"/>
          <w:highlight w:val="cyan"/>
        </w:rPr>
        <w:t>Fig XX</w:t>
      </w:r>
      <w:commentRangeEnd w:id="22"/>
      <w:r w:rsidR="009B39D4" w:rsidRPr="00FA5D71">
        <w:rPr>
          <w:rStyle w:val="CommentReference"/>
          <w:rFonts w:ascii="Arial" w:hAnsi="Arial" w:cs="Arial"/>
          <w:sz w:val="22"/>
          <w:szCs w:val="22"/>
        </w:rPr>
        <w:commentReference w:id="22"/>
      </w:r>
      <w:r w:rsidR="00494BDC" w:rsidRPr="00FA5D71">
        <w:rPr>
          <w:rFonts w:ascii="Arial" w:hAnsi="Arial" w:cs="Arial"/>
        </w:rPr>
        <w:t>)</w:t>
      </w:r>
      <w:r w:rsidR="007F46C0" w:rsidRPr="00FA5D71">
        <w:rPr>
          <w:rFonts w:ascii="Arial" w:hAnsi="Arial" w:cs="Arial"/>
        </w:rPr>
        <w:t xml:space="preserve">. </w:t>
      </w:r>
      <w:commentRangeStart w:id="23"/>
      <w:r w:rsidR="00813B09" w:rsidRPr="00FA5D71">
        <w:rPr>
          <w:rFonts w:ascii="Arial" w:hAnsi="Arial" w:cs="Arial"/>
        </w:rPr>
        <w:t xml:space="preserve">Tank size </w:t>
      </w:r>
      <w:commentRangeEnd w:id="23"/>
      <w:r w:rsidR="00BF6E5E">
        <w:rPr>
          <w:rStyle w:val="CommentReference"/>
        </w:rPr>
        <w:commentReference w:id="23"/>
      </w:r>
      <w:r w:rsidR="00813B09" w:rsidRPr="00FA5D71">
        <w:rPr>
          <w:rFonts w:ascii="Arial" w:hAnsi="Arial" w:cs="Arial"/>
        </w:rPr>
        <w:t>has the potential to alter risky behaviors in fish</w:t>
      </w:r>
      <w:r w:rsidR="00F6453B" w:rsidRPr="00FA5D71">
        <w:rPr>
          <w:rFonts w:ascii="Arial" w:hAnsi="Arial" w:cs="Arial"/>
        </w:rPr>
        <w:fldChar w:fldCharType="begin" w:fldLock="1"/>
      </w:r>
      <w:r w:rsidR="004148C1" w:rsidRPr="00FA5D71">
        <w:rPr>
          <w:rFonts w:ascii="Arial" w:hAnsi="Arial" w:cs="Arial"/>
        </w:rPr>
        <w:instrText>ADDIN CSL_CITATION {"citationItems":[{"id":"ITEM-1","itemData":{"DOI":"10.1016/j.brainres.2012.02.064","ISSN":"00068993","PMID":"22459042","abstract":"Zebrafish (Danio rerio) are emerging as a useful model organism for neuroscience research. Mounting evidence suggests that various traditional rodent paradigms may be adapted for testing zebrafish behavior. The open field test is a popular rodent test of novelty exploration, recently applied to zebrafish research. To better understand fish novelty behavior, we exposed adult zebrafish to two different open field arenas for 30 min, assessing the amount and temporal patterning of their exploration. While (similar to rodents) zebrafish scale their locomotory activity depending on the size of the tank, the temporal patterning of their activity was independent of arena size. These observations strikingly parallel similar rodent behaviors, suggesting that spatio-temporal strategies of animal exploration may be evolutionarily conserved across vertebrate species. In addition, we found interesting oscillations in zebrafish exploration, with the per-minute distribution of their horizontal activity demonstrating sinusoidal-like patterns. While such patterning is not reported for rodents and other higher vertebrates, a nonlinear regression analysis confirmed the oscillation patterning of all assessed zebrafish behavioral endpoints in both open field arenas, revealing a potentially important aspect of novelty exploration in lower vertebrates. © 2012 Elsevier B.V.","author":[{"dropping-particle":"","family":"Stewart","given":"Adam Michael","non-dropping-particle":"","parse-names":false,"suffix":""},{"dropping-particle":"","family":"Gaikwad","given":"Siddharth","non-dropping-particle":"","parse-names":false,"suffix":""},{"dropping-particle":"","family":"Kyzar","given":"Evan","non-dropping-particle":"","parse-names":false,"suffix":""},{"dropping-particle":"V.","family":"Kalueff","given":"Allan","non-dropping-particle":"","parse-names":false,"suffix":""}],"container-title":"Brain Research","id":"ITEM-1","issued":{"date-parts":[["2012"]]},"page":"44-52","publisher":"Elsevier B.V.","title":"Understanding spatio-temporal strategies of adult zebrafish exploration in the open field test","type":"article-journal","volume":"1451"},"uris":["http://www.mendeley.com/documents/?uuid=63a68199-b37a-4f86-8bfb-e6b2cbe20a2c"]},{"id":"ITEM-2","itemData":{"DOI":"10.3389/fncir.2013.00109","ISSN":"16625110","abstract":"High-throughput behavioral studies using larval zebrafish often assess locomotor activity to determine the effects of experimental perturbations. However, the results reported by different groups are difficult to compare because there is not a standardized experimental paradigm or measure of locomotor activity. To address this, we investigated the effects that several factors, including the stage of larval development and the physical dimensions (depth and diameter) of the behavioral arena, have on the locomotor activity produced by larval zebrafish. We provide evidence for differences in locomotor activity between larvae at different stages and when recorded in wells of different depths, but not in wells of different diameters. We also show that the variability for most properties of locomotor activity is less for older than younger larvae, which is consistent with previous reports. Finally, we show that conflicting interpretations of activity level can occur when activity is assessed with a single measure of locomotor activity. Thus, we conclude that although a combination of factors should be considered when designing behavioral experiments, the use of older larvae in deep wells will reduce the variability of locomotor activity, and that multiple properties of locomotor activity should be measured to determine activity level. © 2013 Ingebretson and Masino.","author":[{"dropping-particle":"","family":"Ingebretson","given":"Justin J.","non-dropping-particle":"","parse-names":false,"suffix":""},{"dropping-particle":"","family":"Masino","given":"Mark A.","non-dropping-particle":"","parse-names":false,"suffix":""}],"container-title":"Frontiers in Neural Circuits","id":"ITEM-2","issue":"MAY","issued":{"date-parts":[["2013"]]},"page":"1-9","title":"Quantification of locomotor activity in larval Zebrafish: Considerations for the design of high-throughput behavioral studies","type":"article-journal","volume":"7"},"uris":["http://www.mendeley.com/documents/?uuid=28369fd9-05d0-4e47-8e7e-f94dbffdb2c2"]},{"id":"ITEM-3","itemData":{"DOI":"10.1016/j.anbehav.2016.03.013","ISSN":"00033472","abstract":"Animals adjust their behaviour over time and contexts to cope with ecological and environmental variation. However, the presence of consistent between-individual differences in behaviour (i.e. personality) suggests that individual behaviour may be less flexible than previously thought. Here, we tested whether the size of the experimental tank and the ontogenetic stage of individuals affect estimates of average and consistent individual variation in activity and risk-taking behaviours in the eastern mosquitofish, Gambusia holbrooki, a fish model widely utilized for behavioural research. We measured risk taking and activity in juvenile, subadult and adult mosquitofish in a standard open-field test, in which the size of test tank varied linearly. We found strong evidence that spatial constraints alter mosquitofish behaviour. In particular, we observed that average activity increased with tank size, while the willingness of fish to take risks was independent of tank size. Moreover, juvenile fish exhibited, on average, lower risk-taking behaviours than older individuals. We highlight that the use of differently sized tanks may result in unequal variation in the average behaviour between juvenile and older fish, with escaping abilities of juvenile fish being underestimated in small environments. Most interestingly, we observed that variation in tank size triggered changes in the individual rank order for both risk taking and activity in juvenile fish, thus altering their personality estimates. In contrast, adult fish maintained consistent individual rank orders across all tank sizes. This study supports the hypothesis that behavioural repeatability increases with age, suggesting that personality estimates on adult animals may be less vulnerable to variation in laboratory contexts than those on juvenile ones.","author":[{"dropping-particle":"","family":"Polverino","given":"Giovanni","non-dropping-particle":"","parse-names":false,"suffix":""},{"dropping-particle":"","family":"Ruberto","given":"Tommaso","non-dropping-particle":"","parse-names":false,"suffix":""},{"dropping-particle":"","family":"Staaks","given":"Georg","non-dropping-particle":"","parse-names":false,"suffix":""},{"dropping-particle":"","family":"Mehner","given":"Thomas","non-dropping-particle":"","parse-names":false,"suffix":""}],"container-title":"Animal Behaviour","id":"ITEM-3","issued":{"date-parts":[["2016"]]},"page":"127-135","publisher":"Elsevier Ltd","title":"Tank size alters mean behaviours and individual rank orders in personality traits of fish depending on their life stage","type":"article-journal","volume":"115"},"uris":["http://www.mendeley.com/documents/?uuid=09451105-8038-45e3-ae0a-35348b912722"]}],"mendeley":{"formattedCitation":"&lt;sup&gt;11–13&lt;/sup&gt;","plainTextFormattedCitation":"11–13","previouslyFormattedCitation":"&lt;sup&gt;11–13&lt;/sup&gt;"},"properties":{"noteIndex":0},"schema":"https://github.com/citation-style-language/schema/raw/master/csl-citation.json"}</w:instrText>
      </w:r>
      <w:r w:rsidR="00F6453B" w:rsidRPr="00FA5D71">
        <w:rPr>
          <w:rFonts w:ascii="Arial" w:hAnsi="Arial" w:cs="Arial"/>
        </w:rPr>
        <w:fldChar w:fldCharType="separate"/>
      </w:r>
      <w:r w:rsidR="00F6453B" w:rsidRPr="00FA5D71">
        <w:rPr>
          <w:rFonts w:ascii="Arial" w:hAnsi="Arial" w:cs="Arial"/>
          <w:noProof/>
          <w:vertAlign w:val="superscript"/>
        </w:rPr>
        <w:t>11–13</w:t>
      </w:r>
      <w:r w:rsidR="00F6453B" w:rsidRPr="00FA5D71">
        <w:rPr>
          <w:rFonts w:ascii="Arial" w:hAnsi="Arial" w:cs="Arial"/>
        </w:rPr>
        <w:fldChar w:fldCharType="end"/>
      </w:r>
      <w:r w:rsidR="00813B09" w:rsidRPr="00FA5D71">
        <w:rPr>
          <w:rFonts w:ascii="Arial" w:hAnsi="Arial" w:cs="Arial"/>
        </w:rPr>
        <w:t xml:space="preserve"> so t</w:t>
      </w:r>
      <w:r w:rsidR="007F46C0" w:rsidRPr="00FA5D71">
        <w:rPr>
          <w:rFonts w:ascii="Arial" w:hAnsi="Arial" w:cs="Arial"/>
        </w:rPr>
        <w:t xml:space="preserve">o account for growth of the fish, arena size increased as the fish did </w:t>
      </w:r>
      <w:r w:rsidR="00494BDC" w:rsidRPr="00FA5D71">
        <w:rPr>
          <w:rFonts w:ascii="Arial" w:hAnsi="Arial" w:cs="Arial"/>
          <w:highlight w:val="cyan"/>
        </w:rPr>
        <w:t>(Table XX).</w:t>
      </w:r>
    </w:p>
    <w:p w14:paraId="3CF08F6F" w14:textId="77777777" w:rsidR="00AE06BE" w:rsidRDefault="00AE06BE" w:rsidP="00BD0D39">
      <w:pPr>
        <w:spacing w:after="0" w:line="480" w:lineRule="auto"/>
        <w:rPr>
          <w:rFonts w:ascii="Arial" w:hAnsi="Arial" w:cs="Arial"/>
          <w:i/>
          <w:iCs/>
        </w:rPr>
      </w:pPr>
    </w:p>
    <w:p w14:paraId="3C94FCD1" w14:textId="6AB500E7" w:rsidR="007F46C0" w:rsidRPr="00FA5D71" w:rsidRDefault="007F46C0" w:rsidP="00BD0D39">
      <w:pPr>
        <w:spacing w:after="0" w:line="480" w:lineRule="auto"/>
        <w:rPr>
          <w:rFonts w:ascii="Arial" w:hAnsi="Arial" w:cs="Arial"/>
          <w:i/>
          <w:iCs/>
        </w:rPr>
      </w:pPr>
      <w:commentRangeStart w:id="24"/>
      <w:r w:rsidRPr="00FA5D71">
        <w:rPr>
          <w:rFonts w:ascii="Arial" w:hAnsi="Arial" w:cs="Arial"/>
          <w:i/>
          <w:iCs/>
        </w:rPr>
        <w:lastRenderedPageBreak/>
        <w:t>Statistics</w:t>
      </w:r>
      <w:commentRangeEnd w:id="24"/>
      <w:r w:rsidR="0047610B">
        <w:rPr>
          <w:rStyle w:val="CommentReference"/>
        </w:rPr>
        <w:commentReference w:id="24"/>
      </w:r>
    </w:p>
    <w:p w14:paraId="4A41A895" w14:textId="38FC667A" w:rsidR="004148C1" w:rsidRPr="00FA5D71" w:rsidRDefault="007F46C0" w:rsidP="00BD0D39">
      <w:pPr>
        <w:spacing w:after="0" w:line="480" w:lineRule="auto"/>
        <w:rPr>
          <w:rFonts w:ascii="Arial" w:hAnsi="Arial" w:cs="Arial"/>
        </w:rPr>
      </w:pPr>
      <w:commentRangeStart w:id="25"/>
      <w:r w:rsidRPr="00FA5D71">
        <w:rPr>
          <w:rFonts w:ascii="Arial" w:hAnsi="Arial" w:cs="Arial"/>
        </w:rPr>
        <w:t xml:space="preserve">We were particularly interested in the difference in </w:t>
      </w:r>
      <w:r w:rsidR="009B39D4" w:rsidRPr="00FA5D71">
        <w:rPr>
          <w:rFonts w:ascii="Arial" w:hAnsi="Arial" w:cs="Arial"/>
        </w:rPr>
        <w:t>the repeatability</w:t>
      </w:r>
      <w:r w:rsidRPr="00FA5D71">
        <w:rPr>
          <w:rFonts w:ascii="Arial" w:hAnsi="Arial" w:cs="Arial"/>
        </w:rPr>
        <w:t xml:space="preserve"> of behavior </w:t>
      </w:r>
      <w:r w:rsidR="009B39D4" w:rsidRPr="00FA5D71">
        <w:rPr>
          <w:rFonts w:ascii="Arial" w:hAnsi="Arial" w:cs="Arial"/>
        </w:rPr>
        <w:t xml:space="preserve">within different substages of development. Therefore, we divided trials into four stages of development with two testing trials per stage: juvenile (14 and 21 </w:t>
      </w:r>
      <w:proofErr w:type="spellStart"/>
      <w:r w:rsidR="009B39D4" w:rsidRPr="00FA5D71">
        <w:rPr>
          <w:rFonts w:ascii="Arial" w:hAnsi="Arial" w:cs="Arial"/>
        </w:rPr>
        <w:t>dpf</w:t>
      </w:r>
      <w:proofErr w:type="spellEnd"/>
      <w:r w:rsidR="009B39D4" w:rsidRPr="00FA5D71">
        <w:rPr>
          <w:rFonts w:ascii="Arial" w:hAnsi="Arial" w:cs="Arial"/>
        </w:rPr>
        <w:t>), subadult</w:t>
      </w:r>
      <w:r w:rsidR="009B39D4" w:rsidRPr="00FA5D71">
        <w:rPr>
          <w:rFonts w:ascii="Arial" w:hAnsi="Arial" w:cs="Arial"/>
          <w:vertAlign w:val="subscript"/>
        </w:rPr>
        <w:t>1</w:t>
      </w:r>
      <w:r w:rsidR="009B39D4" w:rsidRPr="00FA5D71">
        <w:rPr>
          <w:rFonts w:ascii="Arial" w:hAnsi="Arial" w:cs="Arial"/>
        </w:rPr>
        <w:t xml:space="preserve"> (49 and 77 </w:t>
      </w:r>
      <w:proofErr w:type="spellStart"/>
      <w:r w:rsidR="009B39D4" w:rsidRPr="00FA5D71">
        <w:rPr>
          <w:rFonts w:ascii="Arial" w:hAnsi="Arial" w:cs="Arial"/>
        </w:rPr>
        <w:t>dpf</w:t>
      </w:r>
      <w:proofErr w:type="spellEnd"/>
      <w:r w:rsidR="009B39D4" w:rsidRPr="00FA5D71">
        <w:rPr>
          <w:rFonts w:ascii="Arial" w:hAnsi="Arial" w:cs="Arial"/>
        </w:rPr>
        <w:t>), subadult</w:t>
      </w:r>
      <w:r w:rsidR="009B39D4" w:rsidRPr="00FA5D71">
        <w:rPr>
          <w:rFonts w:ascii="Arial" w:hAnsi="Arial" w:cs="Arial"/>
          <w:vertAlign w:val="subscript"/>
        </w:rPr>
        <w:t>2</w:t>
      </w:r>
      <w:r w:rsidR="009B39D4" w:rsidRPr="00FA5D71">
        <w:rPr>
          <w:rFonts w:ascii="Arial" w:hAnsi="Arial" w:cs="Arial"/>
        </w:rPr>
        <w:t xml:space="preserve"> (105 and 133 </w:t>
      </w:r>
      <w:proofErr w:type="spellStart"/>
      <w:r w:rsidR="009B39D4" w:rsidRPr="00FA5D71">
        <w:rPr>
          <w:rFonts w:ascii="Arial" w:hAnsi="Arial" w:cs="Arial"/>
        </w:rPr>
        <w:t>dpf</w:t>
      </w:r>
      <w:proofErr w:type="spellEnd"/>
      <w:r w:rsidR="009B39D4" w:rsidRPr="00FA5D71">
        <w:rPr>
          <w:rFonts w:ascii="Arial" w:hAnsi="Arial" w:cs="Arial"/>
        </w:rPr>
        <w:t xml:space="preserve">), and adult (161 and 189 </w:t>
      </w:r>
      <w:proofErr w:type="spellStart"/>
      <w:r w:rsidR="009B39D4" w:rsidRPr="00FA5D71">
        <w:rPr>
          <w:rFonts w:ascii="Arial" w:hAnsi="Arial" w:cs="Arial"/>
        </w:rPr>
        <w:t>dpf</w:t>
      </w:r>
      <w:proofErr w:type="spellEnd"/>
      <w:r w:rsidR="009B39D4" w:rsidRPr="00FA5D71">
        <w:rPr>
          <w:rFonts w:ascii="Arial" w:hAnsi="Arial" w:cs="Arial"/>
        </w:rPr>
        <w:t>).</w:t>
      </w:r>
      <w:r w:rsidR="003B66F0" w:rsidRPr="00FA5D71">
        <w:rPr>
          <w:rFonts w:ascii="Arial" w:hAnsi="Arial" w:cs="Arial"/>
        </w:rPr>
        <w:t xml:space="preserve"> </w:t>
      </w:r>
      <w:commentRangeEnd w:id="25"/>
      <w:r w:rsidR="00637B87">
        <w:rPr>
          <w:rStyle w:val="CommentReference"/>
        </w:rPr>
        <w:commentReference w:id="25"/>
      </w:r>
    </w:p>
    <w:p w14:paraId="492970D4" w14:textId="3BE649B3" w:rsidR="007F46C0" w:rsidRPr="00FA5D71" w:rsidRDefault="004148C1" w:rsidP="00BD0D39">
      <w:pPr>
        <w:spacing w:after="0" w:line="480" w:lineRule="auto"/>
        <w:rPr>
          <w:rFonts w:ascii="Arial" w:hAnsi="Arial" w:cs="Arial"/>
        </w:rPr>
      </w:pPr>
      <w:r w:rsidRPr="00FA5D71">
        <w:rPr>
          <w:rFonts w:ascii="Arial" w:hAnsi="Arial" w:cs="Arial"/>
        </w:rPr>
        <w:tab/>
        <w:t>Repeatability estimates within and between life stages were calculated with the R package rptR</w:t>
      </w:r>
      <w:r w:rsidRPr="00FA5D71">
        <w:rPr>
          <w:rFonts w:ascii="Arial" w:hAnsi="Arial" w:cs="Arial"/>
        </w:rPr>
        <w:fldChar w:fldCharType="begin" w:fldLock="1"/>
      </w:r>
      <w:r w:rsidRPr="00FA5D71">
        <w:rPr>
          <w:rFonts w:ascii="Arial" w:hAnsi="Arial" w:cs="Arial"/>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6229c8fe-2d09-449f-af1f-724668fe434f"]}],"mendeley":{"formattedCitation":"&lt;sup&gt;14&lt;/sup&gt;","plainTextFormattedCitation":"14"},"properties":{"noteIndex":0},"schema":"https://github.com/citation-style-language/schema/raw/master/csl-citation.json"}</w:instrText>
      </w:r>
      <w:r w:rsidRPr="00FA5D71">
        <w:rPr>
          <w:rFonts w:ascii="Arial" w:hAnsi="Arial" w:cs="Arial"/>
        </w:rPr>
        <w:fldChar w:fldCharType="separate"/>
      </w:r>
      <w:r w:rsidRPr="00FA5D71">
        <w:rPr>
          <w:rFonts w:ascii="Arial" w:hAnsi="Arial" w:cs="Arial"/>
          <w:noProof/>
          <w:vertAlign w:val="superscript"/>
        </w:rPr>
        <w:t>14</w:t>
      </w:r>
      <w:r w:rsidRPr="00FA5D71">
        <w:rPr>
          <w:rFonts w:ascii="Arial" w:hAnsi="Arial" w:cs="Arial"/>
        </w:rPr>
        <w:fldChar w:fldCharType="end"/>
      </w:r>
      <w:r w:rsidRPr="00FA5D71">
        <w:rPr>
          <w:rFonts w:ascii="Arial" w:hAnsi="Arial" w:cs="Arial"/>
        </w:rPr>
        <w:t xml:space="preserve">. Calculated with 1500 </w:t>
      </w:r>
      <w:proofErr w:type="spellStart"/>
      <w:r w:rsidRPr="00FA5D71">
        <w:rPr>
          <w:rFonts w:ascii="Arial" w:hAnsi="Arial" w:cs="Arial"/>
        </w:rPr>
        <w:t>bootstrappings</w:t>
      </w:r>
      <w:proofErr w:type="spellEnd"/>
      <w:r w:rsidRPr="00FA5D71">
        <w:rPr>
          <w:rFonts w:ascii="Arial" w:hAnsi="Arial" w:cs="Arial"/>
        </w:rPr>
        <w:t xml:space="preserve"> and 0 permutations, repeatability estimates, significance levels, and 95% confidence intervals are reported. </w:t>
      </w:r>
      <w:r w:rsidR="003B66F0" w:rsidRPr="00FA5D71">
        <w:rPr>
          <w:rFonts w:ascii="Arial" w:hAnsi="Arial" w:cs="Arial"/>
        </w:rPr>
        <w:t xml:space="preserve">Repeatability estimates were analyzed within each life stage, for the complete dataset including all test periods (referred to as ‘across life stages’), and including only the first and last test period (referred to as ‘long interval’). </w:t>
      </w:r>
      <w:r w:rsidR="00E235F6" w:rsidRPr="00FA5D71">
        <w:rPr>
          <w:rFonts w:ascii="Arial" w:hAnsi="Arial" w:cs="Arial"/>
        </w:rPr>
        <w:t xml:space="preserve">The full models across and within life stages were separated by treatment with stage and individual ID as fixed and random effects, respectively. </w:t>
      </w:r>
    </w:p>
    <w:p w14:paraId="169EC7D2" w14:textId="100A44BB" w:rsidR="009B39D4" w:rsidRPr="00FA5D71" w:rsidRDefault="009B39D4" w:rsidP="00BD0D39">
      <w:pPr>
        <w:spacing w:after="0" w:line="480" w:lineRule="auto"/>
        <w:rPr>
          <w:rFonts w:ascii="Arial" w:hAnsi="Arial" w:cs="Arial"/>
        </w:rPr>
      </w:pPr>
      <w:r w:rsidRPr="00FA5D71">
        <w:rPr>
          <w:rFonts w:ascii="Arial" w:hAnsi="Arial" w:cs="Arial"/>
          <w:highlight w:val="cyan"/>
        </w:rPr>
        <w:t xml:space="preserve">[insert more on this </w:t>
      </w:r>
      <w:r w:rsidR="00A7574F" w:rsidRPr="00FA5D71">
        <w:rPr>
          <w:rFonts w:ascii="Arial" w:hAnsi="Arial" w:cs="Arial"/>
          <w:highlight w:val="cyan"/>
        </w:rPr>
        <w:t xml:space="preserve">as needed </w:t>
      </w:r>
      <w:r w:rsidRPr="00FA5D71">
        <w:rPr>
          <w:rFonts w:ascii="Arial" w:hAnsi="Arial" w:cs="Arial"/>
          <w:highlight w:val="cyan"/>
        </w:rPr>
        <w:t>after we specify that all my analyses were correct]</w:t>
      </w:r>
      <w:r w:rsidR="00637B87">
        <w:rPr>
          <w:rFonts w:ascii="Arial" w:hAnsi="Arial" w:cs="Arial"/>
        </w:rPr>
        <w:t xml:space="preserve">  </w:t>
      </w:r>
      <w:r w:rsidR="00637B87" w:rsidRPr="00FA5D71">
        <w:rPr>
          <w:rFonts w:ascii="Arial" w:hAnsi="Arial" w:cs="Arial"/>
        </w:rPr>
        <w:t xml:space="preserve">Statistical analyses were conducted via R (R Core Team) using the packages </w:t>
      </w:r>
      <w:r w:rsidR="00637B87" w:rsidRPr="00FA5D71">
        <w:rPr>
          <w:rFonts w:ascii="Arial" w:hAnsi="Arial" w:cs="Arial"/>
          <w:highlight w:val="cyan"/>
        </w:rPr>
        <w:t>__, __, and __</w:t>
      </w:r>
      <w:r w:rsidR="00637B87" w:rsidRPr="00FA5D71">
        <w:rPr>
          <w:rFonts w:ascii="Arial" w:hAnsi="Arial" w:cs="Arial"/>
        </w:rPr>
        <w:t>. An α = 0.05 was set as the level of significance for all comparisons.</w:t>
      </w:r>
    </w:p>
    <w:p w14:paraId="5E6998C2" w14:textId="77777777" w:rsidR="00E41143" w:rsidRDefault="00E41143" w:rsidP="00FA5D71">
      <w:pPr>
        <w:rPr>
          <w:rFonts w:ascii="Arial" w:hAnsi="Arial" w:cs="Arial"/>
          <w:b/>
          <w:bCs/>
        </w:rPr>
      </w:pPr>
    </w:p>
    <w:p w14:paraId="07739252" w14:textId="0CF280D7" w:rsidR="00E41143" w:rsidRPr="00D147E4" w:rsidRDefault="006A2073" w:rsidP="00FA5D71">
      <w:pPr>
        <w:rPr>
          <w:rFonts w:ascii="Arial" w:hAnsi="Arial" w:cs="Arial"/>
          <w:b/>
          <w:bCs/>
        </w:rPr>
      </w:pPr>
      <w:commentRangeStart w:id="26"/>
      <w:r>
        <w:rPr>
          <w:rFonts w:ascii="Arial" w:hAnsi="Arial" w:cs="Arial"/>
          <w:b/>
          <w:bCs/>
        </w:rPr>
        <w:t>RESULTS</w:t>
      </w:r>
      <w:commentRangeEnd w:id="26"/>
      <w:r w:rsidR="000643F0">
        <w:rPr>
          <w:rStyle w:val="CommentReference"/>
        </w:rPr>
        <w:commentReference w:id="26"/>
      </w:r>
    </w:p>
    <w:p w14:paraId="679CB327" w14:textId="5CFFE5F2" w:rsidR="00FA5D71" w:rsidRPr="00D147E4" w:rsidRDefault="0047610B" w:rsidP="00FA5D71">
      <w:pPr>
        <w:rPr>
          <w:rFonts w:ascii="Arial" w:hAnsi="Arial" w:cs="Arial"/>
          <w:b/>
          <w:bCs/>
        </w:rPr>
      </w:pPr>
      <w:r w:rsidRPr="00D147E4">
        <w:rPr>
          <w:rFonts w:ascii="Arial" w:hAnsi="Arial" w:cs="Arial"/>
          <w:b/>
          <w:bCs/>
        </w:rPr>
        <w:t xml:space="preserve">Repeatability of behavior </w:t>
      </w:r>
      <w:r w:rsidR="00350887" w:rsidRPr="00D147E4">
        <w:rPr>
          <w:rFonts w:ascii="Arial" w:hAnsi="Arial" w:cs="Arial"/>
          <w:b/>
          <w:bCs/>
        </w:rPr>
        <w:t>across life stages</w:t>
      </w:r>
      <w:r w:rsidRPr="00D147E4">
        <w:rPr>
          <w:rFonts w:ascii="Arial" w:hAnsi="Arial" w:cs="Arial"/>
          <w:b/>
          <w:bCs/>
        </w:rPr>
        <w:t xml:space="preserve"> </w:t>
      </w:r>
    </w:p>
    <w:p w14:paraId="0191DFE6" w14:textId="77777777" w:rsidR="00FA5D71" w:rsidRPr="00FA5D71" w:rsidRDefault="00FA5D71" w:rsidP="00FA5D71">
      <w:pPr>
        <w:spacing w:after="0" w:line="480" w:lineRule="auto"/>
        <w:rPr>
          <w:rFonts w:ascii="Arial" w:hAnsi="Arial" w:cs="Arial"/>
        </w:rPr>
      </w:pPr>
      <w:r w:rsidRPr="00FA5D71">
        <w:rPr>
          <w:rFonts w:ascii="Arial" w:hAnsi="Arial" w:cs="Arial"/>
        </w:rPr>
        <w:t>Repeatability estimates are recorded in Figure XX. Activity (A) and exploration (TD) were repeatable in all treatments across all life stages during the whole measurement period including all test rounds. Boldness (CD and L) were repeatable in the control and BMAA</w:t>
      </w:r>
      <w:r w:rsidRPr="00FA5D71">
        <w:rPr>
          <w:rFonts w:ascii="Arial" w:hAnsi="Arial" w:cs="Arial"/>
          <w:vertAlign w:val="subscript"/>
        </w:rPr>
        <w:t>HIGH</w:t>
      </w:r>
      <w:r w:rsidRPr="00FA5D71">
        <w:rPr>
          <w:rFonts w:ascii="Arial" w:hAnsi="Arial" w:cs="Arial"/>
        </w:rPr>
        <w:t xml:space="preserve"> treatments across all life stages including all test rounds. Fish in the BMAA</w:t>
      </w:r>
      <w:r w:rsidRPr="00FA5D71">
        <w:rPr>
          <w:rFonts w:ascii="Arial" w:hAnsi="Arial" w:cs="Arial"/>
          <w:vertAlign w:val="subscript"/>
        </w:rPr>
        <w:t>LOW</w:t>
      </w:r>
      <w:r w:rsidRPr="00FA5D71">
        <w:rPr>
          <w:rFonts w:ascii="Arial" w:hAnsi="Arial" w:cs="Arial"/>
        </w:rPr>
        <w:t xml:space="preserve"> treatment did not have significant repeatability in CD or L tests across all life stages. In all cases except CD, repeatability decreased as BMAA treatment increased. Fish treated with BMAA exhibited L and A behaviors with ~50% lower repeatability than controls. </w:t>
      </w:r>
      <w:commentRangeStart w:id="27"/>
      <w:r w:rsidRPr="00FA5D71">
        <w:rPr>
          <w:rFonts w:ascii="Arial" w:hAnsi="Arial" w:cs="Arial"/>
        </w:rPr>
        <w:t>Long interval estimates of repeatability were not significantly different from zero for all comparisons except for L in control fish.</w:t>
      </w:r>
      <w:commentRangeEnd w:id="27"/>
      <w:r w:rsidR="00186A39">
        <w:rPr>
          <w:rStyle w:val="CommentReference"/>
        </w:rPr>
        <w:commentReference w:id="27"/>
      </w:r>
    </w:p>
    <w:p w14:paraId="731024A9" w14:textId="77777777" w:rsidR="002E768E" w:rsidRDefault="002E768E" w:rsidP="00FA5D71">
      <w:pPr>
        <w:spacing w:after="0" w:line="480" w:lineRule="auto"/>
        <w:rPr>
          <w:rFonts w:ascii="Arial" w:hAnsi="Arial" w:cs="Arial"/>
        </w:rPr>
      </w:pPr>
    </w:p>
    <w:p w14:paraId="54473047" w14:textId="71D0D1DE" w:rsidR="00FA5D71" w:rsidRPr="00FA5D71" w:rsidRDefault="00FA5D71" w:rsidP="00FA5D71">
      <w:pPr>
        <w:spacing w:after="0" w:line="480" w:lineRule="auto"/>
        <w:rPr>
          <w:rFonts w:ascii="Arial" w:hAnsi="Arial" w:cs="Arial"/>
        </w:rPr>
      </w:pPr>
      <w:r w:rsidRPr="00FA5D71">
        <w:rPr>
          <w:rFonts w:ascii="Arial" w:hAnsi="Arial" w:cs="Arial"/>
        </w:rPr>
        <w:t>Q2 – Ontogenesis</w:t>
      </w:r>
    </w:p>
    <w:p w14:paraId="4A13F6B3" w14:textId="77777777" w:rsidR="00FA5D71" w:rsidRPr="00FA5D71" w:rsidRDefault="00FA5D71" w:rsidP="00FA5D71">
      <w:pPr>
        <w:spacing w:after="0" w:line="480" w:lineRule="auto"/>
        <w:rPr>
          <w:rFonts w:ascii="Arial" w:hAnsi="Arial" w:cs="Arial"/>
        </w:rPr>
      </w:pPr>
      <w:r w:rsidRPr="00FA5D71">
        <w:rPr>
          <w:rFonts w:ascii="Arial" w:hAnsi="Arial" w:cs="Arial"/>
        </w:rPr>
        <w:t>Over ontogeny, the expression of repeatable behaviors varied over stage and treatment in all traits, with some differences among treatments (Fig. XX). Fish in the BMAA</w:t>
      </w:r>
      <w:r w:rsidRPr="00FA5D71">
        <w:rPr>
          <w:rFonts w:ascii="Arial" w:hAnsi="Arial" w:cs="Arial"/>
          <w:vertAlign w:val="subscript"/>
        </w:rPr>
        <w:t>LOW</w:t>
      </w:r>
      <w:r w:rsidRPr="00FA5D71">
        <w:rPr>
          <w:rFonts w:ascii="Arial" w:hAnsi="Arial" w:cs="Arial"/>
        </w:rPr>
        <w:t xml:space="preserve"> group expressed no repeatable behaviors in the juvenile stage. Estimates for repeatability in activity (A) were significant in the young adult and adult life stages in control fish, subadult and young adult life stages in BMAA</w:t>
      </w:r>
      <w:r w:rsidRPr="00FA5D71">
        <w:rPr>
          <w:rFonts w:ascii="Arial" w:hAnsi="Arial" w:cs="Arial"/>
          <w:vertAlign w:val="subscript"/>
        </w:rPr>
        <w:t>LOW</w:t>
      </w:r>
      <w:r w:rsidRPr="00FA5D71">
        <w:rPr>
          <w:rFonts w:ascii="Arial" w:hAnsi="Arial" w:cs="Arial"/>
        </w:rPr>
        <w:t xml:space="preserve"> fish, and all life stages in BMAA</w:t>
      </w:r>
      <w:r w:rsidRPr="00FA5D71">
        <w:rPr>
          <w:rFonts w:ascii="Arial" w:hAnsi="Arial" w:cs="Arial"/>
          <w:vertAlign w:val="subscript"/>
        </w:rPr>
        <w:t>HIGH</w:t>
      </w:r>
      <w:r w:rsidRPr="00FA5D71">
        <w:rPr>
          <w:rFonts w:ascii="Arial" w:hAnsi="Arial" w:cs="Arial"/>
        </w:rPr>
        <w:t xml:space="preserve"> fish. Exploration (TD) had significant repeatability emerge at the young adult and adult life stage in control fish, at the young adult stage in BMAA</w:t>
      </w:r>
      <w:r w:rsidRPr="00FA5D71">
        <w:rPr>
          <w:rFonts w:ascii="Arial" w:hAnsi="Arial" w:cs="Arial"/>
          <w:vertAlign w:val="subscript"/>
        </w:rPr>
        <w:t>LOW</w:t>
      </w:r>
      <w:r w:rsidRPr="00FA5D71">
        <w:rPr>
          <w:rFonts w:ascii="Arial" w:hAnsi="Arial" w:cs="Arial"/>
        </w:rPr>
        <w:t>, and at the juvenile and adult stages in BMAA</w:t>
      </w:r>
      <w:r w:rsidRPr="00FA5D71">
        <w:rPr>
          <w:rFonts w:ascii="Arial" w:hAnsi="Arial" w:cs="Arial"/>
          <w:vertAlign w:val="subscript"/>
        </w:rPr>
        <w:t>HIGH</w:t>
      </w:r>
      <w:r w:rsidRPr="00FA5D71">
        <w:rPr>
          <w:rFonts w:ascii="Arial" w:hAnsi="Arial" w:cs="Arial"/>
        </w:rPr>
        <w:t>. Boldness (CD) was repeatable for adults in the control and BMAA</w:t>
      </w:r>
      <w:r w:rsidRPr="00FA5D71">
        <w:rPr>
          <w:rFonts w:ascii="Arial" w:hAnsi="Arial" w:cs="Arial"/>
          <w:vertAlign w:val="subscript"/>
        </w:rPr>
        <w:t>HIGH</w:t>
      </w:r>
      <w:r w:rsidRPr="00FA5D71">
        <w:rPr>
          <w:rFonts w:ascii="Arial" w:hAnsi="Arial" w:cs="Arial"/>
        </w:rPr>
        <w:t xml:space="preserve"> treatment, and in the juvenile stage for controls. Boldness (L) was significant for subadult and young adult stages in controls plus significant in young adult and adult BMAA</w:t>
      </w:r>
      <w:r w:rsidRPr="00FA5D71">
        <w:rPr>
          <w:rFonts w:ascii="Arial" w:hAnsi="Arial" w:cs="Arial"/>
          <w:vertAlign w:val="subscript"/>
        </w:rPr>
        <w:t>HIGH</w:t>
      </w:r>
      <w:r w:rsidRPr="00FA5D71">
        <w:rPr>
          <w:rFonts w:ascii="Arial" w:hAnsi="Arial" w:cs="Arial"/>
        </w:rPr>
        <w:t xml:space="preserve"> groups. In both measures of boldness (CD and L), repeatability estimates for BMAA</w:t>
      </w:r>
      <w:r w:rsidRPr="00FA5D71">
        <w:rPr>
          <w:rFonts w:ascii="Arial" w:hAnsi="Arial" w:cs="Arial"/>
          <w:vertAlign w:val="subscript"/>
        </w:rPr>
        <w:t>LOW</w:t>
      </w:r>
      <w:r w:rsidRPr="00FA5D71">
        <w:rPr>
          <w:rFonts w:ascii="Arial" w:hAnsi="Arial" w:cs="Arial"/>
        </w:rPr>
        <w:t xml:space="preserve"> fish showed confidence intervals that overlapped with zero at all life stages. </w:t>
      </w:r>
    </w:p>
    <w:p w14:paraId="7AEC0D56" w14:textId="77777777" w:rsidR="00FA5D71" w:rsidRPr="00FA5D71" w:rsidRDefault="00FA5D71" w:rsidP="00FA5D71">
      <w:pPr>
        <w:rPr>
          <w:rFonts w:ascii="Arial" w:hAnsi="Arial" w:cs="Arial"/>
        </w:rPr>
      </w:pPr>
    </w:p>
    <w:p w14:paraId="202C3381" w14:textId="77777777" w:rsidR="00FA5D71" w:rsidRPr="00FA5D71" w:rsidRDefault="00FA5D71" w:rsidP="00BD0D39">
      <w:pPr>
        <w:spacing w:after="0" w:line="480" w:lineRule="auto"/>
        <w:rPr>
          <w:rFonts w:ascii="Arial" w:hAnsi="Arial" w:cs="Arial"/>
        </w:rPr>
      </w:pPr>
    </w:p>
    <w:p w14:paraId="46829F58" w14:textId="339A5DF8" w:rsidR="00037363" w:rsidRPr="00FA5D71" w:rsidRDefault="00037363" w:rsidP="00037363">
      <w:pPr>
        <w:spacing w:after="0" w:line="480" w:lineRule="auto"/>
        <w:rPr>
          <w:rFonts w:ascii="Arial" w:hAnsi="Arial" w:cs="Arial"/>
        </w:rPr>
      </w:pPr>
    </w:p>
    <w:p w14:paraId="4413B3AF" w14:textId="3B2FFAD1" w:rsidR="00F6453B" w:rsidRPr="00FA5D71" w:rsidRDefault="00F6453B" w:rsidP="00037363">
      <w:pPr>
        <w:spacing w:after="0" w:line="480" w:lineRule="auto"/>
        <w:rPr>
          <w:rFonts w:ascii="Arial" w:hAnsi="Arial" w:cs="Arial"/>
        </w:rPr>
      </w:pPr>
      <w:r w:rsidRPr="00FA5D71">
        <w:rPr>
          <w:rFonts w:ascii="Arial" w:hAnsi="Arial" w:cs="Arial"/>
        </w:rPr>
        <w:t>Literature Cited</w:t>
      </w:r>
    </w:p>
    <w:p w14:paraId="1CC49087" w14:textId="7C5314A1" w:rsidR="004148C1" w:rsidRPr="00FA5D71" w:rsidRDefault="00D33CDE"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rPr>
        <w:fldChar w:fldCharType="begin" w:fldLock="1"/>
      </w:r>
      <w:r w:rsidRPr="00FA5D71">
        <w:rPr>
          <w:rFonts w:ascii="Arial" w:hAnsi="Arial" w:cs="Arial"/>
        </w:rPr>
        <w:instrText xml:space="preserve">ADDIN Mendeley Bibliography CSL_BIBLIOGRAPHY </w:instrText>
      </w:r>
      <w:r w:rsidRPr="00FA5D71">
        <w:rPr>
          <w:rFonts w:ascii="Arial" w:hAnsi="Arial" w:cs="Arial"/>
        </w:rPr>
        <w:fldChar w:fldCharType="separate"/>
      </w:r>
      <w:r w:rsidR="004148C1" w:rsidRPr="00FA5D71">
        <w:rPr>
          <w:rFonts w:ascii="Arial" w:hAnsi="Arial" w:cs="Arial"/>
          <w:noProof/>
        </w:rPr>
        <w:t>1.</w:t>
      </w:r>
      <w:r w:rsidR="004148C1" w:rsidRPr="00FA5D71">
        <w:rPr>
          <w:rFonts w:ascii="Arial" w:hAnsi="Arial" w:cs="Arial"/>
          <w:noProof/>
        </w:rPr>
        <w:tab/>
        <w:t xml:space="preserve">Leino, R. L., Jensen, K. M. &amp; Ankley, G. T. Gonadal histology and characteristic histopathology associated with endocrine disruption in the adult fathead minnow (Pimephales promelas). </w:t>
      </w:r>
      <w:r w:rsidR="004148C1" w:rsidRPr="00FA5D71">
        <w:rPr>
          <w:rFonts w:ascii="Arial" w:hAnsi="Arial" w:cs="Arial"/>
          <w:i/>
          <w:iCs/>
          <w:noProof/>
        </w:rPr>
        <w:t>Environ. Toxicol. Pharmacol.</w:t>
      </w:r>
      <w:r w:rsidR="004148C1" w:rsidRPr="00FA5D71">
        <w:rPr>
          <w:rFonts w:ascii="Arial" w:hAnsi="Arial" w:cs="Arial"/>
          <w:noProof/>
        </w:rPr>
        <w:t xml:space="preserve"> </w:t>
      </w:r>
      <w:r w:rsidR="004148C1" w:rsidRPr="00FA5D71">
        <w:rPr>
          <w:rFonts w:ascii="Arial" w:hAnsi="Arial" w:cs="Arial"/>
          <w:b/>
          <w:bCs/>
          <w:noProof/>
        </w:rPr>
        <w:t>19</w:t>
      </w:r>
      <w:r w:rsidR="004148C1" w:rsidRPr="00FA5D71">
        <w:rPr>
          <w:rFonts w:ascii="Arial" w:hAnsi="Arial" w:cs="Arial"/>
          <w:noProof/>
        </w:rPr>
        <w:t>, 85–98 (2005).</w:t>
      </w:r>
    </w:p>
    <w:p w14:paraId="3BE9395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2.</w:t>
      </w:r>
      <w:r w:rsidRPr="00FA5D71">
        <w:rPr>
          <w:rFonts w:ascii="Arial" w:hAnsi="Arial" w:cs="Arial"/>
          <w:noProof/>
        </w:rPr>
        <w:tab/>
        <w:t xml:space="preserve">Al-Sammak, M. A., Hoagland, K. D., Cassada, D. &amp; Snow, D. D. Co-occurrence of the cyanotoxins BMAA, DABA and anatoxin-a in Nebraska reservoirs, fish, and aquatic plants. </w:t>
      </w:r>
      <w:r w:rsidRPr="00FA5D71">
        <w:rPr>
          <w:rFonts w:ascii="Arial" w:hAnsi="Arial" w:cs="Arial"/>
          <w:i/>
          <w:iCs/>
          <w:noProof/>
        </w:rPr>
        <w:t>Toxins (Basel).</w:t>
      </w:r>
      <w:r w:rsidRPr="00FA5D71">
        <w:rPr>
          <w:rFonts w:ascii="Arial" w:hAnsi="Arial" w:cs="Arial"/>
          <w:noProof/>
        </w:rPr>
        <w:t xml:space="preserve"> </w:t>
      </w:r>
      <w:r w:rsidRPr="00FA5D71">
        <w:rPr>
          <w:rFonts w:ascii="Arial" w:hAnsi="Arial" w:cs="Arial"/>
          <w:b/>
          <w:bCs/>
          <w:noProof/>
        </w:rPr>
        <w:t>6</w:t>
      </w:r>
      <w:r w:rsidRPr="00FA5D71">
        <w:rPr>
          <w:rFonts w:ascii="Arial" w:hAnsi="Arial" w:cs="Arial"/>
          <w:noProof/>
        </w:rPr>
        <w:t>, 488–508 (2014).</w:t>
      </w:r>
    </w:p>
    <w:p w14:paraId="7D49EEE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3.</w:t>
      </w:r>
      <w:r w:rsidRPr="00FA5D71">
        <w:rPr>
          <w:rFonts w:ascii="Arial" w:hAnsi="Arial" w:cs="Arial"/>
          <w:noProof/>
        </w:rPr>
        <w:tab/>
        <w:t xml:space="preserve">Duy, S. V. </w:t>
      </w:r>
      <w:r w:rsidRPr="00FA5D71">
        <w:rPr>
          <w:rFonts w:ascii="Arial" w:hAnsi="Arial" w:cs="Arial"/>
          <w:i/>
          <w:iCs/>
          <w:noProof/>
        </w:rPr>
        <w:t>et al.</w:t>
      </w:r>
      <w:r w:rsidRPr="00FA5D71">
        <w:rPr>
          <w:rFonts w:ascii="Arial" w:hAnsi="Arial" w:cs="Arial"/>
          <w:noProof/>
        </w:rPr>
        <w:t xml:space="preserve"> Analysis of the neurotoxin β-N-methylamino-L-alanine (BMAA) and isomers in surface water by FMOC derivatization liquid chromatography high resolution </w:t>
      </w:r>
      <w:r w:rsidRPr="00FA5D71">
        <w:rPr>
          <w:rFonts w:ascii="Arial" w:hAnsi="Arial" w:cs="Arial"/>
          <w:noProof/>
        </w:rPr>
        <w:lastRenderedPageBreak/>
        <w:t xml:space="preserve">mass spectrometry. </w:t>
      </w:r>
      <w:r w:rsidRPr="00FA5D71">
        <w:rPr>
          <w:rFonts w:ascii="Arial" w:hAnsi="Arial" w:cs="Arial"/>
          <w:i/>
          <w:iCs/>
          <w:noProof/>
        </w:rPr>
        <w:t>PLoS One</w:t>
      </w:r>
      <w:r w:rsidRPr="00FA5D71">
        <w:rPr>
          <w:rFonts w:ascii="Arial" w:hAnsi="Arial" w:cs="Arial"/>
          <w:noProof/>
        </w:rPr>
        <w:t xml:space="preserve"> </w:t>
      </w:r>
      <w:r w:rsidRPr="00FA5D71">
        <w:rPr>
          <w:rFonts w:ascii="Arial" w:hAnsi="Arial" w:cs="Arial"/>
          <w:b/>
          <w:bCs/>
          <w:noProof/>
        </w:rPr>
        <w:t>14</w:t>
      </w:r>
      <w:r w:rsidRPr="00FA5D71">
        <w:rPr>
          <w:rFonts w:ascii="Arial" w:hAnsi="Arial" w:cs="Arial"/>
          <w:noProof/>
        </w:rPr>
        <w:t>, 1–23 (2019).</w:t>
      </w:r>
    </w:p>
    <w:p w14:paraId="185F49D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4.</w:t>
      </w:r>
      <w:r w:rsidRPr="00FA5D71">
        <w:rPr>
          <w:rFonts w:ascii="Arial" w:hAnsi="Arial" w:cs="Arial"/>
          <w:noProof/>
        </w:rPr>
        <w:tab/>
        <w:t xml:space="preserve">Frederick, J. L. Evaluation of fluorescent elastomer injection as a method for marking small fish. </w:t>
      </w:r>
      <w:r w:rsidRPr="00FA5D71">
        <w:rPr>
          <w:rFonts w:ascii="Arial" w:hAnsi="Arial" w:cs="Arial"/>
          <w:i/>
          <w:iCs/>
          <w:noProof/>
        </w:rPr>
        <w:t>Bull. Mar. Sci.</w:t>
      </w:r>
      <w:r w:rsidRPr="00FA5D71">
        <w:rPr>
          <w:rFonts w:ascii="Arial" w:hAnsi="Arial" w:cs="Arial"/>
          <w:noProof/>
        </w:rPr>
        <w:t xml:space="preserve"> </w:t>
      </w:r>
      <w:r w:rsidRPr="00FA5D71">
        <w:rPr>
          <w:rFonts w:ascii="Arial" w:hAnsi="Arial" w:cs="Arial"/>
          <w:b/>
          <w:bCs/>
          <w:noProof/>
        </w:rPr>
        <w:t>61</w:t>
      </w:r>
      <w:r w:rsidRPr="00FA5D71">
        <w:rPr>
          <w:rFonts w:ascii="Arial" w:hAnsi="Arial" w:cs="Arial"/>
          <w:noProof/>
        </w:rPr>
        <w:t>, 399–408 (1997).</w:t>
      </w:r>
    </w:p>
    <w:p w14:paraId="1AA0BE3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5.</w:t>
      </w:r>
      <w:r w:rsidRPr="00FA5D71">
        <w:rPr>
          <w:rFonts w:ascii="Arial" w:hAnsi="Arial" w:cs="Arial"/>
          <w:noProof/>
        </w:rPr>
        <w:tab/>
        <w:t xml:space="preserve">Polverino, G., Cigliano, C., Nakayama, S. &amp; Mehner, T. Emergence and development of personality over the ontogeny of fish in absence of environmental stress factors. </w:t>
      </w:r>
      <w:r w:rsidRPr="00FA5D71">
        <w:rPr>
          <w:rFonts w:ascii="Arial" w:hAnsi="Arial" w:cs="Arial"/>
          <w:i/>
          <w:iCs/>
          <w:noProof/>
        </w:rPr>
        <w:t>Behav. Ecol. Sociobiol.</w:t>
      </w:r>
      <w:r w:rsidRPr="00FA5D71">
        <w:rPr>
          <w:rFonts w:ascii="Arial" w:hAnsi="Arial" w:cs="Arial"/>
          <w:noProof/>
        </w:rPr>
        <w:t xml:space="preserve"> </w:t>
      </w:r>
      <w:r w:rsidRPr="00FA5D71">
        <w:rPr>
          <w:rFonts w:ascii="Arial" w:hAnsi="Arial" w:cs="Arial"/>
          <w:b/>
          <w:bCs/>
          <w:noProof/>
        </w:rPr>
        <w:t>70</w:t>
      </w:r>
      <w:r w:rsidRPr="00FA5D71">
        <w:rPr>
          <w:rFonts w:ascii="Arial" w:hAnsi="Arial" w:cs="Arial"/>
          <w:noProof/>
        </w:rPr>
        <w:t>, 2027–2037 (2016).</w:t>
      </w:r>
    </w:p>
    <w:p w14:paraId="23ADCFD2"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6.</w:t>
      </w:r>
      <w:r w:rsidRPr="00FA5D71">
        <w:rPr>
          <w:rFonts w:ascii="Arial" w:hAnsi="Arial" w:cs="Arial"/>
          <w:noProof/>
        </w:rPr>
        <w:tab/>
        <w:t xml:space="preserve">Dreosti, E., Lopes, G., Kampff, A. R. &amp; Wilson, S. W. Development of social behavior in young zebrafish. </w:t>
      </w:r>
      <w:r w:rsidRPr="00FA5D71">
        <w:rPr>
          <w:rFonts w:ascii="Arial" w:hAnsi="Arial" w:cs="Arial"/>
          <w:i/>
          <w:iCs/>
          <w:noProof/>
        </w:rPr>
        <w:t>Front. Neural Circuits</w:t>
      </w:r>
      <w:r w:rsidRPr="00FA5D71">
        <w:rPr>
          <w:rFonts w:ascii="Arial" w:hAnsi="Arial" w:cs="Arial"/>
          <w:noProof/>
        </w:rPr>
        <w:t xml:space="preserve"> </w:t>
      </w:r>
      <w:r w:rsidRPr="00FA5D71">
        <w:rPr>
          <w:rFonts w:ascii="Arial" w:hAnsi="Arial" w:cs="Arial"/>
          <w:b/>
          <w:bCs/>
          <w:noProof/>
        </w:rPr>
        <w:t>9</w:t>
      </w:r>
      <w:r w:rsidRPr="00FA5D71">
        <w:rPr>
          <w:rFonts w:ascii="Arial" w:hAnsi="Arial" w:cs="Arial"/>
          <w:noProof/>
        </w:rPr>
        <w:t>, 1–9 (2015).</w:t>
      </w:r>
    </w:p>
    <w:p w14:paraId="5E0A799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7.</w:t>
      </w:r>
      <w:r w:rsidRPr="00FA5D71">
        <w:rPr>
          <w:rFonts w:ascii="Arial" w:hAnsi="Arial" w:cs="Arial"/>
          <w:noProof/>
        </w:rPr>
        <w:tab/>
        <w:t xml:space="preserve">Ward, A. J. W. &amp; Mehner, T. Multimodal mixed messages: The use of multiple cues allows greater accuracy in social recognition and predator detection decisions in the mosquitofish, Gambusia holbrooki. </w:t>
      </w:r>
      <w:r w:rsidRPr="00FA5D71">
        <w:rPr>
          <w:rFonts w:ascii="Arial" w:hAnsi="Arial" w:cs="Arial"/>
          <w:i/>
          <w:iCs/>
          <w:noProof/>
        </w:rPr>
        <w:t>Behav. Ecol.</w:t>
      </w:r>
      <w:r w:rsidRPr="00FA5D71">
        <w:rPr>
          <w:rFonts w:ascii="Arial" w:hAnsi="Arial" w:cs="Arial"/>
          <w:noProof/>
        </w:rPr>
        <w:t xml:space="preserve"> </w:t>
      </w:r>
      <w:r w:rsidRPr="00FA5D71">
        <w:rPr>
          <w:rFonts w:ascii="Arial" w:hAnsi="Arial" w:cs="Arial"/>
          <w:b/>
          <w:bCs/>
          <w:noProof/>
        </w:rPr>
        <w:t>21</w:t>
      </w:r>
      <w:r w:rsidRPr="00FA5D71">
        <w:rPr>
          <w:rFonts w:ascii="Arial" w:hAnsi="Arial" w:cs="Arial"/>
          <w:noProof/>
        </w:rPr>
        <w:t>, 1315–1320 (2010).</w:t>
      </w:r>
    </w:p>
    <w:p w14:paraId="52E76893"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8.</w:t>
      </w:r>
      <w:r w:rsidRPr="00FA5D71">
        <w:rPr>
          <w:rFonts w:ascii="Arial" w:hAnsi="Arial" w:cs="Arial"/>
          <w:noProof/>
        </w:rPr>
        <w:tab/>
        <w:t xml:space="preserve">Thordstein, M. </w:t>
      </w:r>
      <w:r w:rsidRPr="00FA5D71">
        <w:rPr>
          <w:rFonts w:ascii="Arial" w:hAnsi="Arial" w:cs="Arial"/>
          <w:i/>
          <w:iCs/>
          <w:noProof/>
        </w:rPr>
        <w:t>et al.</w:t>
      </w:r>
      <w:r w:rsidRPr="00FA5D71">
        <w:rPr>
          <w:rFonts w:ascii="Arial" w:hAnsi="Arial" w:cs="Arial"/>
          <w:noProof/>
        </w:rPr>
        <w:t xml:space="preserve"> Infraslow EEG activity in burst periods from post asphyctic full term neonates. </w:t>
      </w:r>
      <w:r w:rsidRPr="00FA5D71">
        <w:rPr>
          <w:rFonts w:ascii="Arial" w:hAnsi="Arial" w:cs="Arial"/>
          <w:i/>
          <w:iCs/>
          <w:noProof/>
        </w:rPr>
        <w:t>Clin. Neurophysiol.</w:t>
      </w:r>
      <w:r w:rsidRPr="00FA5D71">
        <w:rPr>
          <w:rFonts w:ascii="Arial" w:hAnsi="Arial" w:cs="Arial"/>
          <w:noProof/>
        </w:rPr>
        <w:t xml:space="preserve"> </w:t>
      </w:r>
      <w:r w:rsidRPr="00FA5D71">
        <w:rPr>
          <w:rFonts w:ascii="Arial" w:hAnsi="Arial" w:cs="Arial"/>
          <w:b/>
          <w:bCs/>
          <w:noProof/>
        </w:rPr>
        <w:t>116</w:t>
      </w:r>
      <w:r w:rsidRPr="00FA5D71">
        <w:rPr>
          <w:rFonts w:ascii="Arial" w:hAnsi="Arial" w:cs="Arial"/>
          <w:noProof/>
        </w:rPr>
        <w:t>, 1501–1506 (2005).</w:t>
      </w:r>
    </w:p>
    <w:p w14:paraId="12A3BDA0"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9.</w:t>
      </w:r>
      <w:r w:rsidRPr="00FA5D71">
        <w:rPr>
          <w:rFonts w:ascii="Arial" w:hAnsi="Arial" w:cs="Arial"/>
          <w:noProof/>
        </w:rPr>
        <w:tab/>
        <w:t xml:space="preserve">Suresh, J. </w:t>
      </w:r>
      <w:r w:rsidRPr="00FA5D71">
        <w:rPr>
          <w:rFonts w:ascii="Arial" w:hAnsi="Arial" w:cs="Arial"/>
          <w:i/>
          <w:iCs/>
          <w:noProof/>
        </w:rPr>
        <w:t>et al.</w:t>
      </w:r>
      <w:r w:rsidRPr="00FA5D71">
        <w:rPr>
          <w:rFonts w:ascii="Arial" w:hAnsi="Arial" w:cs="Arial"/>
          <w:noProof/>
        </w:rPr>
        <w:t xml:space="preserve"> Network burst activity in hippocampal neuronal cultures: The role of synaptic and intrinsic currents. </w:t>
      </w:r>
      <w:r w:rsidRPr="00FA5D71">
        <w:rPr>
          <w:rFonts w:ascii="Arial" w:hAnsi="Arial" w:cs="Arial"/>
          <w:i/>
          <w:iCs/>
          <w:noProof/>
        </w:rPr>
        <w:t>J. Neurophysiol.</w:t>
      </w:r>
      <w:r w:rsidRPr="00FA5D71">
        <w:rPr>
          <w:rFonts w:ascii="Arial" w:hAnsi="Arial" w:cs="Arial"/>
          <w:noProof/>
        </w:rPr>
        <w:t xml:space="preserve"> </w:t>
      </w:r>
      <w:r w:rsidRPr="00FA5D71">
        <w:rPr>
          <w:rFonts w:ascii="Arial" w:hAnsi="Arial" w:cs="Arial"/>
          <w:b/>
          <w:bCs/>
          <w:noProof/>
        </w:rPr>
        <w:t>115</w:t>
      </w:r>
      <w:r w:rsidRPr="00FA5D71">
        <w:rPr>
          <w:rFonts w:ascii="Arial" w:hAnsi="Arial" w:cs="Arial"/>
          <w:noProof/>
        </w:rPr>
        <w:t>, 3073–3089 (2016).</w:t>
      </w:r>
    </w:p>
    <w:p w14:paraId="2EAE5E05"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10.</w:t>
      </w:r>
      <w:r w:rsidRPr="00FA5D71">
        <w:rPr>
          <w:rFonts w:ascii="Arial" w:hAnsi="Arial" w:cs="Arial"/>
          <w:noProof/>
        </w:rPr>
        <w:tab/>
        <w:t xml:space="preserve">Carion, A. </w:t>
      </w:r>
      <w:r w:rsidRPr="00FA5D71">
        <w:rPr>
          <w:rFonts w:ascii="Arial" w:hAnsi="Arial" w:cs="Arial"/>
          <w:i/>
          <w:iCs/>
          <w:noProof/>
        </w:rPr>
        <w:t>et al.</w:t>
      </w:r>
      <w:r w:rsidRPr="00FA5D71">
        <w:rPr>
          <w:rFonts w:ascii="Arial" w:hAnsi="Arial" w:cs="Arial"/>
          <w:noProof/>
        </w:rPr>
        <w:t xml:space="preserve"> Behavior and gene expression in the brain of adult self-fertilizing mangrove rivulus fish (Kryptolebias marmoratus) after early life exposure to the neurotoxin β-N-methylamino-L-alanine (BMAA). </w:t>
      </w:r>
      <w:r w:rsidRPr="00FA5D71">
        <w:rPr>
          <w:rFonts w:ascii="Arial" w:hAnsi="Arial" w:cs="Arial"/>
          <w:i/>
          <w:iCs/>
          <w:noProof/>
        </w:rPr>
        <w:t>Neurotoxicology</w:t>
      </w:r>
      <w:r w:rsidRPr="00FA5D71">
        <w:rPr>
          <w:rFonts w:ascii="Arial" w:hAnsi="Arial" w:cs="Arial"/>
          <w:noProof/>
        </w:rPr>
        <w:t xml:space="preserve"> </w:t>
      </w:r>
      <w:r w:rsidRPr="00FA5D71">
        <w:rPr>
          <w:rFonts w:ascii="Arial" w:hAnsi="Arial" w:cs="Arial"/>
          <w:b/>
          <w:bCs/>
          <w:noProof/>
        </w:rPr>
        <w:t>79</w:t>
      </w:r>
      <w:r w:rsidRPr="00FA5D71">
        <w:rPr>
          <w:rFonts w:ascii="Arial" w:hAnsi="Arial" w:cs="Arial"/>
          <w:noProof/>
        </w:rPr>
        <w:t>, 110–121 (2020).</w:t>
      </w:r>
    </w:p>
    <w:p w14:paraId="7259B6D0"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11.</w:t>
      </w:r>
      <w:r w:rsidRPr="00FA5D71">
        <w:rPr>
          <w:rFonts w:ascii="Arial" w:hAnsi="Arial" w:cs="Arial"/>
          <w:noProof/>
        </w:rPr>
        <w:tab/>
        <w:t xml:space="preserve">Stewart, A. M., Gaikwad, S., Kyzar, E. &amp; Kalueff, A. V. Understanding spatio-temporal strategies of adult zebrafish exploration in the open field test. </w:t>
      </w:r>
      <w:r w:rsidRPr="00FA5D71">
        <w:rPr>
          <w:rFonts w:ascii="Arial" w:hAnsi="Arial" w:cs="Arial"/>
          <w:i/>
          <w:iCs/>
          <w:noProof/>
        </w:rPr>
        <w:t>Brain Res.</w:t>
      </w:r>
      <w:r w:rsidRPr="00FA5D71">
        <w:rPr>
          <w:rFonts w:ascii="Arial" w:hAnsi="Arial" w:cs="Arial"/>
          <w:noProof/>
        </w:rPr>
        <w:t xml:space="preserve"> </w:t>
      </w:r>
      <w:r w:rsidRPr="00FA5D71">
        <w:rPr>
          <w:rFonts w:ascii="Arial" w:hAnsi="Arial" w:cs="Arial"/>
          <w:b/>
          <w:bCs/>
          <w:noProof/>
        </w:rPr>
        <w:t>1451</w:t>
      </w:r>
      <w:r w:rsidRPr="00FA5D71">
        <w:rPr>
          <w:rFonts w:ascii="Arial" w:hAnsi="Arial" w:cs="Arial"/>
          <w:noProof/>
        </w:rPr>
        <w:t>, 44–52 (2012).</w:t>
      </w:r>
    </w:p>
    <w:p w14:paraId="76C730F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12.</w:t>
      </w:r>
      <w:r w:rsidRPr="00FA5D71">
        <w:rPr>
          <w:rFonts w:ascii="Arial" w:hAnsi="Arial" w:cs="Arial"/>
          <w:noProof/>
        </w:rPr>
        <w:tab/>
        <w:t xml:space="preserve">Ingebretson, J. J. &amp; Masino, M. A. Quantification of locomotor activity in larval Zebrafish: Considerations for the design of high-throughput behavioral studies. </w:t>
      </w:r>
      <w:r w:rsidRPr="00FA5D71">
        <w:rPr>
          <w:rFonts w:ascii="Arial" w:hAnsi="Arial" w:cs="Arial"/>
          <w:i/>
          <w:iCs/>
          <w:noProof/>
        </w:rPr>
        <w:t>Front. Neural Circuits</w:t>
      </w:r>
      <w:r w:rsidRPr="00FA5D71">
        <w:rPr>
          <w:rFonts w:ascii="Arial" w:hAnsi="Arial" w:cs="Arial"/>
          <w:noProof/>
        </w:rPr>
        <w:t xml:space="preserve"> </w:t>
      </w:r>
      <w:r w:rsidRPr="00FA5D71">
        <w:rPr>
          <w:rFonts w:ascii="Arial" w:hAnsi="Arial" w:cs="Arial"/>
          <w:b/>
          <w:bCs/>
          <w:noProof/>
        </w:rPr>
        <w:t>7</w:t>
      </w:r>
      <w:r w:rsidRPr="00FA5D71">
        <w:rPr>
          <w:rFonts w:ascii="Arial" w:hAnsi="Arial" w:cs="Arial"/>
          <w:noProof/>
        </w:rPr>
        <w:t>, 1–9 (2013).</w:t>
      </w:r>
    </w:p>
    <w:p w14:paraId="52AE40AE"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13.</w:t>
      </w:r>
      <w:r w:rsidRPr="00FA5D71">
        <w:rPr>
          <w:rFonts w:ascii="Arial" w:hAnsi="Arial" w:cs="Arial"/>
          <w:noProof/>
        </w:rPr>
        <w:tab/>
        <w:t xml:space="preserve">Polverino, G., Ruberto, T., Staaks, G. &amp; Mehner, T. Tank size alters mean behaviours and individual rank orders in personality traits of fish depending on their life stage. </w:t>
      </w:r>
      <w:r w:rsidRPr="00FA5D71">
        <w:rPr>
          <w:rFonts w:ascii="Arial" w:hAnsi="Arial" w:cs="Arial"/>
          <w:i/>
          <w:iCs/>
          <w:noProof/>
        </w:rPr>
        <w:t xml:space="preserve">Anim. </w:t>
      </w:r>
      <w:r w:rsidRPr="00FA5D71">
        <w:rPr>
          <w:rFonts w:ascii="Arial" w:hAnsi="Arial" w:cs="Arial"/>
          <w:i/>
          <w:iCs/>
          <w:noProof/>
        </w:rPr>
        <w:lastRenderedPageBreak/>
        <w:t>Behav.</w:t>
      </w:r>
      <w:r w:rsidRPr="00FA5D71">
        <w:rPr>
          <w:rFonts w:ascii="Arial" w:hAnsi="Arial" w:cs="Arial"/>
          <w:noProof/>
        </w:rPr>
        <w:t xml:space="preserve"> </w:t>
      </w:r>
      <w:r w:rsidRPr="00FA5D71">
        <w:rPr>
          <w:rFonts w:ascii="Arial" w:hAnsi="Arial" w:cs="Arial"/>
          <w:b/>
          <w:bCs/>
          <w:noProof/>
        </w:rPr>
        <w:t>115</w:t>
      </w:r>
      <w:r w:rsidRPr="00FA5D71">
        <w:rPr>
          <w:rFonts w:ascii="Arial" w:hAnsi="Arial" w:cs="Arial"/>
          <w:noProof/>
        </w:rPr>
        <w:t>, 127–135 (2016).</w:t>
      </w:r>
    </w:p>
    <w:p w14:paraId="01F4420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14.</w:t>
      </w:r>
      <w:r w:rsidRPr="00FA5D71">
        <w:rPr>
          <w:rFonts w:ascii="Arial" w:hAnsi="Arial" w:cs="Arial"/>
          <w:noProof/>
        </w:rPr>
        <w:tab/>
        <w:t xml:space="preserve">Stoffel, M. A., Nakagawa, S. &amp; Schielzeth, H. rptR: repeatability estimation and variance decomposition by generalized linear mixed-effects models. </w:t>
      </w:r>
      <w:r w:rsidRPr="00FA5D71">
        <w:rPr>
          <w:rFonts w:ascii="Arial" w:hAnsi="Arial" w:cs="Arial"/>
          <w:i/>
          <w:iCs/>
          <w:noProof/>
        </w:rPr>
        <w:t>Methods Ecol. Evol.</w:t>
      </w:r>
      <w:r w:rsidRPr="00FA5D71">
        <w:rPr>
          <w:rFonts w:ascii="Arial" w:hAnsi="Arial" w:cs="Arial"/>
          <w:noProof/>
        </w:rPr>
        <w:t xml:space="preserve"> </w:t>
      </w:r>
      <w:r w:rsidRPr="00FA5D71">
        <w:rPr>
          <w:rFonts w:ascii="Arial" w:hAnsi="Arial" w:cs="Arial"/>
          <w:b/>
          <w:bCs/>
          <w:noProof/>
        </w:rPr>
        <w:t>8</w:t>
      </w:r>
      <w:r w:rsidRPr="00FA5D71">
        <w:rPr>
          <w:rFonts w:ascii="Arial" w:hAnsi="Arial" w:cs="Arial"/>
          <w:noProof/>
        </w:rPr>
        <w:t>, 1639–1644 (2017).</w:t>
      </w:r>
    </w:p>
    <w:p w14:paraId="27C2254B" w14:textId="2FFFD1D5" w:rsidR="00BD0D39" w:rsidRPr="00FA5D71" w:rsidRDefault="00D33CDE" w:rsidP="00037363">
      <w:pPr>
        <w:spacing w:after="0" w:line="480" w:lineRule="auto"/>
        <w:rPr>
          <w:rFonts w:ascii="Arial" w:hAnsi="Arial" w:cs="Arial"/>
        </w:rPr>
      </w:pPr>
      <w:r w:rsidRPr="00FA5D71">
        <w:rPr>
          <w:rFonts w:ascii="Arial" w:hAnsi="Arial" w:cs="Arial"/>
        </w:rPr>
        <w:fldChar w:fldCharType="end"/>
      </w:r>
    </w:p>
    <w:p w14:paraId="2A6E2E88" w14:textId="5FFBEEB2" w:rsidR="00BD0D39" w:rsidRPr="00FA5D71" w:rsidRDefault="00BD0D39" w:rsidP="00037363">
      <w:pPr>
        <w:spacing w:after="0" w:line="480" w:lineRule="auto"/>
        <w:rPr>
          <w:rFonts w:ascii="Arial" w:hAnsi="Arial" w:cs="Arial"/>
        </w:rPr>
      </w:pPr>
    </w:p>
    <w:p w14:paraId="205B6C26" w14:textId="6E50B1E9" w:rsidR="00494BDC" w:rsidRPr="00FA5D71" w:rsidRDefault="00494BDC" w:rsidP="00BD0D39">
      <w:pPr>
        <w:spacing w:after="0" w:line="480" w:lineRule="auto"/>
        <w:ind w:left="720" w:hanging="720"/>
        <w:rPr>
          <w:rFonts w:ascii="Arial" w:hAnsi="Arial" w:cs="Arial"/>
        </w:rPr>
      </w:pPr>
    </w:p>
    <w:p w14:paraId="5E13F8BB" w14:textId="1F620DC2" w:rsidR="00494BDC" w:rsidRPr="00FA5D71" w:rsidRDefault="00494BDC" w:rsidP="00494BDC">
      <w:pPr>
        <w:spacing w:after="0" w:line="480" w:lineRule="auto"/>
        <w:ind w:left="720" w:hanging="720"/>
        <w:rPr>
          <w:rFonts w:ascii="Arial" w:hAnsi="Arial" w:cs="Arial"/>
        </w:rPr>
      </w:pPr>
      <w:r w:rsidRPr="00FA5D71">
        <w:rPr>
          <w:rFonts w:ascii="Arial" w:hAnsi="Arial" w:cs="Arial"/>
        </w:rPr>
        <w:t>Figures and Tables</w:t>
      </w:r>
    </w:p>
    <w:p w14:paraId="0FB69B0E" w14:textId="597A38A9" w:rsidR="00494BDC" w:rsidRPr="00FA5D71" w:rsidRDefault="00494BDC" w:rsidP="00494BDC">
      <w:pPr>
        <w:spacing w:after="0" w:line="480" w:lineRule="auto"/>
        <w:ind w:left="720" w:hanging="720"/>
        <w:rPr>
          <w:rFonts w:ascii="Arial" w:hAnsi="Arial" w:cs="Arial"/>
        </w:rPr>
      </w:pPr>
      <w:r w:rsidRPr="00FA5D71">
        <w:rPr>
          <w:rFonts w:ascii="Arial" w:hAnsi="Arial" w:cs="Arial"/>
        </w:rPr>
        <w:t>Table XX. Arena sizes (mm) used corresponding to the age of fish on the day of larval testing.</w:t>
      </w:r>
    </w:p>
    <w:p w14:paraId="13EC6240" w14:textId="2D5134C4"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6A9858E9" wp14:editId="0BB92EBD">
            <wp:extent cx="5494655"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655" cy="372745"/>
                    </a:xfrm>
                    <a:prstGeom prst="rect">
                      <a:avLst/>
                    </a:prstGeom>
                    <a:noFill/>
                    <a:ln>
                      <a:noFill/>
                    </a:ln>
                  </pic:spPr>
                </pic:pic>
              </a:graphicData>
            </a:graphic>
          </wp:inline>
        </w:drawing>
      </w:r>
    </w:p>
    <w:p w14:paraId="450FC93A" w14:textId="40DC9C03"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28A9223C" wp14:editId="20A16A01">
            <wp:extent cx="3776133" cy="2962275"/>
            <wp:effectExtent l="0" t="0" r="0" b="0"/>
            <wp:docPr id="9" name="Picture 8">
              <a:extLst xmlns:a="http://schemas.openxmlformats.org/drawingml/2006/main">
                <a:ext uri="{FF2B5EF4-FFF2-40B4-BE49-F238E27FC236}">
                  <a16:creationId xmlns:a16="http://schemas.microsoft.com/office/drawing/2014/main" id="{F98B8780-F0BD-4233-AADD-265468DF4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8B8780-F0BD-4233-AADD-265468DF4E3C}"/>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4227" t="27887" r="8656" b="51321"/>
                    <a:stretch/>
                  </pic:blipFill>
                  <pic:spPr bwMode="auto">
                    <a:xfrm>
                      <a:off x="0" y="0"/>
                      <a:ext cx="3778139" cy="2963849"/>
                    </a:xfrm>
                    <a:prstGeom prst="rect">
                      <a:avLst/>
                    </a:prstGeom>
                    <a:ln>
                      <a:noFill/>
                    </a:ln>
                    <a:extLst>
                      <a:ext uri="{53640926-AAD7-44D8-BBD7-CCE9431645EC}">
                        <a14:shadowObscured xmlns:a14="http://schemas.microsoft.com/office/drawing/2010/main"/>
                      </a:ext>
                    </a:extLst>
                  </pic:spPr>
                </pic:pic>
              </a:graphicData>
            </a:graphic>
          </wp:inline>
        </w:drawing>
      </w:r>
    </w:p>
    <w:p w14:paraId="6A59F927" w14:textId="27499BFC" w:rsidR="00494BDC" w:rsidRPr="00FA5D71" w:rsidRDefault="00494BDC" w:rsidP="00494BDC">
      <w:pPr>
        <w:spacing w:after="0" w:line="480" w:lineRule="auto"/>
        <w:ind w:left="720" w:hanging="720"/>
        <w:rPr>
          <w:rFonts w:ascii="Arial" w:hAnsi="Arial" w:cs="Arial"/>
        </w:rPr>
      </w:pPr>
      <w:r w:rsidRPr="00FA5D71">
        <w:rPr>
          <w:rFonts w:ascii="Arial" w:hAnsi="Arial" w:cs="Arial"/>
        </w:rPr>
        <w:t xml:space="preserve">Fig. XX. Arena characteristics during the free swimming, larval testing. </w:t>
      </w:r>
    </w:p>
    <w:p w14:paraId="2CBBE9FF" w14:textId="4DF1CCEA"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25502C17" wp14:editId="62062140">
            <wp:extent cx="5943600" cy="1210734"/>
            <wp:effectExtent l="0" t="0" r="0" b="889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ity Timeline.png"/>
                    <pic:cNvPicPr/>
                  </pic:nvPicPr>
                  <pic:blipFill rotWithShape="1">
                    <a:blip r:embed="rId12" cstate="print">
                      <a:extLst>
                        <a:ext uri="{28A0092B-C50C-407E-A947-70E740481C1C}">
                          <a14:useLocalDpi xmlns:a14="http://schemas.microsoft.com/office/drawing/2010/main" val="0"/>
                        </a:ext>
                      </a:extLst>
                    </a:blip>
                    <a:srcRect t="36752" b="22507"/>
                    <a:stretch/>
                  </pic:blipFill>
                  <pic:spPr bwMode="auto">
                    <a:xfrm>
                      <a:off x="0" y="0"/>
                      <a:ext cx="5943600" cy="1210734"/>
                    </a:xfrm>
                    <a:prstGeom prst="rect">
                      <a:avLst/>
                    </a:prstGeom>
                    <a:ln>
                      <a:noFill/>
                    </a:ln>
                    <a:extLst>
                      <a:ext uri="{53640926-AAD7-44D8-BBD7-CCE9431645EC}">
                        <a14:shadowObscured xmlns:a14="http://schemas.microsoft.com/office/drawing/2010/main"/>
                      </a:ext>
                    </a:extLst>
                  </pic:spPr>
                </pic:pic>
              </a:graphicData>
            </a:graphic>
          </wp:inline>
        </w:drawing>
      </w:r>
    </w:p>
    <w:p w14:paraId="504F19F4" w14:textId="3C2B6C97" w:rsidR="00494BDC" w:rsidRPr="00FA5D71" w:rsidRDefault="00494BDC" w:rsidP="00494BDC">
      <w:pPr>
        <w:spacing w:after="0" w:line="480" w:lineRule="auto"/>
        <w:ind w:left="720" w:hanging="720"/>
        <w:rPr>
          <w:rFonts w:ascii="Arial" w:hAnsi="Arial" w:cs="Arial"/>
        </w:rPr>
      </w:pPr>
      <w:r w:rsidRPr="00FA5D71">
        <w:rPr>
          <w:rFonts w:ascii="Arial" w:hAnsi="Arial" w:cs="Arial"/>
        </w:rPr>
        <w:lastRenderedPageBreak/>
        <w:t xml:space="preserve">Fig. XX. Timeline of testing, including the </w:t>
      </w:r>
      <w:proofErr w:type="spellStart"/>
      <w:r w:rsidRPr="00FA5D71">
        <w:rPr>
          <w:rFonts w:ascii="Arial" w:hAnsi="Arial" w:cs="Arial"/>
        </w:rPr>
        <w:t>dpf</w:t>
      </w:r>
      <w:proofErr w:type="spellEnd"/>
      <w:r w:rsidRPr="00FA5D71">
        <w:rPr>
          <w:rFonts w:ascii="Arial" w:hAnsi="Arial" w:cs="Arial"/>
        </w:rPr>
        <w:t xml:space="preserve"> in between trials and stages of development.</w:t>
      </w:r>
    </w:p>
    <w:sectPr w:rsidR="00494BDC" w:rsidRPr="00FA5D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Ward" w:date="2020-10-01T08:39:00Z" w:initials="JW">
    <w:p w14:paraId="4AA01956" w14:textId="77777777" w:rsidR="007E039E" w:rsidRDefault="007E039E" w:rsidP="007E039E">
      <w:pPr>
        <w:pStyle w:val="CommentText"/>
      </w:pPr>
      <w:r>
        <w:rPr>
          <w:rStyle w:val="CommentReference"/>
        </w:rPr>
        <w:annotationRef/>
      </w:r>
      <w:r>
        <w:t>I’d maybe pull this out and include some variation of this in the intro when you introduce what you did and why</w:t>
      </w:r>
    </w:p>
  </w:comment>
  <w:comment w:id="1" w:author="Jessica Ward" w:date="2020-10-02T11:08:00Z" w:initials="JW">
    <w:p w14:paraId="6ADE9DB8" w14:textId="067D1A30" w:rsidR="00707ED1" w:rsidRDefault="00707ED1">
      <w:pPr>
        <w:pStyle w:val="CommentText"/>
      </w:pPr>
      <w:r>
        <w:rPr>
          <w:rStyle w:val="CommentReference"/>
        </w:rPr>
        <w:annotationRef/>
      </w:r>
      <w:r>
        <w:t xml:space="preserve">My suggestion would be use the Wurtz &amp; Kruger (2015) paper as an initial template for the methods and results. </w:t>
      </w:r>
    </w:p>
  </w:comment>
  <w:comment w:id="2" w:author="Gina Lamka" w:date="2020-07-14T14:51:00Z" w:initials="GL">
    <w:p w14:paraId="4D0707F8" w14:textId="7A8BC20D" w:rsidR="00037363" w:rsidRDefault="00037363">
      <w:pPr>
        <w:pStyle w:val="CommentText"/>
      </w:pPr>
      <w:r>
        <w:rPr>
          <w:rStyle w:val="CommentReference"/>
        </w:rPr>
        <w:annotationRef/>
      </w:r>
      <w:r>
        <w:t>Do we need to list the water quality info here since we didn’t test these samples specifically?</w:t>
      </w:r>
    </w:p>
  </w:comment>
  <w:comment w:id="3" w:author="Jessica Ward" w:date="2020-10-01T08:48:00Z" w:initials="JW">
    <w:p w14:paraId="32512623" w14:textId="16561821" w:rsidR="00313833" w:rsidRDefault="00313833">
      <w:pPr>
        <w:pStyle w:val="CommentText"/>
      </w:pPr>
      <w:r>
        <w:rPr>
          <w:rStyle w:val="CommentReference"/>
        </w:rPr>
        <w:annotationRef/>
      </w:r>
      <w:r>
        <w:t>Probably not the pH, conductivity, etc. But we should include the  water quality values for the  fresh solutions you made</w:t>
      </w:r>
      <w:r w:rsidR="00E92EB6">
        <w:t xml:space="preserve">—and maybe something vague  about how a related experiment indicated that degradation is substantial over 24 h. Measurement values from those jars are not directly relevant to this study because they  all had a ton of fish and microbes. </w:t>
      </w:r>
    </w:p>
  </w:comment>
  <w:comment w:id="4" w:author="Gina Lamka" w:date="2020-07-15T16:34:00Z" w:initials="GL">
    <w:p w14:paraId="2A024461" w14:textId="350CE918" w:rsidR="009B39D4" w:rsidRDefault="009B39D4">
      <w:pPr>
        <w:pStyle w:val="CommentText"/>
      </w:pPr>
      <w:r>
        <w:rPr>
          <w:rStyle w:val="CommentReference"/>
        </w:rPr>
        <w:annotationRef/>
      </w:r>
      <w:r>
        <w:t>Are we considering it ng or ug?</w:t>
      </w:r>
    </w:p>
  </w:comment>
  <w:comment w:id="5" w:author="Jessica Ward" w:date="2020-10-01T08:55:00Z" w:initials="JW">
    <w:p w14:paraId="4F540DE7" w14:textId="643AB11B" w:rsidR="00952467" w:rsidRDefault="00952467">
      <w:pPr>
        <w:pStyle w:val="CommentText"/>
      </w:pPr>
      <w:r>
        <w:rPr>
          <w:rStyle w:val="CommentReference"/>
        </w:rPr>
        <w:annotationRef/>
      </w:r>
      <w:r>
        <w:t xml:space="preserve">I think we have to go with ng. I don’t know where we went wrong in the calculations but that was what the chemists told us it was.  </w:t>
      </w:r>
      <w:r w:rsidR="00F73D7F">
        <w:t>We can probably include that information in this section.</w:t>
      </w:r>
    </w:p>
  </w:comment>
  <w:comment w:id="6" w:author="Jessica Ward" w:date="2020-10-01T11:57:00Z" w:initials="JW">
    <w:p w14:paraId="6A00557E" w14:textId="7CEE2431" w:rsidR="00610346" w:rsidRDefault="00610346">
      <w:pPr>
        <w:pStyle w:val="CommentText"/>
      </w:pPr>
      <w:r>
        <w:rPr>
          <w:rStyle w:val="CommentReference"/>
        </w:rPr>
        <w:annotationRef/>
      </w:r>
      <w:r>
        <w:t xml:space="preserve">Maybe expand on this to say that the values used are thus very conservative.  </w:t>
      </w:r>
    </w:p>
  </w:comment>
  <w:comment w:id="7" w:author="Jessica Ward" w:date="2020-10-01T09:32:00Z" w:initials="JW">
    <w:p w14:paraId="4A7499E9" w14:textId="3CC5272F" w:rsidR="00C05A68" w:rsidRDefault="00C05A68">
      <w:pPr>
        <w:pStyle w:val="CommentText"/>
      </w:pPr>
      <w:r>
        <w:rPr>
          <w:rStyle w:val="CommentReference"/>
        </w:rPr>
        <w:annotationRef/>
      </w:r>
      <w:r>
        <w:t xml:space="preserve">In a subsequent draft, I could see this text below getting reorganized/combined with the section above since it definitely falls under housing and maintenance. </w:t>
      </w:r>
      <w:r w:rsidR="001E103E">
        <w:t>But let’s wait on that for a bit.</w:t>
      </w:r>
    </w:p>
  </w:comment>
  <w:comment w:id="8" w:author="Jessica Ward" w:date="2020-10-01T09:15:00Z" w:initials="JW">
    <w:p w14:paraId="64979BA9" w14:textId="77777777" w:rsidR="008A2697" w:rsidRDefault="008A2697">
      <w:pPr>
        <w:pStyle w:val="CommentText"/>
      </w:pPr>
      <w:r>
        <w:rPr>
          <w:rStyle w:val="CommentReference"/>
        </w:rPr>
        <w:annotationRef/>
      </w:r>
      <w:r>
        <w:t>I might suggest tightening this up a bit—maybe something like the following:</w:t>
      </w:r>
    </w:p>
    <w:p w14:paraId="3136B361" w14:textId="46C4A56B" w:rsidR="008A2697" w:rsidRDefault="008A2697">
      <w:pPr>
        <w:pStyle w:val="CommentText"/>
      </w:pPr>
      <w:r>
        <w:t xml:space="preserve">“Fish were permitted visual contact to control for potentially confounding effects of social isolation on behavior. We also introduced chemical cues from the home tanks of </w:t>
      </w:r>
      <w:r w:rsidR="00333EF2">
        <w:t xml:space="preserve">fish not used in this experiment” </w:t>
      </w:r>
    </w:p>
  </w:comment>
  <w:comment w:id="9" w:author="Jessica Ward" w:date="2020-10-01T09:30:00Z" w:initials="JW">
    <w:p w14:paraId="14975419" w14:textId="3E3E3D3A" w:rsidR="00B05C23" w:rsidRDefault="00B05C23">
      <w:pPr>
        <w:pStyle w:val="CommentText"/>
      </w:pPr>
      <w:r>
        <w:rPr>
          <w:rStyle w:val="CommentReference"/>
        </w:rPr>
        <w:annotationRef/>
      </w:r>
      <w:r>
        <w:t>Volume?</w:t>
      </w:r>
    </w:p>
  </w:comment>
  <w:comment w:id="10" w:author="Jessica Ward" w:date="2020-10-01T09:35:00Z" w:initials="JW">
    <w:p w14:paraId="10B56A79" w14:textId="30505449" w:rsidR="00216782" w:rsidRDefault="00216782">
      <w:pPr>
        <w:pStyle w:val="CommentText"/>
      </w:pPr>
      <w:r>
        <w:rPr>
          <w:rStyle w:val="CommentReference"/>
        </w:rPr>
        <w:annotationRef/>
      </w:r>
      <w:r w:rsidR="00615C3C">
        <w:t xml:space="preserve"> </w:t>
      </w:r>
      <w:r w:rsidR="002E768E">
        <w:t>Might just take this out.</w:t>
      </w:r>
    </w:p>
  </w:comment>
  <w:comment w:id="11" w:author="Gina Lamka" w:date="2020-07-15T20:42:00Z" w:initials="GL">
    <w:p w14:paraId="3F8BD4F9" w14:textId="0EAE278D" w:rsidR="00813B09" w:rsidRDefault="00813B09">
      <w:pPr>
        <w:pStyle w:val="CommentText"/>
      </w:pPr>
      <w:r>
        <w:rPr>
          <w:rStyle w:val="CommentReference"/>
        </w:rPr>
        <w:annotationRef/>
      </w:r>
      <w:r>
        <w:t>Do you remember where you got this info?</w:t>
      </w:r>
    </w:p>
  </w:comment>
  <w:comment w:id="12" w:author="Jessica Ward" w:date="2020-10-01T13:30:00Z" w:initials="JW">
    <w:p w14:paraId="16AA15DF" w14:textId="14718984" w:rsidR="0060774B" w:rsidRDefault="0060774B">
      <w:pPr>
        <w:pStyle w:val="CommentText"/>
      </w:pPr>
      <w:r>
        <w:rPr>
          <w:rStyle w:val="CommentReference"/>
        </w:rPr>
        <w:annotationRef/>
      </w:r>
      <w:r>
        <w:t>I  don’t remember writing that. Where did it come from?</w:t>
      </w:r>
    </w:p>
  </w:comment>
  <w:comment w:id="13" w:author="Gina Lamka" w:date="2020-09-14T15:15:00Z" w:initials="GL">
    <w:p w14:paraId="4A9DB134" w14:textId="4DD08546" w:rsidR="00D90D7F" w:rsidRDefault="00D90D7F">
      <w:pPr>
        <w:pStyle w:val="CommentText"/>
      </w:pPr>
      <w:r>
        <w:rPr>
          <w:rStyle w:val="CommentReference"/>
        </w:rPr>
        <w:annotationRef/>
      </w:r>
      <w:r>
        <w:t>These may or may not support what you were trying to say here</w:t>
      </w:r>
    </w:p>
  </w:comment>
  <w:comment w:id="14" w:author="Jessica Ward" w:date="2020-10-01T13:29:00Z" w:initials="JW">
    <w:p w14:paraId="4E20D655" w14:textId="359B020A" w:rsidR="0060774B" w:rsidRDefault="0060774B">
      <w:pPr>
        <w:pStyle w:val="CommentText"/>
      </w:pPr>
      <w:r>
        <w:rPr>
          <w:rStyle w:val="CommentReference"/>
        </w:rPr>
        <w:annotationRef/>
      </w:r>
      <w:r>
        <w:t>I don’t think I wrote  that, did I?  Where did that come from?</w:t>
      </w:r>
    </w:p>
  </w:comment>
  <w:comment w:id="15" w:author="Gina Lamka" w:date="2020-04-30T20:45:00Z" w:initials="GL">
    <w:p w14:paraId="7387CD1D" w14:textId="77777777" w:rsidR="00037363" w:rsidRDefault="00037363" w:rsidP="00037363">
      <w:pPr>
        <w:pStyle w:val="CommentText"/>
      </w:pPr>
      <w:r>
        <w:rPr>
          <w:rStyle w:val="CommentReference"/>
        </w:rPr>
        <w:annotationRef/>
      </w:r>
      <w:r>
        <w:t xml:space="preserve">Do I need to mention </w:t>
      </w:r>
      <w:r>
        <w:t>HandBrake too?</w:t>
      </w:r>
    </w:p>
  </w:comment>
  <w:comment w:id="16" w:author="Jessica Ward" w:date="2020-10-01T12:29:00Z" w:initials="JW">
    <w:p w14:paraId="357FE9A0" w14:textId="445A2C35" w:rsidR="00D210F2" w:rsidRDefault="00D210F2">
      <w:pPr>
        <w:pStyle w:val="CommentText"/>
      </w:pPr>
      <w:r>
        <w:rPr>
          <w:rStyle w:val="CommentReference"/>
        </w:rPr>
        <w:annotationRef/>
      </w:r>
      <w:r w:rsidR="00B038C9">
        <w:t xml:space="preserve">I think we need </w:t>
      </w:r>
      <w:r>
        <w:t xml:space="preserve">a general reorganization </w:t>
      </w:r>
      <w:r w:rsidR="00B038C9">
        <w:t xml:space="preserve">to group information that appears in different places. Maybe try this </w:t>
      </w:r>
      <w:r>
        <w:t>(</w:t>
      </w:r>
      <w:r w:rsidR="00B038C9">
        <w:t xml:space="preserve">though it </w:t>
      </w:r>
      <w:r>
        <w:t>may get moved around in next draft):</w:t>
      </w:r>
    </w:p>
    <w:p w14:paraId="1B80BE51" w14:textId="16368633" w:rsidR="00D210F2" w:rsidRDefault="00D210F2">
      <w:pPr>
        <w:pStyle w:val="CommentText"/>
      </w:pPr>
      <w:r>
        <w:t xml:space="preserve">1. </w:t>
      </w:r>
      <w:r w:rsidR="00B038C9">
        <w:t xml:space="preserve">A </w:t>
      </w:r>
      <w:r>
        <w:t xml:space="preserve">description of the </w:t>
      </w:r>
      <w:r w:rsidR="00C83820">
        <w:t xml:space="preserve">experimental </w:t>
      </w:r>
      <w:r w:rsidR="00B038C9">
        <w:t>design, with reference to the timeline figure (</w:t>
      </w:r>
      <w:r w:rsidR="00B038C9">
        <w:t xml:space="preserve">i.e,  divided into XX ontogenetic stages, tested twice per stage, how much time separated each test, etc). </w:t>
      </w:r>
    </w:p>
    <w:p w14:paraId="7FFD7A4C" w14:textId="01B85F26" w:rsidR="00B038C9" w:rsidRDefault="00B038C9">
      <w:pPr>
        <w:pStyle w:val="CommentText"/>
      </w:pPr>
      <w:r>
        <w:t>2. Experimental set-up (including a description of increasing arena sizes;</w:t>
      </w:r>
      <w:r w:rsidR="00C83820">
        <w:t xml:space="preserve"> did these represent a consistent arena size that was proportional to the size of the fish?</w:t>
      </w:r>
      <w:r>
        <w:t>)</w:t>
      </w:r>
      <w:r w:rsidR="00C83820">
        <w:t>;</w:t>
      </w:r>
      <w:r>
        <w:t xml:space="preserve"> followed by </w:t>
      </w:r>
      <w:r w:rsidR="00C83820">
        <w:t xml:space="preserve">actual </w:t>
      </w:r>
      <w:r>
        <w:t>experimental procedure</w:t>
      </w:r>
      <w:r w:rsidR="00C83820">
        <w:t xml:space="preserve"> (running of trial). Include a schematic figure of the  trial set up. </w:t>
      </w:r>
    </w:p>
    <w:p w14:paraId="62F8252F" w14:textId="77777777" w:rsidR="00B038C9" w:rsidRDefault="00B038C9">
      <w:pPr>
        <w:pStyle w:val="CommentText"/>
      </w:pPr>
      <w:r>
        <w:t xml:space="preserve">3. </w:t>
      </w:r>
      <w:r w:rsidR="00C83820">
        <w:t>Variables scored</w:t>
      </w:r>
      <w:r w:rsidR="00D67FA3">
        <w:t xml:space="preserve">. In this section, consider adding some brief explanation of why these variables were selected as personality measures with reference to other studies.  For example </w:t>
      </w:r>
      <w:r w:rsidR="00D67FA3">
        <w:t xml:space="preserve">“ </w:t>
      </w:r>
      <w:r w:rsidR="00D67FA3">
        <w:rPr>
          <w:rFonts w:ascii="Arial" w:hAnsi="Arial" w:cs="Arial"/>
        </w:rPr>
        <w:t>We</w:t>
      </w:r>
      <w:r w:rsidR="00D67FA3" w:rsidRPr="00FA5D71">
        <w:rPr>
          <w:rFonts w:ascii="Arial" w:hAnsi="Arial" w:cs="Arial"/>
        </w:rPr>
        <w:t xml:space="preserve"> </w:t>
      </w:r>
      <w:r w:rsidR="00D67FA3">
        <w:rPr>
          <w:rFonts w:ascii="Arial" w:hAnsi="Arial" w:cs="Arial"/>
        </w:rPr>
        <w:t>calculated</w:t>
      </w:r>
      <w:r w:rsidR="00D67FA3" w:rsidRPr="00FA5D71">
        <w:rPr>
          <w:rFonts w:ascii="Arial" w:hAnsi="Arial" w:cs="Arial"/>
        </w:rPr>
        <w:t xml:space="preserve"> the latency (</w:t>
      </w:r>
      <w:r w:rsidR="00D67FA3">
        <w:rPr>
          <w:rFonts w:ascii="Arial" w:hAnsi="Arial" w:cs="Arial"/>
        </w:rPr>
        <w:t xml:space="preserve">in </w:t>
      </w:r>
      <w:r w:rsidR="00D67FA3" w:rsidRPr="00FA5D71">
        <w:rPr>
          <w:rFonts w:ascii="Arial" w:hAnsi="Arial" w:cs="Arial"/>
        </w:rPr>
        <w:t xml:space="preserve">s) of fish to enter the center </w:t>
      </w:r>
      <w:r w:rsidR="00D67FA3">
        <w:rPr>
          <w:rFonts w:ascii="Arial" w:hAnsi="Arial" w:cs="Arial"/>
        </w:rPr>
        <w:t>zone</w:t>
      </w:r>
      <w:r w:rsidR="00D67FA3" w:rsidRPr="00FA5D71">
        <w:rPr>
          <w:rFonts w:ascii="Arial" w:hAnsi="Arial" w:cs="Arial"/>
        </w:rPr>
        <w:t xml:space="preserve">, which </w:t>
      </w:r>
      <w:r w:rsidR="00D67FA3">
        <w:rPr>
          <w:rFonts w:ascii="Arial" w:hAnsi="Arial" w:cs="Arial"/>
        </w:rPr>
        <w:t xml:space="preserve">has been shown  in previous studies to be a reliable  indicator of individual </w:t>
      </w:r>
      <w:r w:rsidR="00D67FA3" w:rsidRPr="00FA5D71">
        <w:rPr>
          <w:rFonts w:ascii="Arial" w:hAnsi="Arial" w:cs="Arial"/>
        </w:rPr>
        <w:t>boldness</w:t>
      </w:r>
      <w:r w:rsidR="00D67FA3">
        <w:t xml:space="preserve"> (REFS)”</w:t>
      </w:r>
      <w:r>
        <w:t xml:space="preserve"> </w:t>
      </w:r>
    </w:p>
    <w:p w14:paraId="6AA0EA12" w14:textId="77777777" w:rsidR="00350887" w:rsidRDefault="00350887">
      <w:pPr>
        <w:pStyle w:val="CommentText"/>
      </w:pPr>
    </w:p>
    <w:p w14:paraId="3D2CBCB0" w14:textId="4E8F4B36" w:rsidR="00350887" w:rsidRDefault="00350887">
      <w:pPr>
        <w:pStyle w:val="CommentText"/>
      </w:pPr>
      <w:r>
        <w:t xml:space="preserve">Or just see  the Wurtz and Kruger paper for ideas. </w:t>
      </w:r>
    </w:p>
  </w:comment>
  <w:comment w:id="17" w:author="Jessica Ward" w:date="2020-10-01T11:50:00Z" w:initials="JW">
    <w:p w14:paraId="32E57998" w14:textId="77777777" w:rsidR="00AE06BE" w:rsidRDefault="00AE06BE" w:rsidP="00AE06BE">
      <w:pPr>
        <w:pStyle w:val="CommentText"/>
      </w:pPr>
      <w:r>
        <w:rPr>
          <w:rStyle w:val="CommentReference"/>
        </w:rPr>
        <w:annotationRef/>
      </w:r>
      <w:r>
        <w:t xml:space="preserve">Maybe consider taking this out to keep the focus on  personality and behavioral development and less about tox. </w:t>
      </w:r>
    </w:p>
    <w:p w14:paraId="544D2BCD" w14:textId="287687D3" w:rsidR="00AE06BE" w:rsidRDefault="00AE06BE">
      <w:pPr>
        <w:pStyle w:val="CommentText"/>
      </w:pPr>
    </w:p>
  </w:comment>
  <w:comment w:id="18" w:author="Jessica Ward" w:date="2020-10-01T10:56:00Z" w:initials="JW">
    <w:p w14:paraId="6E58DA0B" w14:textId="66F902AD" w:rsidR="000B4D5F" w:rsidRDefault="000B4D5F">
      <w:pPr>
        <w:pStyle w:val="CommentText"/>
      </w:pPr>
      <w:r>
        <w:rPr>
          <w:rStyle w:val="CommentReference"/>
        </w:rPr>
        <w:annotationRef/>
      </w:r>
      <w:r>
        <w:t>Diameter?</w:t>
      </w:r>
    </w:p>
  </w:comment>
  <w:comment w:id="19" w:author="Jessica Ward" w:date="2020-10-01T10:58:00Z" w:initials="JW">
    <w:p w14:paraId="449BD641" w14:textId="3D4DEA3F" w:rsidR="00A145B6" w:rsidRDefault="00A145B6">
      <w:pPr>
        <w:pStyle w:val="CommentText"/>
      </w:pPr>
      <w:r>
        <w:rPr>
          <w:rStyle w:val="CommentReference"/>
        </w:rPr>
        <w:annotationRef/>
      </w:r>
      <w:r>
        <w:t>I’d suggest a line-drawing schematic of the whole set-up, rather than a photo of the computer screen.</w:t>
      </w:r>
    </w:p>
  </w:comment>
  <w:comment w:id="20" w:author="Jessica Ward" w:date="2020-10-01T12:50:00Z" w:initials="JW">
    <w:p w14:paraId="157D16D3" w14:textId="0E5D34E8" w:rsidR="00C83820" w:rsidRDefault="00C83820">
      <w:pPr>
        <w:pStyle w:val="CommentText"/>
      </w:pPr>
      <w:r>
        <w:rPr>
          <w:rStyle w:val="CommentReference"/>
        </w:rPr>
        <w:annotationRef/>
      </w:r>
      <w:r>
        <w:t xml:space="preserve">Can you redescribe this in terms of its diameter or size relative to the rest of the arena? </w:t>
      </w:r>
    </w:p>
  </w:comment>
  <w:comment w:id="21" w:author="Jessica Ward" w:date="2020-10-01T13:26:00Z" w:initials="JW">
    <w:p w14:paraId="03E3FB96" w14:textId="4F1E6095" w:rsidR="00CC1ABF" w:rsidRDefault="00CC1ABF">
      <w:pPr>
        <w:pStyle w:val="CommentText"/>
      </w:pPr>
      <w:r>
        <w:rPr>
          <w:rStyle w:val="CommentReference"/>
        </w:rPr>
        <w:annotationRef/>
      </w:r>
      <w:r>
        <w:t>Consider moving this to a longer description (paragraph) of experimental design</w:t>
      </w:r>
    </w:p>
  </w:comment>
  <w:comment w:id="22" w:author="Gina Lamka" w:date="2020-07-15T15:58:00Z" w:initials="GL">
    <w:p w14:paraId="140C12A5" w14:textId="6249B14A" w:rsidR="009B39D4" w:rsidRDefault="009B39D4">
      <w:pPr>
        <w:pStyle w:val="CommentText"/>
      </w:pPr>
      <w:r>
        <w:rPr>
          <w:rStyle w:val="CommentReference"/>
        </w:rPr>
        <w:annotationRef/>
      </w:r>
      <w:r>
        <w:t xml:space="preserve">We could also divide this by month for simplicity. </w:t>
      </w:r>
      <w:r>
        <w:br/>
        <w:t>14 &amp; 21=1</w:t>
      </w:r>
    </w:p>
    <w:p w14:paraId="2C63B3C4" w14:textId="793F7F85" w:rsidR="009B39D4" w:rsidRDefault="009B39D4">
      <w:pPr>
        <w:pStyle w:val="CommentText"/>
      </w:pPr>
      <w:r>
        <w:t>49=2</w:t>
      </w:r>
    </w:p>
    <w:p w14:paraId="45A43C2B" w14:textId="77777777" w:rsidR="009B39D4" w:rsidRDefault="009B39D4">
      <w:pPr>
        <w:pStyle w:val="CommentText"/>
      </w:pPr>
      <w:r>
        <w:t>77=3</w:t>
      </w:r>
    </w:p>
    <w:p w14:paraId="34105A50" w14:textId="77777777" w:rsidR="009B39D4" w:rsidRDefault="009B39D4">
      <w:pPr>
        <w:pStyle w:val="CommentText"/>
      </w:pPr>
      <w:r>
        <w:t>105=4</w:t>
      </w:r>
    </w:p>
    <w:p w14:paraId="5A1B7BAA" w14:textId="77777777" w:rsidR="009B39D4" w:rsidRDefault="009B39D4">
      <w:pPr>
        <w:pStyle w:val="CommentText"/>
      </w:pPr>
      <w:r>
        <w:t>133=5</w:t>
      </w:r>
    </w:p>
    <w:p w14:paraId="2C38215A" w14:textId="77777777" w:rsidR="009B39D4" w:rsidRDefault="009B39D4">
      <w:pPr>
        <w:pStyle w:val="CommentText"/>
      </w:pPr>
      <w:r>
        <w:t>161=6</w:t>
      </w:r>
    </w:p>
    <w:p w14:paraId="390F087C" w14:textId="43A0573C" w:rsidR="009B39D4" w:rsidRDefault="009B39D4">
      <w:pPr>
        <w:pStyle w:val="CommentText"/>
      </w:pPr>
      <w:r>
        <w:t>189=7</w:t>
      </w:r>
    </w:p>
  </w:comment>
  <w:comment w:id="23" w:author="Jessica Ward" w:date="2020-10-01T13:26:00Z" w:initials="JW">
    <w:p w14:paraId="667EB259" w14:textId="6F2D940C" w:rsidR="00BF6E5E" w:rsidRDefault="00BF6E5E">
      <w:pPr>
        <w:pStyle w:val="CommentText"/>
      </w:pPr>
      <w:r>
        <w:rPr>
          <w:rStyle w:val="CommentReference"/>
        </w:rPr>
        <w:annotationRef/>
      </w:r>
      <w:r>
        <w:t xml:space="preserve">Consider </w:t>
      </w:r>
      <w:r>
        <w:t>movi ng this to the description of the  experimental set up.</w:t>
      </w:r>
    </w:p>
  </w:comment>
  <w:comment w:id="24" w:author="Jessica Ward" w:date="2020-10-01T13:46:00Z" w:initials="JW">
    <w:p w14:paraId="04D65D55" w14:textId="77777777" w:rsidR="0047610B" w:rsidRDefault="0047610B">
      <w:pPr>
        <w:pStyle w:val="CommentText"/>
      </w:pPr>
      <w:r>
        <w:rPr>
          <w:rStyle w:val="CommentReference"/>
        </w:rPr>
        <w:annotationRef/>
      </w:r>
      <w:r>
        <w:t xml:space="preserve">Should  there be something in here about looking  at average behavioral differences across treatments using linear mixed models? </w:t>
      </w:r>
    </w:p>
    <w:p w14:paraId="2CE75E9C" w14:textId="77777777" w:rsidR="00710C5B" w:rsidRDefault="00710C5B">
      <w:pPr>
        <w:pStyle w:val="CommentText"/>
      </w:pPr>
    </w:p>
    <w:p w14:paraId="52645CE8" w14:textId="77BB3540" w:rsidR="00710C5B" w:rsidRDefault="00710C5B">
      <w:pPr>
        <w:pStyle w:val="CommentText"/>
      </w:pPr>
      <w:r>
        <w:t>Also, were  the data transformed before analysis</w:t>
      </w:r>
      <w:r w:rsidR="00350887">
        <w:t xml:space="preserve"> (I don’t remember)</w:t>
      </w:r>
      <w:r>
        <w:t>?</w:t>
      </w:r>
    </w:p>
  </w:comment>
  <w:comment w:id="25" w:author="Jessica Ward" w:date="2020-10-01T13:34:00Z" w:initials="JW">
    <w:p w14:paraId="4AFD4EA7" w14:textId="574A4B53" w:rsidR="00637B87" w:rsidRDefault="00637B87">
      <w:pPr>
        <w:pStyle w:val="CommentText"/>
      </w:pPr>
      <w:r>
        <w:rPr>
          <w:rStyle w:val="CommentReference"/>
        </w:rPr>
        <w:annotationRef/>
      </w:r>
      <w:r>
        <w:t>This could be merged into into a section on overall experimental design and rationale.</w:t>
      </w:r>
    </w:p>
  </w:comment>
  <w:comment w:id="26" w:author="Jessica Ward" w:date="2020-10-02T11:15:00Z" w:initials="JW">
    <w:p w14:paraId="0560AA6C" w14:textId="22A7D03F" w:rsidR="000643F0" w:rsidRDefault="000643F0">
      <w:pPr>
        <w:pStyle w:val="CommentText"/>
      </w:pPr>
      <w:r>
        <w:rPr>
          <w:rStyle w:val="CommentReference"/>
        </w:rPr>
        <w:annotationRef/>
      </w:r>
      <w:r>
        <w:t>Are there  figures or tables to include?</w:t>
      </w:r>
    </w:p>
  </w:comment>
  <w:comment w:id="27" w:author="Jessica Ward" w:date="2020-10-02T11:16:00Z" w:initials="JW">
    <w:p w14:paraId="6B15D200" w14:textId="373AD8B9" w:rsidR="00186A39" w:rsidRDefault="00186A39">
      <w:pPr>
        <w:pStyle w:val="CommentText"/>
      </w:pPr>
      <w:r>
        <w:rPr>
          <w:rStyle w:val="CommentReference"/>
        </w:rPr>
        <w:annotationRef/>
      </w:r>
      <w:r w:rsidR="00430714">
        <w:t xml:space="preserve">Can you clarify? </w:t>
      </w:r>
      <w:r>
        <w:t>I</w:t>
      </w:r>
      <w:r w:rsidR="00430714">
        <w:t>’m not sure I understand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01956" w15:done="0"/>
  <w15:commentEx w15:paraId="6ADE9DB8" w15:done="0"/>
  <w15:commentEx w15:paraId="4D0707F8" w15:done="0"/>
  <w15:commentEx w15:paraId="32512623" w15:paraIdParent="4D0707F8" w15:done="0"/>
  <w15:commentEx w15:paraId="2A024461" w15:done="0"/>
  <w15:commentEx w15:paraId="4F540DE7" w15:paraIdParent="2A024461" w15:done="0"/>
  <w15:commentEx w15:paraId="6A00557E" w15:done="0"/>
  <w15:commentEx w15:paraId="4A7499E9" w15:done="0"/>
  <w15:commentEx w15:paraId="3136B361" w15:done="0"/>
  <w15:commentEx w15:paraId="14975419" w15:done="0"/>
  <w15:commentEx w15:paraId="10B56A79" w15:done="0"/>
  <w15:commentEx w15:paraId="3F8BD4F9" w15:done="0"/>
  <w15:commentEx w15:paraId="16AA15DF" w15:paraIdParent="3F8BD4F9" w15:done="0"/>
  <w15:commentEx w15:paraId="4A9DB134" w15:done="0"/>
  <w15:commentEx w15:paraId="4E20D655" w15:paraIdParent="4A9DB134" w15:done="0"/>
  <w15:commentEx w15:paraId="7387CD1D" w15:done="0"/>
  <w15:commentEx w15:paraId="3D2CBCB0" w15:done="0"/>
  <w15:commentEx w15:paraId="544D2BCD" w15:done="0"/>
  <w15:commentEx w15:paraId="6E58DA0B" w15:done="0"/>
  <w15:commentEx w15:paraId="449BD641" w15:done="0"/>
  <w15:commentEx w15:paraId="157D16D3" w15:done="0"/>
  <w15:commentEx w15:paraId="03E3FB96" w15:done="0"/>
  <w15:commentEx w15:paraId="390F087C" w15:done="0"/>
  <w15:commentEx w15:paraId="667EB259" w15:done="0"/>
  <w15:commentEx w15:paraId="52645CE8" w15:done="0"/>
  <w15:commentEx w15:paraId="4AFD4EA7" w15:done="0"/>
  <w15:commentEx w15:paraId="0560AA6C" w15:done="0"/>
  <w15:commentEx w15:paraId="6B15D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144F" w16cex:dateUtc="2020-10-01T12:39:00Z"/>
  <w16cex:commentExtensible w16cex:durableId="2321889E" w16cex:dateUtc="2020-10-02T15:08:00Z"/>
  <w16cex:commentExtensible w16cex:durableId="22B8450C" w16cex:dateUtc="2020-07-14T18:51:00Z"/>
  <w16cex:commentExtensible w16cex:durableId="2320166D" w16cex:dateUtc="2020-10-01T12:48:00Z"/>
  <w16cex:commentExtensible w16cex:durableId="22B9AE8F" w16cex:dateUtc="2020-07-15T20:34:00Z"/>
  <w16cex:commentExtensible w16cex:durableId="232017F5" w16cex:dateUtc="2020-10-01T12:55:00Z"/>
  <w16cex:commentExtensible w16cex:durableId="232042B8" w16cex:dateUtc="2020-10-01T15:57:00Z"/>
  <w16cex:commentExtensible w16cex:durableId="2320209F" w16cex:dateUtc="2020-10-01T13:32:00Z"/>
  <w16cex:commentExtensible w16cex:durableId="23201CC8" w16cex:dateUtc="2020-10-01T13:15:00Z"/>
  <w16cex:commentExtensible w16cex:durableId="2320201D" w16cex:dateUtc="2020-10-01T13:30:00Z"/>
  <w16cex:commentExtensible w16cex:durableId="23202156" w16cex:dateUtc="2020-10-01T13:35:00Z"/>
  <w16cex:commentExtensible w16cex:durableId="22B9E8B1" w16cex:dateUtc="2020-07-16T00:42:00Z"/>
  <w16cex:commentExtensible w16cex:durableId="2320587C" w16cex:dateUtc="2020-10-01T17:30:00Z"/>
  <w16cex:commentExtensible w16cex:durableId="230A0774" w16cex:dateUtc="2020-09-14T19:15:00Z"/>
  <w16cex:commentExtensible w16cex:durableId="23205848" w16cex:dateUtc="2020-10-01T17:29:00Z"/>
  <w16cex:commentExtensible w16cex:durableId="23204A35" w16cex:dateUtc="2020-10-01T16:29:00Z"/>
  <w16cex:commentExtensible w16cex:durableId="23204106" w16cex:dateUtc="2020-10-01T15:50:00Z"/>
  <w16cex:commentExtensible w16cex:durableId="23203463" w16cex:dateUtc="2020-10-01T14:56:00Z"/>
  <w16cex:commentExtensible w16cex:durableId="232034DA" w16cex:dateUtc="2020-10-01T14:58:00Z"/>
  <w16cex:commentExtensible w16cex:durableId="23204F24" w16cex:dateUtc="2020-10-01T16:50:00Z"/>
  <w16cex:commentExtensible w16cex:durableId="2320577A" w16cex:dateUtc="2020-10-01T17:26:00Z"/>
  <w16cex:commentExtensible w16cex:durableId="22B9A62F" w16cex:dateUtc="2020-07-15T19:58:00Z"/>
  <w16cex:commentExtensible w16cex:durableId="232057A1" w16cex:dateUtc="2020-10-01T17:26:00Z"/>
  <w16cex:commentExtensible w16cex:durableId="23205C4F" w16cex:dateUtc="2020-10-01T17:46:00Z"/>
  <w16cex:commentExtensible w16cex:durableId="23205977" w16cex:dateUtc="2020-10-01T17:34:00Z"/>
  <w16cex:commentExtensible w16cex:durableId="23218A51" w16cex:dateUtc="2020-10-02T15:15:00Z"/>
  <w16cex:commentExtensible w16cex:durableId="23218A86" w16cex:dateUtc="2020-10-02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01956" w16cid:durableId="2320144F"/>
  <w16cid:commentId w16cid:paraId="6ADE9DB8" w16cid:durableId="2321889E"/>
  <w16cid:commentId w16cid:paraId="4D0707F8" w16cid:durableId="22B8450C"/>
  <w16cid:commentId w16cid:paraId="32512623" w16cid:durableId="2320166D"/>
  <w16cid:commentId w16cid:paraId="2A024461" w16cid:durableId="22B9AE8F"/>
  <w16cid:commentId w16cid:paraId="4F540DE7" w16cid:durableId="232017F5"/>
  <w16cid:commentId w16cid:paraId="6A00557E" w16cid:durableId="232042B8"/>
  <w16cid:commentId w16cid:paraId="4A7499E9" w16cid:durableId="2320209F"/>
  <w16cid:commentId w16cid:paraId="3136B361" w16cid:durableId="23201CC8"/>
  <w16cid:commentId w16cid:paraId="14975419" w16cid:durableId="2320201D"/>
  <w16cid:commentId w16cid:paraId="10B56A79" w16cid:durableId="23202156"/>
  <w16cid:commentId w16cid:paraId="3F8BD4F9" w16cid:durableId="22B9E8B1"/>
  <w16cid:commentId w16cid:paraId="16AA15DF" w16cid:durableId="2320587C"/>
  <w16cid:commentId w16cid:paraId="4A9DB134" w16cid:durableId="230A0774"/>
  <w16cid:commentId w16cid:paraId="4E20D655" w16cid:durableId="23205848"/>
  <w16cid:commentId w16cid:paraId="7387CD1D" w16cid:durableId="2255B760"/>
  <w16cid:commentId w16cid:paraId="3D2CBCB0" w16cid:durableId="23204A35"/>
  <w16cid:commentId w16cid:paraId="544D2BCD" w16cid:durableId="23204106"/>
  <w16cid:commentId w16cid:paraId="6E58DA0B" w16cid:durableId="23203463"/>
  <w16cid:commentId w16cid:paraId="449BD641" w16cid:durableId="232034DA"/>
  <w16cid:commentId w16cid:paraId="157D16D3" w16cid:durableId="23204F24"/>
  <w16cid:commentId w16cid:paraId="03E3FB96" w16cid:durableId="2320577A"/>
  <w16cid:commentId w16cid:paraId="390F087C" w16cid:durableId="22B9A62F"/>
  <w16cid:commentId w16cid:paraId="667EB259" w16cid:durableId="232057A1"/>
  <w16cid:commentId w16cid:paraId="52645CE8" w16cid:durableId="23205C4F"/>
  <w16cid:commentId w16cid:paraId="4AFD4EA7" w16cid:durableId="23205977"/>
  <w16cid:commentId w16cid:paraId="0560AA6C" w16cid:durableId="23218A51"/>
  <w16cid:commentId w16cid:paraId="6B15D200" w16cid:durableId="23218A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349A0"/>
    <w:multiLevelType w:val="hybridMultilevel"/>
    <w:tmpl w:val="304E8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7192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Ward">
    <w15:presenceInfo w15:providerId="Windows Live" w15:userId="10656b1e465f3373"/>
  </w15:person>
  <w15:person w15:author="Gina Lamka">
    <w15:presenceInfo w15:providerId="Windows Live" w15:userId="5d8c8599971d4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63"/>
    <w:rsid w:val="00037363"/>
    <w:rsid w:val="000643F0"/>
    <w:rsid w:val="0007495C"/>
    <w:rsid w:val="000B4D5F"/>
    <w:rsid w:val="000C02DC"/>
    <w:rsid w:val="000E647B"/>
    <w:rsid w:val="00186A39"/>
    <w:rsid w:val="001948FE"/>
    <w:rsid w:val="001A20F6"/>
    <w:rsid w:val="001D6499"/>
    <w:rsid w:val="001E103E"/>
    <w:rsid w:val="001E7761"/>
    <w:rsid w:val="00216782"/>
    <w:rsid w:val="002B07D5"/>
    <w:rsid w:val="002E768E"/>
    <w:rsid w:val="00313833"/>
    <w:rsid w:val="00333EF2"/>
    <w:rsid w:val="00350887"/>
    <w:rsid w:val="00386BDD"/>
    <w:rsid w:val="00395B2A"/>
    <w:rsid w:val="003A4B2C"/>
    <w:rsid w:val="003B66F0"/>
    <w:rsid w:val="003B675A"/>
    <w:rsid w:val="003C0400"/>
    <w:rsid w:val="004148C1"/>
    <w:rsid w:val="00430714"/>
    <w:rsid w:val="00452B6D"/>
    <w:rsid w:val="0047610B"/>
    <w:rsid w:val="00494BDC"/>
    <w:rsid w:val="004B1530"/>
    <w:rsid w:val="004B2A8C"/>
    <w:rsid w:val="004C36FE"/>
    <w:rsid w:val="004C6F41"/>
    <w:rsid w:val="0052184B"/>
    <w:rsid w:val="005413A5"/>
    <w:rsid w:val="00557E44"/>
    <w:rsid w:val="00597E0B"/>
    <w:rsid w:val="005C6299"/>
    <w:rsid w:val="0060774B"/>
    <w:rsid w:val="00610346"/>
    <w:rsid w:val="00615C3C"/>
    <w:rsid w:val="006328D6"/>
    <w:rsid w:val="00637B87"/>
    <w:rsid w:val="00686533"/>
    <w:rsid w:val="006A0D02"/>
    <w:rsid w:val="006A2073"/>
    <w:rsid w:val="006A7C27"/>
    <w:rsid w:val="006C2A7C"/>
    <w:rsid w:val="00707ED1"/>
    <w:rsid w:val="00710C5B"/>
    <w:rsid w:val="00740DB9"/>
    <w:rsid w:val="00754AEC"/>
    <w:rsid w:val="007E039E"/>
    <w:rsid w:val="007F46C0"/>
    <w:rsid w:val="00813B09"/>
    <w:rsid w:val="00847AA3"/>
    <w:rsid w:val="00875AC7"/>
    <w:rsid w:val="00880CD9"/>
    <w:rsid w:val="00895323"/>
    <w:rsid w:val="008A2697"/>
    <w:rsid w:val="008D6CAA"/>
    <w:rsid w:val="00952467"/>
    <w:rsid w:val="0096146B"/>
    <w:rsid w:val="009A2125"/>
    <w:rsid w:val="009B39D4"/>
    <w:rsid w:val="00A003EE"/>
    <w:rsid w:val="00A145B6"/>
    <w:rsid w:val="00A20001"/>
    <w:rsid w:val="00A46C50"/>
    <w:rsid w:val="00A7574F"/>
    <w:rsid w:val="00A8302A"/>
    <w:rsid w:val="00AD5C0D"/>
    <w:rsid w:val="00AE06BE"/>
    <w:rsid w:val="00B038C9"/>
    <w:rsid w:val="00B05C23"/>
    <w:rsid w:val="00B2710F"/>
    <w:rsid w:val="00B730A7"/>
    <w:rsid w:val="00B75083"/>
    <w:rsid w:val="00B76A94"/>
    <w:rsid w:val="00B82C79"/>
    <w:rsid w:val="00BD0D39"/>
    <w:rsid w:val="00BF6E5E"/>
    <w:rsid w:val="00C05A68"/>
    <w:rsid w:val="00C17C1C"/>
    <w:rsid w:val="00C83820"/>
    <w:rsid w:val="00C91E04"/>
    <w:rsid w:val="00CC1ABF"/>
    <w:rsid w:val="00D147E4"/>
    <w:rsid w:val="00D210F2"/>
    <w:rsid w:val="00D33CDE"/>
    <w:rsid w:val="00D67FA3"/>
    <w:rsid w:val="00D90D7F"/>
    <w:rsid w:val="00D95C66"/>
    <w:rsid w:val="00DB2BEB"/>
    <w:rsid w:val="00DB3338"/>
    <w:rsid w:val="00DE2083"/>
    <w:rsid w:val="00E01BE7"/>
    <w:rsid w:val="00E235F6"/>
    <w:rsid w:val="00E41143"/>
    <w:rsid w:val="00E86917"/>
    <w:rsid w:val="00E92EB6"/>
    <w:rsid w:val="00F0011D"/>
    <w:rsid w:val="00F36658"/>
    <w:rsid w:val="00F428ED"/>
    <w:rsid w:val="00F55C09"/>
    <w:rsid w:val="00F6453B"/>
    <w:rsid w:val="00F73D7F"/>
    <w:rsid w:val="00FA5D71"/>
    <w:rsid w:val="00FD04C0"/>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CD52"/>
  <w15:chartTrackingRefBased/>
  <w15:docId w15:val="{48132711-2E05-4C87-A500-F5CB0B78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363"/>
    <w:pPr>
      <w:ind w:left="720"/>
      <w:contextualSpacing/>
    </w:pPr>
  </w:style>
  <w:style w:type="paragraph" w:styleId="BalloonText">
    <w:name w:val="Balloon Text"/>
    <w:basedOn w:val="Normal"/>
    <w:link w:val="BalloonTextChar"/>
    <w:uiPriority w:val="99"/>
    <w:semiHidden/>
    <w:unhideWhenUsed/>
    <w:rsid w:val="00037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363"/>
    <w:rPr>
      <w:rFonts w:ascii="Segoe UI" w:hAnsi="Segoe UI" w:cs="Segoe UI"/>
      <w:sz w:val="18"/>
      <w:szCs w:val="18"/>
    </w:rPr>
  </w:style>
  <w:style w:type="character" w:styleId="CommentReference">
    <w:name w:val="annotation reference"/>
    <w:basedOn w:val="DefaultParagraphFont"/>
    <w:uiPriority w:val="99"/>
    <w:semiHidden/>
    <w:unhideWhenUsed/>
    <w:rsid w:val="00037363"/>
    <w:rPr>
      <w:sz w:val="16"/>
      <w:szCs w:val="16"/>
    </w:rPr>
  </w:style>
  <w:style w:type="paragraph" w:styleId="CommentText">
    <w:name w:val="annotation text"/>
    <w:basedOn w:val="Normal"/>
    <w:link w:val="CommentTextChar"/>
    <w:uiPriority w:val="99"/>
    <w:semiHidden/>
    <w:unhideWhenUsed/>
    <w:rsid w:val="00037363"/>
    <w:pPr>
      <w:spacing w:line="240" w:lineRule="auto"/>
    </w:pPr>
    <w:rPr>
      <w:sz w:val="20"/>
      <w:szCs w:val="20"/>
    </w:rPr>
  </w:style>
  <w:style w:type="character" w:customStyle="1" w:styleId="CommentTextChar">
    <w:name w:val="Comment Text Char"/>
    <w:basedOn w:val="DefaultParagraphFont"/>
    <w:link w:val="CommentText"/>
    <w:uiPriority w:val="99"/>
    <w:semiHidden/>
    <w:rsid w:val="00037363"/>
    <w:rPr>
      <w:sz w:val="20"/>
      <w:szCs w:val="20"/>
    </w:rPr>
  </w:style>
  <w:style w:type="paragraph" w:styleId="CommentSubject">
    <w:name w:val="annotation subject"/>
    <w:basedOn w:val="CommentText"/>
    <w:next w:val="CommentText"/>
    <w:link w:val="CommentSubjectChar"/>
    <w:uiPriority w:val="99"/>
    <w:semiHidden/>
    <w:unhideWhenUsed/>
    <w:rsid w:val="00037363"/>
    <w:rPr>
      <w:b/>
      <w:bCs/>
    </w:rPr>
  </w:style>
  <w:style w:type="character" w:customStyle="1" w:styleId="CommentSubjectChar">
    <w:name w:val="Comment Subject Char"/>
    <w:basedOn w:val="CommentTextChar"/>
    <w:link w:val="CommentSubject"/>
    <w:uiPriority w:val="99"/>
    <w:semiHidden/>
    <w:rsid w:val="00037363"/>
    <w:rPr>
      <w:b/>
      <w:bCs/>
      <w:sz w:val="20"/>
      <w:szCs w:val="20"/>
    </w:rPr>
  </w:style>
  <w:style w:type="table" w:styleId="TableGrid">
    <w:name w:val="Table Grid"/>
    <w:basedOn w:val="TableNormal"/>
    <w:uiPriority w:val="39"/>
    <w:rsid w:val="0049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6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6A799-B8BE-4264-BD9C-6EA7D1B7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8783</Words>
  <Characters>50064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Lamka</dc:creator>
  <cp:keywords/>
  <dc:description/>
  <cp:lastModifiedBy>Gina Lamka</cp:lastModifiedBy>
  <cp:revision>3</cp:revision>
  <dcterms:created xsi:type="dcterms:W3CDTF">2020-10-02T15:36:00Z</dcterms:created>
  <dcterms:modified xsi:type="dcterms:W3CDTF">2023-08-01T19:37:00Z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56943d18-f288-3886-b08a-c2fdd749d110</vt:lpwstr>
  </property>
  <property fmtid="{D5CDD505-2E9C-101B-9397-08002B2CF9AE}" pid="24" name="Mendeley Citation Style_1">
    <vt:lpwstr>http://www.zotero.org/styles/nature</vt:lpwstr>
  </property>
</Properties>
</file>