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20" w:space="1"/>
        </w:pBdr>
        <w:spacing w:after="0" w:before="1000"/>
        <w:jc w:val="left"/>
      </w:pPr>
      <w:r>
        <w:rPr>
          <w:rFonts w:ascii="Arial" w:cs="Arial" w:eastAsia="Arial" w:hAnsi="Arial"/>
          <w:b/>
          <w:bCs/>
          <w:color w:val="1B4F8A"/>
          <w:spacing w:val="80"/>
          <w:sz w:val="42"/>
          <w:szCs w:val="42"/>
        </w:rPr>
        <w:t xml:space="preserve">GINASHE DIGITAL ACADEMY</w:t>
      </w:r>
    </w:p>
    <w:p>
      <w:pPr>
        <w:spacing w:after="200" w:before="120"/>
        <w:jc w:val="left"/>
      </w:pPr>
      <w:r>
        <w:rPr>
          <w:rFonts w:ascii="Arial" w:cs="Arial" w:eastAsia="Arial" w:hAnsi="Arial"/>
          <w:b w:val="false"/>
          <w:bCs w:val="false"/>
          <w:i w:val="false"/>
          <w:iCs w:val="false"/>
          <w:color w:val="5A6A7A"/>
          <w:sz w:val="30"/>
          <w:szCs w:val="30"/>
        </w:rPr>
        <w:t xml:space="preserve">Cloud Computing Track</w:t>
      </w:r>
    </w:p>
    <w:p>
      <w:pPr>
        <w:spacing w:after="60" w:before="0"/>
        <w:jc w:val="left"/>
      </w:pPr>
      <w:r>
        <w:rPr>
          <w:rFonts w:ascii="Arial" w:cs="Arial" w:eastAsia="Arial" w:hAnsi="Arial"/>
          <w:color w:val="0A0E1A"/>
          <w:sz w:val="36"/>
          <w:szCs w:val="36"/>
        </w:rPr>
        <w:t xml:space="preserve">Welcome to</w:t>
      </w:r>
    </w:p>
    <w:p>
      <w:pPr>
        <w:spacing w:after="80" w:before="0"/>
        <w:jc w:val="left"/>
      </w:pPr>
      <w:r>
        <w:rPr>
          <w:rFonts w:ascii="Arial" w:cs="Arial" w:eastAsia="Arial" w:hAnsi="Arial"/>
          <w:b/>
          <w:bCs/>
          <w:color w:val="1B4F8A"/>
          <w:sz w:val="72"/>
          <w:szCs w:val="72"/>
        </w:rPr>
        <w:t xml:space="preserve">Cloud Launchpad</w:t>
      </w:r>
    </w:p>
    <w:p>
      <w:pPr>
        <w:spacing w:after="300" w:before="0"/>
        <w:jc w:val="left"/>
      </w:pPr>
      <w:r>
        <w:rPr>
          <w:rFonts w:ascii="Arial" w:cs="Arial" w:eastAsia="Arial" w:hAnsi="Arial"/>
          <w:b w:val="false"/>
          <w:bCs w:val="false"/>
          <w:i/>
          <w:iCs/>
          <w:color w:val="5A6A7A"/>
          <w:sz w:val="28"/>
          <w:szCs w:val="28"/>
        </w:rPr>
        <w:t xml:space="preserve">Your complete guide to the course, the tools, the schedule, and everything you need to succeed.</w:t>
      </w:r>
    </w:p>
    <w:p>
      <w:pPr>
        <w:pBdr>
          <w:bottom w:val="single" w:color="1B4F8A" w:sz="4" w:space="1"/>
        </w:pBdr>
        <w:spacing w:after="80" w:before="80"/>
      </w:pP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A" w:sz="6"/>
              <w:left w:val="single" w:color="1B4F8A" w:sz="6"/>
              <w:bottom w:val="single" w:color="1B4F8A" w:sz="6"/>
              <w:right w:val="single" w:color="1B4F8A" w:sz="6"/>
            </w:tcBorders>
            <w:shd w:fill="D6E8F8" w:val="clear"/>
            <w:tcMar>
              <w:top w:type="dxa" w:w="120"/>
              <w:left w:type="dxa" w:w="80"/>
              <w:bottom w:type="dxa" w:w="120"/>
              <w:right w:type="dxa" w:w="80"/>
            </w:tcMar>
          </w:tcPr>
          <w:p>
            <w:pPr>
              <w:spacing w:after="40" w:before="0"/>
              <w:jc w:val="center"/>
            </w:pPr>
            <w:r>
              <w:rPr>
                <w:rFonts w:ascii="Arial Black" w:cs="Arial Black" w:eastAsia="Arial Black" w:hAnsi="Arial Black"/>
                <w:b/>
                <w:bCs/>
                <w:color w:val="1B4F8A"/>
                <w:sz w:val="36"/>
                <w:szCs w:val="36"/>
              </w:rPr>
              <w:t xml:space="preserve">12 Weeks</w:t>
            </w:r>
          </w:p>
          <w:p>
            <w:pPr>
              <w:spacing w:after="0" w:before="0"/>
              <w:jc w:val="center"/>
            </w:pPr>
            <w:r>
              <w:rPr>
                <w:rFonts w:ascii="Calibri" w:cs="Calibri" w:eastAsia="Calibri" w:hAnsi="Calibri"/>
                <w:color w:val="1B4F8A"/>
                <w:sz w:val="18"/>
                <w:szCs w:val="18"/>
              </w:rPr>
              <w:t xml:space="preserve">of learning</w:t>
            </w:r>
          </w:p>
        </w:tc>
        <w:tc>
          <w:tcPr>
            <w:tcW w:type="dxa" w:w="2340"/>
            <w:tcBorders>
              <w:top w:val="single" w:color="0F6E56" w:sz="6"/>
              <w:left w:val="single" w:color="0F6E56" w:sz="6"/>
              <w:bottom w:val="single" w:color="0F6E56" w:sz="6"/>
              <w:right w:val="single" w:color="0F6E56" w:sz="6"/>
            </w:tcBorders>
            <w:shd w:fill="D8F2E9" w:val="clear"/>
            <w:tcMar>
              <w:top w:type="dxa" w:w="120"/>
              <w:left w:type="dxa" w:w="80"/>
              <w:bottom w:type="dxa" w:w="120"/>
              <w:right w:type="dxa" w:w="80"/>
            </w:tcMar>
          </w:tcPr>
          <w:p>
            <w:pPr>
              <w:spacing w:after="40" w:before="0"/>
              <w:jc w:val="center"/>
            </w:pPr>
            <w:r>
              <w:rPr>
                <w:rFonts w:ascii="Arial Black" w:cs="Arial Black" w:eastAsia="Arial Black" w:hAnsi="Arial Black"/>
                <w:b/>
                <w:bCs/>
                <w:color w:val="0F6E56"/>
                <w:sz w:val="36"/>
                <w:szCs w:val="36"/>
              </w:rPr>
              <w:t xml:space="preserve">120 Hours</w:t>
            </w:r>
          </w:p>
          <w:p>
            <w:pPr>
              <w:spacing w:after="0" w:before="0"/>
              <w:jc w:val="center"/>
            </w:pPr>
            <w:r>
              <w:rPr>
                <w:rFonts w:ascii="Calibri" w:cs="Calibri" w:eastAsia="Calibri" w:hAnsi="Calibri"/>
                <w:color w:val="0F6E56"/>
                <w:sz w:val="18"/>
                <w:szCs w:val="18"/>
              </w:rPr>
              <w:t xml:space="preserve">of contact time</w:t>
            </w:r>
          </w:p>
        </w:tc>
        <w:tc>
          <w:tcPr>
            <w:tcW w:type="dxa" w:w="2340"/>
            <w:tcBorders>
              <w:top w:val="single" w:color="3C3489" w:sz="6"/>
              <w:left w:val="single" w:color="3C3489" w:sz="6"/>
              <w:bottom w:val="single" w:color="3C3489" w:sz="6"/>
              <w:right w:val="single" w:color="3C3489" w:sz="6"/>
            </w:tcBorders>
            <w:shd w:fill="E5E3FC" w:val="clear"/>
            <w:tcMar>
              <w:top w:type="dxa" w:w="120"/>
              <w:left w:type="dxa" w:w="80"/>
              <w:bottom w:type="dxa" w:w="120"/>
              <w:right w:type="dxa" w:w="80"/>
            </w:tcMar>
          </w:tcPr>
          <w:p>
            <w:pPr>
              <w:spacing w:after="40" w:before="0"/>
              <w:jc w:val="center"/>
            </w:pPr>
            <w:r>
              <w:rPr>
                <w:rFonts w:ascii="Arial Black" w:cs="Arial Black" w:eastAsia="Arial Black" w:hAnsi="Arial Black"/>
                <w:b/>
                <w:bCs/>
                <w:color w:val="3C3489"/>
                <w:sz w:val="36"/>
                <w:szCs w:val="36"/>
              </w:rPr>
              <w:t xml:space="preserve">NQF L3-L4</w:t>
            </w:r>
          </w:p>
          <w:p>
            <w:pPr>
              <w:spacing w:after="0" w:before="0"/>
              <w:jc w:val="center"/>
            </w:pPr>
            <w:r>
              <w:rPr>
                <w:rFonts w:ascii="Calibri" w:cs="Calibri" w:eastAsia="Calibri" w:hAnsi="Calibri"/>
                <w:color w:val="3C3489"/>
                <w:sz w:val="18"/>
                <w:szCs w:val="18"/>
              </w:rPr>
              <w:t xml:space="preserve">qualification level</w:t>
            </w:r>
          </w:p>
        </w:tc>
        <w:tc>
          <w:tcPr>
            <w:tcW w:type="dxa" w:w="2340"/>
            <w:tcBorders>
              <w:top w:val="single" w:color="7A5C00" w:sz="6"/>
              <w:left w:val="single" w:color="7A5C00" w:sz="6"/>
              <w:bottom w:val="single" w:color="7A5C00" w:sz="6"/>
              <w:right w:val="single" w:color="7A5C00" w:sz="6"/>
            </w:tcBorders>
            <w:shd w:fill="FFF8DC" w:val="clear"/>
            <w:tcMar>
              <w:top w:type="dxa" w:w="120"/>
              <w:left w:type="dxa" w:w="80"/>
              <w:bottom w:type="dxa" w:w="120"/>
              <w:right w:type="dxa" w:w="80"/>
            </w:tcMar>
          </w:tcPr>
          <w:p>
            <w:pPr>
              <w:spacing w:after="40" w:before="0"/>
              <w:jc w:val="center"/>
            </w:pPr>
            <w:r>
              <w:rPr>
                <w:rFonts w:ascii="Arial Black" w:cs="Arial Black" w:eastAsia="Arial Black" w:hAnsi="Arial Black"/>
                <w:b/>
                <w:bCs/>
                <w:color w:val="7A5C00"/>
                <w:sz w:val="36"/>
                <w:szCs w:val="36"/>
              </w:rPr>
              <w:t xml:space="preserve">6</w:t>
            </w:r>
          </w:p>
          <w:p>
            <w:pPr>
              <w:spacing w:after="0" w:before="0"/>
              <w:jc w:val="center"/>
            </w:pPr>
            <w:r>
              <w:rPr>
                <w:rFonts w:ascii="Calibri" w:cs="Calibri" w:eastAsia="Calibri" w:hAnsi="Calibri"/>
                <w:color w:val="7A5C00"/>
                <w:sz w:val="18"/>
                <w:szCs w:val="18"/>
              </w:rPr>
              <w:t xml:space="preserve">SA business scenarios</w:t>
            </w:r>
          </w:p>
        </w:tc>
      </w:tr>
    </w:tbl>
    <w:p>
      <w:pP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CE0" w:sz="4"/>
              <w:left w:val="single" w:color="C0CCE0" w:sz="4"/>
              <w:bottom w:val="single" w:color="C0CCE0" w:sz="4"/>
              <w:right w:val="single" w:color="C0CCE0" w:sz="4"/>
            </w:tcBorders>
            <w:shd w:fill="F4F6FA" w:val="clear"/>
            <w:tcMar>
              <w:top w:type="dxa" w:w="100"/>
              <w:left w:type="dxa" w:w="140"/>
              <w:bottom w:type="dxa" w:w="100"/>
              <w:right w:type="dxa" w:w="120"/>
            </w:tcMar>
          </w:tcPr>
          <w:p>
            <w:pPr>
              <w:spacing w:after="40" w:before="0"/>
              <w:jc w:val="left"/>
            </w:pPr>
            <w:r>
              <w:rPr>
                <w:rFonts w:ascii="Arial" w:cs="Arial" w:eastAsia="Arial" w:hAnsi="Arial"/>
                <w:b w:val="false"/>
                <w:bCs w:val="false"/>
                <w:i w:val="false"/>
                <w:iCs w:val="false"/>
                <w:color w:val="5A6A7A"/>
                <w:sz w:val="18"/>
                <w:szCs w:val="18"/>
              </w:rPr>
              <w:t xml:space="preserve">Issued to:</w:t>
            </w:r>
          </w:p>
          <w:p>
            <w:pPr>
              <w:pBdr>
                <w:bottom w:val="single" w:color="C0CCE0" w:sz="4"/>
              </w:pBdr>
              <w:spacing w:after="100" w:before="0"/>
            </w:pPr>
            <w:r>
              <w:rPr>
                <w:sz w:val="22"/>
                <w:szCs w:val="22"/>
              </w:rPr>
              <w:t xml:space="preserve"/>
            </w:r>
          </w:p>
          <w:p>
            <w:pPr>
              <w:spacing w:after="40" w:before="80"/>
              <w:jc w:val="left"/>
            </w:pPr>
            <w:r>
              <w:rPr>
                <w:rFonts w:ascii="Arial" w:cs="Arial" w:eastAsia="Arial" w:hAnsi="Arial"/>
                <w:b w:val="false"/>
                <w:bCs w:val="false"/>
                <w:i w:val="false"/>
                <w:iCs w:val="false"/>
                <w:color w:val="5A6A7A"/>
                <w:sz w:val="18"/>
                <w:szCs w:val="18"/>
              </w:rPr>
              <w:t xml:space="preserve">Cohort / Intake:</w:t>
            </w:r>
          </w:p>
          <w:p>
            <w:pPr>
              <w:pBdr>
                <w:bottom w:val="single" w:color="C0CCE0" w:sz="4"/>
              </w:pBdr>
              <w:spacing w:after="100" w:before="0"/>
            </w:pPr>
            <w:r>
              <w:rPr>
                <w:sz w:val="22"/>
                <w:szCs w:val="22"/>
              </w:rPr>
              <w:t xml:space="preserve"/>
            </w:r>
          </w:p>
          <w:p>
            <w:pPr>
              <w:spacing w:after="40" w:before="80"/>
              <w:jc w:val="left"/>
            </w:pPr>
            <w:r>
              <w:rPr>
                <w:rFonts w:ascii="Arial" w:cs="Arial" w:eastAsia="Arial" w:hAnsi="Arial"/>
                <w:b w:val="false"/>
                <w:bCs w:val="false"/>
                <w:i w:val="false"/>
                <w:iCs w:val="false"/>
                <w:color w:val="5A6A7A"/>
                <w:sz w:val="18"/>
                <w:szCs w:val="18"/>
              </w:rPr>
              <w:t xml:space="preserve">Start date:</w:t>
            </w:r>
          </w:p>
          <w:p>
            <w:pPr>
              <w:pBdr>
                <w:bottom w:val="single" w:color="C0CCE0" w:sz="4"/>
              </w:pBdr>
              <w:spacing w:after="0" w:before="0"/>
            </w:pPr>
            <w:r>
              <w:rPr>
                <w:sz w:val="22"/>
                <w:szCs w:val="22"/>
              </w:rPr>
              <w:t xml:space="preserve"/>
            </w:r>
          </w:p>
        </w:tc>
        <w:tc>
          <w:tcPr>
            <w:tcW w:type="dxa" w:w="6160"/>
            <w:tcBorders>
              <w:top w:val="single" w:color="C0CCE0" w:sz="4"/>
              <w:left w:val="single" w:color="C0CCE0" w:sz="4"/>
              <w:bottom w:val="single" w:color="C0CCE0" w:sz="4"/>
              <w:right w:val="single" w:color="C0CCE0" w:sz="4"/>
            </w:tcBorders>
            <w:shd w:fill="F4F6FA" w:val="clear"/>
            <w:tcMar>
              <w:top w:type="dxa" w:w="100"/>
              <w:left w:type="dxa" w:w="140"/>
              <w:bottom w:type="dxa" w:w="100"/>
              <w:right w:type="dxa" w:w="120"/>
            </w:tcMar>
          </w:tcPr>
          <w:p>
            <w:pPr>
              <w:spacing w:after="40" w:before="0"/>
              <w:jc w:val="left"/>
            </w:pPr>
            <w:r>
              <w:rPr>
                <w:rFonts w:ascii="Arial" w:cs="Arial" w:eastAsia="Arial" w:hAnsi="Arial"/>
                <w:b w:val="false"/>
                <w:bCs w:val="false"/>
                <w:i w:val="false"/>
                <w:iCs w:val="false"/>
                <w:color w:val="5A6A7A"/>
                <w:sz w:val="18"/>
                <w:szCs w:val="18"/>
              </w:rPr>
              <w:t xml:space="preserve">Facilitator:</w:t>
            </w:r>
          </w:p>
          <w:p>
            <w:pPr>
              <w:pBdr>
                <w:bottom w:val="single" w:color="C0CCE0" w:sz="4"/>
              </w:pBdr>
              <w:spacing w:after="100" w:before="0"/>
            </w:pPr>
            <w:r>
              <w:rPr>
                <w:sz w:val="22"/>
                <w:szCs w:val="22"/>
              </w:rPr>
              <w:t xml:space="preserve"/>
            </w:r>
          </w:p>
          <w:p>
            <w:pPr>
              <w:spacing w:after="40" w:before="80"/>
              <w:jc w:val="left"/>
            </w:pPr>
            <w:r>
              <w:rPr>
                <w:rFonts w:ascii="Arial" w:cs="Arial" w:eastAsia="Arial" w:hAnsi="Arial"/>
                <w:b w:val="false"/>
                <w:bCs w:val="false"/>
                <w:i w:val="false"/>
                <w:iCs w:val="false"/>
                <w:color w:val="5A6A7A"/>
                <w:sz w:val="18"/>
                <w:szCs w:val="18"/>
              </w:rPr>
              <w:t xml:space="preserve">Facilitator email / contact:</w:t>
            </w:r>
          </w:p>
          <w:p>
            <w:pPr>
              <w:pBdr>
                <w:bottom w:val="single" w:color="C0CCE0" w:sz="4"/>
              </w:pBdr>
              <w:spacing w:after="100" w:before="0"/>
            </w:pPr>
            <w:r>
              <w:rPr>
                <w:sz w:val="22"/>
                <w:szCs w:val="22"/>
              </w:rPr>
              <w:t xml:space="preserve"/>
            </w:r>
          </w:p>
          <w:p>
            <w:pPr>
              <w:spacing w:after="40" w:before="80"/>
              <w:jc w:val="left"/>
            </w:pPr>
            <w:r>
              <w:rPr>
                <w:rFonts w:ascii="Arial" w:cs="Arial" w:eastAsia="Arial" w:hAnsi="Arial"/>
                <w:b w:val="false"/>
                <w:bCs w:val="false"/>
                <w:i w:val="false"/>
                <w:iCs w:val="false"/>
                <w:color w:val="5A6A7A"/>
                <w:sz w:val="18"/>
                <w:szCs w:val="18"/>
              </w:rPr>
              <w:t xml:space="preserve">Venue / LMS link:</w:t>
            </w:r>
          </w:p>
          <w:p>
            <w:pPr>
              <w:pBdr>
                <w:bottom w:val="single" w:color="C0CCE0" w:sz="4"/>
              </w:pBdr>
              <w:spacing w:after="0" w:before="0"/>
            </w:pPr>
            <w:r>
              <w:rPr>
                <w:sz w:val="22"/>
                <w:szCs w:val="22"/>
              </w:rPr>
              <w:t xml:space="preserve"/>
            </w:r>
          </w:p>
        </w:tc>
      </w:tr>
    </w:tbl>
    <w:p>
      <w:pPr>
        <w:spacing w:after="240" w:before="0"/>
      </w:pPr>
    </w:p>
    <w:p>
      <w:pPr>
        <w:spacing w:after="120" w:before="0"/>
        <w:jc w:val="left"/>
      </w:pPr>
      <w:r>
        <w:rPr>
          <w:rFonts w:ascii="Arial" w:cs="Arial" w:eastAsia="Arial" w:hAnsi="Arial"/>
          <w:b w:val="false"/>
          <w:bCs w:val="false"/>
          <w:i w:val="false"/>
          <w:iCs w:val="false"/>
          <w:color w:val="5A6A7A"/>
          <w:sz w:val="18"/>
          <w:szCs w:val="18"/>
        </w:rPr>
        <w:t xml:space="preserve">Prepared by Ginashe Group — 23 April 2026</w:t>
      </w: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A Message from Ginashe Digital Academy</w:t>
      </w:r>
    </w:p>
    <w:p>
      <w:pPr>
        <w:spacing w:after="120" w:before="0"/>
      </w:pPr>
    </w:p>
    <w:p>
      <w:pPr>
        <w:spacing w:after="160" w:before="0"/>
        <w:jc w:val="left"/>
      </w:pPr>
      <w:r>
        <w:rPr>
          <w:rFonts w:ascii="Arial" w:cs="Arial" w:eastAsia="Arial" w:hAnsi="Arial"/>
          <w:b/>
          <w:bCs/>
          <w:i w:val="false"/>
          <w:iCs w:val="false"/>
          <w:color w:val="1B4F8A"/>
          <w:sz w:val="28"/>
          <w:szCs w:val="28"/>
        </w:rPr>
        <w:t xml:space="preserve">Welcome to Cloud Launchpad.</w:t>
      </w:r>
    </w:p>
    <w:p>
      <w:pPr>
        <w:spacing w:after="120" w:before="0"/>
        <w:jc w:val="left"/>
      </w:pPr>
      <w:r>
        <w:rPr>
          <w:rFonts w:ascii="Arial" w:cs="Arial" w:eastAsia="Arial" w:hAnsi="Arial"/>
          <w:b w:val="false"/>
          <w:bCs w:val="false"/>
          <w:i w:val="false"/>
          <w:iCs w:val="false"/>
          <w:color w:val="000000"/>
          <w:sz w:val="22"/>
          <w:szCs w:val="22"/>
        </w:rPr>
        <w:t xml:space="preserve">You have made a decision that a growing number of South Africans are beginning to recognise as one of the most valuable career investments available right now. Cloud computing is not a future skill — it is the present reality of how every bank, retailer, government system, and startup in this country already operates. SARS eFiling runs on cloud. Capitec's mobile banking runs on cloud. Takealot's 150,000 daily orders are processed on cloud. The infrastructure you are about to learn to build is the same infrastructure that powers the South African digital economy.</w:t>
      </w:r>
    </w:p>
    <w:p>
      <w:pPr>
        <w:spacing w:after="120" w:before="0"/>
        <w:jc w:val="left"/>
      </w:pPr>
      <w:r>
        <w:rPr>
          <w:rFonts w:ascii="Arial" w:cs="Arial" w:eastAsia="Arial" w:hAnsi="Arial"/>
          <w:b w:val="false"/>
          <w:bCs w:val="false"/>
          <w:i w:val="false"/>
          <w:iCs w:val="false"/>
          <w:color w:val="000000"/>
          <w:sz w:val="22"/>
          <w:szCs w:val="22"/>
        </w:rPr>
        <w:t xml:space="preserve">Cloud Launchpad is not a passive learning experience. You will not watch videos and answer multiple-choice questions. Over 12 weeks you will build real infrastructure in a real AWS data centre in Cape Town. You will write Bash scripts that run on Linux servers. You will design and configure virtual networks from scratch. You will deploy databases, configure security controls, estimate costs in Rand, and present a complete cloud solution to a professional panel as if you were a cloud architect presenting to a client.</w:t>
      </w:r>
    </w:p>
    <w:p>
      <w:pPr>
        <w:spacing w:after="160" w:before="0"/>
        <w:jc w:val="left"/>
      </w:pPr>
      <w:r>
        <w:rPr>
          <w:rFonts w:ascii="Arial" w:cs="Arial" w:eastAsia="Arial" w:hAnsi="Arial"/>
          <w:b w:val="false"/>
          <w:bCs w:val="false"/>
          <w:i w:val="false"/>
          <w:iCs w:val="false"/>
          <w:color w:val="000000"/>
          <w:sz w:val="22"/>
          <w:szCs w:val="22"/>
        </w:rPr>
        <w:t xml:space="preserve">When you complete this course and hold the GDA Certificate of Competence, you will be able to say honestly — not just claim on a CV — that you have deployed, secured, documented, and defended a production-pattern cloud architecture. That is a capability most people spend years acquiring. You are starting today.</w:t>
      </w:r>
    </w:p>
    <w:p>
      <w:pPr>
        <w:spacing w:after="160" w:before="0"/>
        <w:jc w:val="left"/>
      </w:pPr>
      <w:r>
        <w:rPr>
          <w:rFonts w:ascii="Arial" w:cs="Arial" w:eastAsia="Arial" w:hAnsi="Arial"/>
          <w:b w:val="false"/>
          <w:bCs w:val="false"/>
          <w:i w:val="false"/>
          <w:iCs w:val="false"/>
          <w:color w:val="000000"/>
          <w:sz w:val="22"/>
          <w:szCs w:val="22"/>
        </w:rPr>
        <w:t xml:space="preserve">This welcome pack contains everything you need to prepare for Day 1, understand the course structure, set up your tools and accounts, and know exactly what to expect across 12 weeks. Read it fully before your first session.</w:t>
      </w:r>
    </w:p>
    <w:p>
      <w:pPr>
        <w:spacing w:after="60" w:before="0"/>
        <w:jc w:val="left"/>
      </w:pPr>
      <w:r>
        <w:rPr>
          <w:rFonts w:ascii="Arial" w:cs="Arial" w:eastAsia="Arial" w:hAnsi="Arial"/>
          <w:b w:val="false"/>
          <w:bCs w:val="false"/>
          <w:i/>
          <w:iCs/>
          <w:color w:val="000000"/>
          <w:sz w:val="22"/>
          <w:szCs w:val="22"/>
        </w:rPr>
        <w:t xml:space="preserve">We look forward to seeing what you build.</w:t>
      </w:r>
    </w:p>
    <w:p>
      <w:pPr>
        <w:spacing w:after="120" w:before="0"/>
      </w:pPr>
    </w:p>
    <w:p>
      <w:pPr>
        <w:spacing w:after="40" w:before="0"/>
        <w:jc w:val="left"/>
      </w:pPr>
      <w:r>
        <w:rPr>
          <w:rFonts w:ascii="Arial" w:cs="Arial" w:eastAsia="Arial" w:hAnsi="Arial"/>
          <w:b/>
          <w:bCs/>
          <w:i w:val="false"/>
          <w:iCs w:val="false"/>
          <w:color w:val="1B4F8A"/>
          <w:sz w:val="22"/>
          <w:szCs w:val="22"/>
        </w:rPr>
        <w:t xml:space="preserve">Ginashe Group</w:t>
      </w:r>
    </w:p>
    <w:p>
      <w:pPr>
        <w:spacing w:after="120" w:before="0"/>
        <w:jc w:val="left"/>
      </w:pPr>
      <w:r>
        <w:rPr>
          <w:rFonts w:ascii="Arial" w:cs="Arial" w:eastAsia="Arial" w:hAnsi="Arial"/>
          <w:b w:val="false"/>
          <w:bCs w:val="false"/>
          <w:i/>
          <w:iCs/>
          <w:color w:val="5A6A7A"/>
          <w:sz w:val="20"/>
          <w:szCs w:val="20"/>
        </w:rPr>
        <w:t xml:space="preserve">Making Digital Transformation a Reality — One Learner at a Time</w:t>
      </w: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1 — About Cloud Launchpad</w:t>
      </w:r>
    </w:p>
    <w:p>
      <w:pPr>
        <w:pStyle w:val="Heading2"/>
        <w:spacing w:after="100" w:before="220"/>
      </w:pPr>
      <w:r>
        <w:rPr>
          <w:rFonts w:ascii="Arial" w:cs="Arial" w:eastAsia="Arial" w:hAnsi="Arial"/>
          <w:b/>
          <w:bCs/>
          <w:color w:val="1B4F8A"/>
          <w:sz w:val="24"/>
          <w:szCs w:val="24"/>
        </w:rPr>
        <w:t xml:space="preserve">What this course is</w:t>
      </w:r>
    </w:p>
    <w:p>
      <w:pPr>
        <w:spacing w:after="120" w:before="0"/>
        <w:jc w:val="left"/>
      </w:pPr>
      <w:r>
        <w:rPr>
          <w:rFonts w:ascii="Arial" w:cs="Arial" w:eastAsia="Arial" w:hAnsi="Arial"/>
          <w:b w:val="false"/>
          <w:bCs w:val="false"/>
          <w:i w:val="false"/>
          <w:iCs w:val="false"/>
          <w:color w:val="000000"/>
          <w:sz w:val="22"/>
          <w:szCs w:val="22"/>
        </w:rPr>
        <w:t xml:space="preserve">Cloud Launchpad is a 12-week, hands-on cloud computing qualification aligned to the South African National Qualifications Framework (NQF) at Levels 3–4. It is designed to take a learner with no prior cloud experience to the point of being able to independently design, deploy, secure, and document a two-tier cloud application on Amazon Web Services — in the Cape Town af-south-1 region.</w:t>
      </w:r>
    </w:p>
    <w:p>
      <w:pPr>
        <w:spacing w:after="160" w:before="0"/>
        <w:jc w:val="left"/>
      </w:pPr>
      <w:r>
        <w:rPr>
          <w:rFonts w:ascii="Arial" w:cs="Arial" w:eastAsia="Arial" w:hAnsi="Arial"/>
          <w:b w:val="false"/>
          <w:bCs w:val="false"/>
          <w:i w:val="false"/>
          <w:iCs w:val="false"/>
          <w:color w:val="000000"/>
          <w:sz w:val="22"/>
          <w:szCs w:val="22"/>
        </w:rPr>
        <w:t xml:space="preserve">The course covers six modules, each with a distinct technical focus and its own set of practical lab exercises. It concludes with a two-week Capstone Project in which you select a real South African business scenario and build a complete cloud solution for it.</w:t>
      </w:r>
    </w:p>
    <w:p>
      <w:pPr>
        <w:pStyle w:val="Heading2"/>
        <w:spacing w:after="100" w:before="220"/>
      </w:pPr>
      <w:r>
        <w:rPr>
          <w:rFonts w:ascii="Arial" w:cs="Arial" w:eastAsia="Arial" w:hAnsi="Arial"/>
          <w:b/>
          <w:bCs/>
          <w:color w:val="1B4F8A"/>
          <w:sz w:val="24"/>
          <w:szCs w:val="24"/>
        </w:rPr>
        <w:t xml:space="preserve">Who it is for</w:t>
      </w:r>
    </w:p>
    <w:p>
      <w:pPr>
        <w:spacing w:after="80" w:before="0"/>
        <w:jc w:val="left"/>
      </w:pPr>
      <w:r>
        <w:rPr>
          <w:rFonts w:ascii="Arial" w:cs="Arial" w:eastAsia="Arial" w:hAnsi="Arial"/>
          <w:b w:val="false"/>
          <w:bCs w:val="false"/>
          <w:i w:val="false"/>
          <w:iCs w:val="false"/>
          <w:color w:val="000000"/>
          <w:sz w:val="22"/>
          <w:szCs w:val="22"/>
        </w:rPr>
        <w:t xml:space="preserve">Cloud Launchpad is designed for:</w:t>
      </w:r>
    </w:p>
    <w:p>
      <w:pPr>
        <w:pStyle w:val="ListParagraph"/>
        <w:numPr>
          <w:ilvl w:val="0"/>
          <w:numId w:val="2"/>
        </w:numPr>
        <w:spacing w:after="70" w:before="0"/>
      </w:pPr>
      <w:r>
        <w:rPr>
          <w:rFonts w:ascii="Arial" w:cs="Arial" w:eastAsia="Arial" w:hAnsi="Arial"/>
          <w:color w:val="000000"/>
          <w:sz w:val="22"/>
          <w:szCs w:val="22"/>
        </w:rPr>
        <w:t xml:space="preserve">Career changers who want to enter the cloud computing industry from any background</w:t>
      </w:r>
    </w:p>
    <w:p>
      <w:pPr>
        <w:pStyle w:val="ListParagraph"/>
        <w:numPr>
          <w:ilvl w:val="0"/>
          <w:numId w:val="2"/>
        </w:numPr>
        <w:spacing w:after="70" w:before="0"/>
      </w:pPr>
      <w:r>
        <w:rPr>
          <w:rFonts w:ascii="Arial" w:cs="Arial" w:eastAsia="Arial" w:hAnsi="Arial"/>
          <w:color w:val="000000"/>
          <w:sz w:val="22"/>
          <w:szCs w:val="22"/>
        </w:rPr>
        <w:t xml:space="preserve">IT support professionals looking to upskill from on-premises infrastructure to cloud</w:t>
      </w:r>
    </w:p>
    <w:p>
      <w:pPr>
        <w:pStyle w:val="ListParagraph"/>
        <w:numPr>
          <w:ilvl w:val="0"/>
          <w:numId w:val="2"/>
        </w:numPr>
        <w:spacing w:after="70" w:before="0"/>
      </w:pPr>
      <w:r>
        <w:rPr>
          <w:rFonts w:ascii="Arial" w:cs="Arial" w:eastAsia="Arial" w:hAnsi="Arial"/>
          <w:color w:val="000000"/>
          <w:sz w:val="22"/>
          <w:szCs w:val="22"/>
        </w:rPr>
        <w:t xml:space="preserve">Developers and software engineers who want to understand the infrastructure their code runs on</w:t>
      </w:r>
    </w:p>
    <w:p>
      <w:pPr>
        <w:pStyle w:val="ListParagraph"/>
        <w:numPr>
          <w:ilvl w:val="0"/>
          <w:numId w:val="2"/>
        </w:numPr>
        <w:spacing w:after="70" w:before="0"/>
      </w:pPr>
      <w:r>
        <w:rPr>
          <w:rFonts w:ascii="Arial" w:cs="Arial" w:eastAsia="Arial" w:hAnsi="Arial"/>
          <w:color w:val="000000"/>
          <w:sz w:val="22"/>
          <w:szCs w:val="22"/>
        </w:rPr>
        <w:t xml:space="preserve">Business analysts and project managers working in technology companies who need technical cloud literacy</w:t>
      </w:r>
    </w:p>
    <w:p>
      <w:pPr>
        <w:pStyle w:val="ListParagraph"/>
        <w:numPr>
          <w:ilvl w:val="0"/>
          <w:numId w:val="2"/>
        </w:numPr>
        <w:spacing w:after="70" w:before="0"/>
      </w:pPr>
      <w:r>
        <w:rPr>
          <w:rFonts w:ascii="Arial" w:cs="Arial" w:eastAsia="Arial" w:hAnsi="Arial"/>
          <w:color w:val="000000"/>
          <w:sz w:val="22"/>
          <w:szCs w:val="22"/>
        </w:rPr>
        <w:t xml:space="preserve">Recent graduates from any field who want a practical, employer-relevant technical qualification</w:t>
      </w:r>
    </w:p>
    <w:p>
      <w:pPr>
        <w:pStyle w:val="ListParagraph"/>
        <w:numPr>
          <w:ilvl w:val="0"/>
          <w:numId w:val="2"/>
        </w:numPr>
        <w:spacing w:after="70" w:before="0"/>
      </w:pPr>
      <w:r>
        <w:rPr>
          <w:rFonts w:ascii="Arial" w:cs="Arial" w:eastAsia="Arial" w:hAnsi="Arial"/>
          <w:color w:val="000000"/>
          <w:sz w:val="22"/>
          <w:szCs w:val="22"/>
        </w:rPr>
        <w:t xml:space="preserve">Entrepreneurs building tech products who want to manage their own cloud infrastructure cost-effectively</w:t>
      </w:r>
    </w:p>
    <w:p>
      <w:pPr>
        <w:spacing w:after="120" w:before="0"/>
      </w:pPr>
    </w:p>
    <w:p>
      <w:pPr>
        <w:spacing w:after="160" w:before="0"/>
        <w:jc w:val="left"/>
      </w:pPr>
      <w:r>
        <w:rPr>
          <w:rFonts w:ascii="Arial" w:cs="Arial" w:eastAsia="Arial" w:hAnsi="Arial"/>
          <w:b w:val="false"/>
          <w:bCs w:val="false"/>
          <w:i w:val="false"/>
          <w:iCs w:val="false"/>
          <w:color w:val="000000"/>
          <w:sz w:val="22"/>
          <w:szCs w:val="22"/>
        </w:rPr>
        <w:t xml:space="preserve">You do NOT need prior experience in Linux, networking, or cloud computing. The course builds from first principles. You DO need to be willing to engage actively, practise between sessions, and ask questions when something is not clear.</w:t>
      </w:r>
    </w:p>
    <w:p>
      <w:pPr>
        <w:pStyle w:val="Heading2"/>
        <w:spacing w:after="100" w:before="220"/>
      </w:pPr>
      <w:r>
        <w:rPr>
          <w:rFonts w:ascii="Arial" w:cs="Arial" w:eastAsia="Arial" w:hAnsi="Arial"/>
          <w:b/>
          <w:bCs/>
          <w:color w:val="1B4F8A"/>
          <w:sz w:val="24"/>
          <w:szCs w:val="24"/>
        </w:rPr>
        <w:t xml:space="preserve">What you will be able to do when you graduate</w:t>
      </w:r>
    </w:p>
    <w:p>
      <w:pPr>
        <w:spacing w:after="80" w:before="0"/>
        <w:jc w:val="left"/>
      </w:pPr>
      <w:r>
        <w:rPr>
          <w:rFonts w:ascii="Arial" w:cs="Arial" w:eastAsia="Arial" w:hAnsi="Arial"/>
          <w:b w:val="false"/>
          <w:bCs w:val="false"/>
          <w:i w:val="false"/>
          <w:iCs w:val="false"/>
          <w:color w:val="000000"/>
          <w:sz w:val="22"/>
          <w:szCs w:val="22"/>
        </w:rPr>
        <w:t xml:space="preserve">By the end of Cloud Launchpad, you will be able to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4F8A" w:sz="6"/>
              <w:left w:val="single" w:color="1B4F8A" w:sz="6"/>
              <w:bottom w:val="single" w:color="1B4F8A" w:sz="6"/>
              <w:right w:val="single" w:color="1B4F8A" w:sz="6"/>
            </w:tcBorders>
            <w:shd w:fill="D6E8F8" w:val="clear"/>
            <w:tcMar>
              <w:top w:type="dxa" w:w="100"/>
              <w:left w:type="dxa" w:w="140"/>
              <w:bottom w:type="dxa" w:w="100"/>
              <w:right w:type="dxa" w:w="120"/>
            </w:tcMar>
          </w:tcPr>
          <w:p>
            <w:pPr>
              <w:spacing w:after="80" w:before="0"/>
              <w:jc w:val="left"/>
            </w:pPr>
            <w:r>
              <w:rPr>
                <w:rFonts w:ascii="Arial" w:cs="Arial" w:eastAsia="Arial" w:hAnsi="Arial"/>
                <w:b/>
                <w:bCs/>
                <w:i w:val="false"/>
                <w:iCs w:val="false"/>
                <w:color w:val="1B4F8A"/>
                <w:sz w:val="20"/>
                <w:szCs w:val="20"/>
              </w:rPr>
              <w:t xml:space="preserve">Technical skills</w:t>
            </w:r>
          </w:p>
          <w:p>
            <w:pPr>
              <w:pStyle w:val="ListParagraph"/>
              <w:numPr>
                <w:ilvl w:val="0"/>
                <w:numId w:val="2"/>
              </w:numPr>
              <w:spacing w:after="70" w:before="0"/>
            </w:pPr>
            <w:r>
              <w:rPr>
                <w:rFonts w:ascii="Arial" w:cs="Arial" w:eastAsia="Arial" w:hAnsi="Arial"/>
                <w:color w:val="0A0E1A"/>
                <w:sz w:val="22"/>
                <w:szCs w:val="22"/>
              </w:rPr>
              <w:t xml:space="preserve">Navigate and operate a Linux server from the command line</w:t>
            </w:r>
          </w:p>
          <w:p>
            <w:pPr>
              <w:pStyle w:val="ListParagraph"/>
              <w:numPr>
                <w:ilvl w:val="0"/>
                <w:numId w:val="2"/>
              </w:numPr>
              <w:spacing w:after="70" w:before="0"/>
            </w:pPr>
            <w:r>
              <w:rPr>
                <w:rFonts w:ascii="Arial" w:cs="Arial" w:eastAsia="Arial" w:hAnsi="Arial"/>
                <w:color w:val="0A0E1A"/>
                <w:sz w:val="22"/>
                <w:szCs w:val="22"/>
              </w:rPr>
              <w:t xml:space="preserve">Design a VPC with public and private subnets from scratch</w:t>
            </w:r>
          </w:p>
          <w:p>
            <w:pPr>
              <w:pStyle w:val="ListParagraph"/>
              <w:numPr>
                <w:ilvl w:val="0"/>
                <w:numId w:val="2"/>
              </w:numPr>
              <w:spacing w:after="70" w:before="0"/>
            </w:pPr>
            <w:r>
              <w:rPr>
                <w:rFonts w:ascii="Arial" w:cs="Arial" w:eastAsia="Arial" w:hAnsi="Arial"/>
                <w:color w:val="0A0E1A"/>
                <w:sz w:val="22"/>
                <w:szCs w:val="22"/>
              </w:rPr>
              <w:t xml:space="preserve">Deploy and configure EC2, RDS, S3, and IAM on AWS</w:t>
            </w:r>
          </w:p>
          <w:p>
            <w:pPr>
              <w:pStyle w:val="ListParagraph"/>
              <w:numPr>
                <w:ilvl w:val="0"/>
                <w:numId w:val="2"/>
              </w:numPr>
              <w:spacing w:after="70" w:before="0"/>
            </w:pPr>
            <w:r>
              <w:rPr>
                <w:rFonts w:ascii="Arial" w:cs="Arial" w:eastAsia="Arial" w:hAnsi="Arial"/>
                <w:color w:val="0A0E1A"/>
                <w:sz w:val="22"/>
                <w:szCs w:val="22"/>
              </w:rPr>
              <w:t xml:space="preserve">Write and schedule Bash scripts for automation</w:t>
            </w:r>
          </w:p>
          <w:p>
            <w:pPr>
              <w:pStyle w:val="ListParagraph"/>
              <w:numPr>
                <w:ilvl w:val="0"/>
                <w:numId w:val="2"/>
              </w:numPr>
              <w:spacing w:after="70" w:before="0"/>
            </w:pPr>
            <w:r>
              <w:rPr>
                <w:rFonts w:ascii="Arial" w:cs="Arial" w:eastAsia="Arial" w:hAnsi="Arial"/>
                <w:color w:val="0A0E1A"/>
                <w:sz w:val="22"/>
                <w:szCs w:val="22"/>
              </w:rPr>
              <w:t xml:space="preserve">Configure ufw firewall rules and AWS Security Groups</w:t>
            </w:r>
          </w:p>
          <w:p>
            <w:pPr>
              <w:pStyle w:val="ListParagraph"/>
              <w:numPr>
                <w:ilvl w:val="0"/>
                <w:numId w:val="2"/>
              </w:numPr>
              <w:spacing w:after="70" w:before="0"/>
            </w:pPr>
            <w:r>
              <w:rPr>
                <w:rFonts w:ascii="Arial" w:cs="Arial" w:eastAsia="Arial" w:hAnsi="Arial"/>
                <w:color w:val="0A0E1A"/>
                <w:sz w:val="22"/>
                <w:szCs w:val="22"/>
              </w:rPr>
              <w:t xml:space="preserve">Enable CloudTrail logging and interpret the audit trail</w:t>
            </w:r>
          </w:p>
          <w:p>
            <w:pPr>
              <w:pStyle w:val="ListParagraph"/>
              <w:numPr>
                <w:ilvl w:val="0"/>
                <w:numId w:val="2"/>
              </w:numPr>
              <w:spacing w:after="70" w:before="0"/>
            </w:pPr>
            <w:r>
              <w:rPr>
                <w:rFonts w:ascii="Arial" w:cs="Arial" w:eastAsia="Arial" w:hAnsi="Arial"/>
                <w:color w:val="0A0E1A"/>
                <w:sz w:val="22"/>
                <w:szCs w:val="22"/>
              </w:rPr>
              <w:t xml:space="preserve">Apply KMS encryption to protect personal data</w:t>
            </w:r>
          </w:p>
          <w:p>
            <w:pPr>
              <w:pStyle w:val="ListParagraph"/>
              <w:numPr>
                <w:ilvl w:val="0"/>
                <w:numId w:val="2"/>
              </w:numPr>
              <w:spacing w:after="70" w:before="0"/>
            </w:pPr>
            <w:r>
              <w:rPr>
                <w:rFonts w:ascii="Arial" w:cs="Arial" w:eastAsia="Arial" w:hAnsi="Arial"/>
                <w:color w:val="0A0E1A"/>
                <w:sz w:val="22"/>
                <w:szCs w:val="22"/>
              </w:rPr>
              <w:t xml:space="preserve">Estimate monthly cloud costs in ZAR using the AWS Pricing Calculator</w:t>
            </w:r>
          </w:p>
        </w:tc>
        <w:tc>
          <w:tcPr>
            <w:tcW w:type="dxa" w:w="4740"/>
            <w:tcBorders>
              <w:top w:val="single" w:color="0F6E56" w:sz="6"/>
              <w:left w:val="single" w:color="0F6E56" w:sz="6"/>
              <w:bottom w:val="single" w:color="0F6E56" w:sz="6"/>
              <w:right w:val="single" w:color="0F6E56" w:sz="6"/>
            </w:tcBorders>
            <w:shd w:fill="D8F2E9" w:val="clear"/>
            <w:tcMar>
              <w:top w:type="dxa" w:w="100"/>
              <w:left w:type="dxa" w:w="140"/>
              <w:bottom w:type="dxa" w:w="100"/>
              <w:right w:type="dxa" w:w="120"/>
            </w:tcMar>
          </w:tcPr>
          <w:p>
            <w:pPr>
              <w:spacing w:after="80" w:before="0"/>
              <w:jc w:val="left"/>
            </w:pPr>
            <w:r>
              <w:rPr>
                <w:rFonts w:ascii="Arial" w:cs="Arial" w:eastAsia="Arial" w:hAnsi="Arial"/>
                <w:b/>
                <w:bCs/>
                <w:i w:val="false"/>
                <w:iCs w:val="false"/>
                <w:color w:val="0F6E56"/>
                <w:sz w:val="20"/>
                <w:szCs w:val="20"/>
              </w:rPr>
              <w:t xml:space="preserve">Professional skills</w:t>
            </w:r>
          </w:p>
          <w:p>
            <w:pPr>
              <w:pStyle w:val="ListParagraph"/>
              <w:numPr>
                <w:ilvl w:val="0"/>
                <w:numId w:val="2"/>
              </w:numPr>
              <w:spacing w:after="70" w:before="0"/>
            </w:pPr>
            <w:r>
              <w:rPr>
                <w:rFonts w:ascii="Arial" w:cs="Arial" w:eastAsia="Arial" w:hAnsi="Arial"/>
                <w:color w:val="0A0E1A"/>
                <w:sz w:val="22"/>
                <w:szCs w:val="22"/>
              </w:rPr>
              <w:t xml:space="preserve">Map POPIA compliance requirements to specific AWS controls</w:t>
            </w:r>
          </w:p>
          <w:p>
            <w:pPr>
              <w:pStyle w:val="ListParagraph"/>
              <w:numPr>
                <w:ilvl w:val="0"/>
                <w:numId w:val="2"/>
              </w:numPr>
              <w:spacing w:after="70" w:before="0"/>
            </w:pPr>
            <w:r>
              <w:rPr>
                <w:rFonts w:ascii="Arial" w:cs="Arial" w:eastAsia="Arial" w:hAnsi="Arial"/>
                <w:color w:val="0A0E1A"/>
                <w:sz w:val="22"/>
                <w:szCs w:val="22"/>
              </w:rPr>
              <w:t xml:space="preserve">Produce a professional Security Hardening Report</w:t>
            </w:r>
          </w:p>
          <w:p>
            <w:pPr>
              <w:pStyle w:val="ListParagraph"/>
              <w:numPr>
                <w:ilvl w:val="0"/>
                <w:numId w:val="2"/>
              </w:numPr>
              <w:spacing w:after="70" w:before="0"/>
            </w:pPr>
            <w:r>
              <w:rPr>
                <w:rFonts w:ascii="Arial" w:cs="Arial" w:eastAsia="Arial" w:hAnsi="Arial"/>
                <w:color w:val="0A0E1A"/>
                <w:sz w:val="22"/>
                <w:szCs w:val="22"/>
              </w:rPr>
              <w:t xml:space="preserve">Design architectures using the AWS Well-Architected Framework</w:t>
            </w:r>
          </w:p>
          <w:p>
            <w:pPr>
              <w:pStyle w:val="ListParagraph"/>
              <w:numPr>
                <w:ilvl w:val="0"/>
                <w:numId w:val="2"/>
              </w:numPr>
              <w:spacing w:after="70" w:before="0"/>
            </w:pPr>
            <w:r>
              <w:rPr>
                <w:rFonts w:ascii="Arial" w:cs="Arial" w:eastAsia="Arial" w:hAnsi="Arial"/>
                <w:color w:val="0A0E1A"/>
                <w:sz w:val="22"/>
                <w:szCs w:val="22"/>
              </w:rPr>
              <w:t xml:space="preserve">Lead a 15-minute professional technical presentation</w:t>
            </w:r>
          </w:p>
          <w:p>
            <w:pPr>
              <w:pStyle w:val="ListParagraph"/>
              <w:numPr>
                <w:ilvl w:val="0"/>
                <w:numId w:val="2"/>
              </w:numPr>
              <w:spacing w:after="70" w:before="0"/>
            </w:pPr>
            <w:r>
              <w:rPr>
                <w:rFonts w:ascii="Arial" w:cs="Arial" w:eastAsia="Arial" w:hAnsi="Arial"/>
                <w:color w:val="0A0E1A"/>
                <w:sz w:val="22"/>
                <w:szCs w:val="22"/>
              </w:rPr>
              <w:t xml:space="preserve">Respond to technical panel questions confidently</w:t>
            </w:r>
          </w:p>
          <w:p>
            <w:pPr>
              <w:pStyle w:val="ListParagraph"/>
              <w:numPr>
                <w:ilvl w:val="0"/>
                <w:numId w:val="2"/>
              </w:numPr>
              <w:spacing w:after="70" w:before="0"/>
            </w:pPr>
            <w:r>
              <w:rPr>
                <w:rFonts w:ascii="Arial" w:cs="Arial" w:eastAsia="Arial" w:hAnsi="Arial"/>
                <w:color w:val="0A0E1A"/>
                <w:sz w:val="22"/>
                <w:szCs w:val="22"/>
              </w:rPr>
              <w:t xml:space="preserve">Compile and present a complete Portfolio of Evidence</w:t>
            </w:r>
          </w:p>
          <w:p>
            <w:pPr>
              <w:pStyle w:val="ListParagraph"/>
              <w:numPr>
                <w:ilvl w:val="0"/>
                <w:numId w:val="2"/>
              </w:numPr>
              <w:spacing w:after="70" w:before="0"/>
            </w:pPr>
            <w:r>
              <w:rPr>
                <w:rFonts w:ascii="Arial" w:cs="Arial" w:eastAsia="Arial" w:hAnsi="Arial"/>
                <w:color w:val="0A0E1A"/>
                <w:sz w:val="22"/>
                <w:szCs w:val="22"/>
              </w:rPr>
              <w:t xml:space="preserve">Recommend the correct pricing model for a given workload</w:t>
            </w:r>
          </w:p>
          <w:p>
            <w:pPr>
              <w:pStyle w:val="ListParagraph"/>
              <w:numPr>
                <w:ilvl w:val="0"/>
                <w:numId w:val="2"/>
              </w:numPr>
              <w:spacing w:after="70" w:before="0"/>
            </w:pPr>
            <w:r>
              <w:rPr>
                <w:rFonts w:ascii="Arial" w:cs="Arial" w:eastAsia="Arial" w:hAnsi="Arial"/>
                <w:color w:val="0A0E1A"/>
                <w:sz w:val="22"/>
                <w:szCs w:val="22"/>
              </w:rPr>
              <w:t xml:space="preserve">Diagnose connectivity failures using the OSI model</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2 — Module Overview</w:t>
      </w:r>
    </w:p>
    <w:p>
      <w:pPr>
        <w:spacing w:after="140" w:before="0"/>
        <w:jc w:val="left"/>
      </w:pPr>
      <w:r>
        <w:rPr>
          <w:rFonts w:ascii="Arial" w:cs="Arial" w:eastAsia="Arial" w:hAnsi="Arial"/>
          <w:b w:val="false"/>
          <w:bCs w:val="false"/>
          <w:i w:val="false"/>
          <w:iCs w:val="false"/>
          <w:color w:val="000000"/>
          <w:sz w:val="22"/>
          <w:szCs w:val="22"/>
        </w:rPr>
        <w:t xml:space="preserve">Cloud Launchpad has six modules. Each module runs for approximately two weeks and builds directly on the previous one. You cannot skip ahead — the modules are deliberately sequenced so that each concept is in place before the next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1600"/>
        <w:gridCol w:w="5880"/>
      </w:tblGrid>
      <w:tr>
        <w:trPr>
          <w:tblHeader/>
        </w:trPr>
        <w:tc>
          <w:tcPr>
            <w:tcW w:type="dxa" w:w="480"/>
            <w:tcBorders>
              <w:top w:val="single" w:color="0A0E1A" w:sz="6"/>
              <w:left w:val="single" w:color="0A0E1A" w:sz="6"/>
              <w:bottom w:val="single" w:color="0A0E1A" w:sz="6"/>
              <w:right w:val="single" w:color="0A0E1A" w:sz="6"/>
            </w:tcBorders>
            <w:shd w:fill="0A0E1A" w:val="clear"/>
            <w:tcMar>
              <w:top w:type="dxa" w:w="80"/>
              <w:left w:type="dxa" w:w="80"/>
              <w:bottom w:type="dxa" w:w="80"/>
              <w:right w:type="dxa" w:w="80"/>
            </w:tcMar>
          </w:tcPr>
          <w:p>
            <w:r>
              <w:rPr>
                <w:rFonts w:ascii="Arial" w:cs="Arial" w:eastAsia="Arial" w:hAnsi="Arial"/>
                <w:b/>
                <w:bCs/>
                <w:color w:val="FFFFFF"/>
                <w:sz w:val="18"/>
                <w:szCs w:val="18"/>
              </w:rPr>
              <w:t xml:space="preserve">M</w:t>
            </w:r>
          </w:p>
        </w:tc>
        <w:tc>
          <w:tcPr>
            <w:tcW w:type="dxa" w:w="1400"/>
            <w:tcBorders>
              <w:top w:val="single" w:color="0A0E1A" w:sz="6"/>
              <w:left w:val="single" w:color="0A0E1A" w:sz="6"/>
              <w:bottom w:val="single" w:color="0A0E1A" w:sz="6"/>
              <w:right w:val="single" w:color="0A0E1A" w:sz="6"/>
            </w:tcBorders>
            <w:shd w:fill="0A0E1A" w:val="clear"/>
            <w:tcMar>
              <w:top w:type="dxa" w:w="80"/>
              <w:left w:type="dxa" w:w="80"/>
              <w:bottom w:type="dxa" w:w="80"/>
              <w:right w:type="dxa" w:w="80"/>
            </w:tcMar>
          </w:tcPr>
          <w:p>
            <w:r>
              <w:rPr>
                <w:rFonts w:ascii="Arial" w:cs="Arial" w:eastAsia="Arial" w:hAnsi="Arial"/>
                <w:b/>
                <w:bCs/>
                <w:color w:val="FFFFFF"/>
                <w:sz w:val="18"/>
                <w:szCs w:val="18"/>
              </w:rPr>
              <w:t xml:space="preserve">Weeks</w:t>
            </w:r>
          </w:p>
        </w:tc>
        <w:tc>
          <w:tcPr>
            <w:tcW w:type="dxa" w:w="1600"/>
            <w:tcBorders>
              <w:top w:val="single" w:color="0A0E1A" w:sz="6"/>
              <w:left w:val="single" w:color="0A0E1A" w:sz="6"/>
              <w:bottom w:val="single" w:color="0A0E1A" w:sz="6"/>
              <w:right w:val="single" w:color="0A0E1A" w:sz="6"/>
            </w:tcBorders>
            <w:shd w:fill="0A0E1A" w:val="clear"/>
            <w:tcMar>
              <w:top w:type="dxa" w:w="80"/>
              <w:left w:type="dxa" w:w="80"/>
              <w:bottom w:type="dxa" w:w="80"/>
              <w:right w:type="dxa" w:w="80"/>
            </w:tcMar>
          </w:tcPr>
          <w:p>
            <w:r>
              <w:rPr>
                <w:rFonts w:ascii="Arial" w:cs="Arial" w:eastAsia="Arial" w:hAnsi="Arial"/>
                <w:b/>
                <w:bCs/>
                <w:color w:val="FFFFFF"/>
                <w:sz w:val="18"/>
                <w:szCs w:val="18"/>
              </w:rPr>
              <w:t xml:space="preserve">Topic</w:t>
            </w:r>
          </w:p>
        </w:tc>
        <w:tc>
          <w:tcPr>
            <w:tcW w:type="dxa" w:w="5880"/>
            <w:tcBorders>
              <w:top w:val="single" w:color="0A0E1A" w:sz="6"/>
              <w:left w:val="single" w:color="0A0E1A" w:sz="6"/>
              <w:bottom w:val="single" w:color="0A0E1A" w:sz="6"/>
              <w:right w:val="single" w:color="0A0E1A" w:sz="6"/>
            </w:tcBorders>
            <w:shd w:fill="0A0E1A" w:val="clear"/>
            <w:tcMar>
              <w:top w:type="dxa" w:w="80"/>
              <w:left w:type="dxa" w:w="80"/>
              <w:bottom w:type="dxa" w:w="80"/>
              <w:right w:type="dxa" w:w="80"/>
            </w:tcMar>
          </w:tcPr>
          <w:p>
            <w:r>
              <w:rPr>
                <w:rFonts w:ascii="Arial" w:cs="Arial" w:eastAsia="Arial" w:hAnsi="Arial"/>
                <w:b/>
                <w:bCs/>
                <w:color w:val="FFFFFF"/>
                <w:sz w:val="18"/>
                <w:szCs w:val="18"/>
              </w:rPr>
              <w:t xml:space="preserve">What you will build / learn</w:t>
            </w:r>
          </w:p>
        </w:tc>
      </w:tr>
      <w:tr>
        <w:tc>
          <w:tcPr>
            <w:tcW w:type="dxa" w:w="48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Black" w:cs="Arial Black" w:eastAsia="Arial Black" w:hAnsi="Arial Black"/>
                <w:b/>
                <w:bCs/>
                <w:color w:val="FFFFFF"/>
                <w:sz w:val="22"/>
                <w:szCs w:val="22"/>
              </w:rPr>
              <w:t xml:space="preserve">1</w:t>
            </w:r>
          </w:p>
        </w:tc>
        <w:tc>
          <w:tcPr>
            <w:tcW w:type="dxa" w:w="1400"/>
            <w:tcBorders>
              <w:top w:val="single" w:color="C0CCE0" w:sz="4"/>
              <w:left w:val="single" w:color="C0CCE0" w:sz="4"/>
              <w:bottom w:val="single" w:color="C0CCE0" w:sz="4"/>
              <w:right w:val="single" w:color="C0CCE0" w:sz="4"/>
            </w:tcBorders>
            <w:shd w:fill="D6E8F8" w:val="clear"/>
            <w:tcMar>
              <w:top w:type="dxa" w:w="80"/>
              <w:left w:type="dxa" w:w="80"/>
              <w:bottom w:type="dxa" w:w="80"/>
              <w:right w:type="dxa" w:w="80"/>
            </w:tcMar>
            <w:vAlign w:val="center"/>
          </w:tcPr>
          <w:p>
            <w:pPr>
              <w:jc w:val="center"/>
            </w:pPr>
            <w:r>
              <w:rPr>
                <w:rFonts w:ascii="Arial" w:cs="Arial" w:eastAsia="Arial" w:hAnsi="Arial"/>
                <w:color w:val="5A6A7A"/>
                <w:sz w:val="18"/>
                <w:szCs w:val="18"/>
              </w:rPr>
              <w:t xml:space="preserve">1–2</w:t>
            </w:r>
          </w:p>
        </w:tc>
        <w:tc>
          <w:tcPr>
            <w:tcW w:type="dxa" w:w="1600"/>
            <w:tcBorders>
              <w:top w:val="single" w:color="C0CCE0" w:sz="4"/>
              <w:left w:val="single" w:color="C0CCE0" w:sz="4"/>
              <w:bottom w:val="single" w:color="C0CCE0" w:sz="4"/>
              <w:right w:val="single" w:color="C0CCE0" w:sz="4"/>
            </w:tcBorders>
            <w:shd w:fill="D6E8F8" w:val="clear"/>
            <w:tcMar>
              <w:top w:type="dxa" w:w="80"/>
              <w:left w:type="dxa" w:w="80"/>
              <w:bottom w:type="dxa" w:w="80"/>
              <w:right w:type="dxa" w:w="80"/>
            </w:tcMar>
          </w:tcPr>
          <w:p>
            <w:r>
              <w:rPr>
                <w:rFonts w:ascii="Arial" w:cs="Arial" w:eastAsia="Arial" w:hAnsi="Arial"/>
                <w:b/>
                <w:bCs/>
                <w:color w:val="1B4F8A"/>
                <w:sz w:val="18"/>
                <w:szCs w:val="18"/>
              </w:rPr>
              <w:t xml:space="preserve">Digital &amp; Cloud Foundations</w:t>
            </w:r>
          </w:p>
        </w:tc>
        <w:tc>
          <w:tcPr>
            <w:tcW w:type="dxa" w:w="5880"/>
            <w:tcBorders>
              <w:top w:val="single" w:color="C0CCE0" w:sz="4"/>
              <w:left w:val="single" w:color="C0CCE0" w:sz="4"/>
              <w:bottom w:val="single" w:color="C0CCE0" w:sz="4"/>
              <w:right w:val="single" w:color="C0CCE0" w:sz="4"/>
            </w:tcBorders>
            <w:shd w:fill="F4F6FA" w:val="clear"/>
            <w:tcMar>
              <w:top w:type="dxa" w:w="80"/>
              <w:left w:type="dxa" w:w="100"/>
              <w:bottom w:type="dxa" w:w="80"/>
              <w:right w:type="dxa" w:w="80"/>
            </w:tcMar>
          </w:tcPr>
          <w:p>
            <w:r>
              <w:rPr>
                <w:rFonts w:ascii="Arial" w:cs="Arial" w:eastAsia="Arial" w:hAnsi="Arial"/>
                <w:color w:val="0A0E1A"/>
                <w:sz w:val="18"/>
                <w:szCs w:val="18"/>
              </w:rPr>
              <w:t xml:space="preserve">The digital economy, NIST 5 characteristics, IaaS/PaaS/SaaS, deployment models, AWS vs Azure vs GCP, CapEx vs OpEx, cloud career pathways. You will set up your AWS free tier account and navigate the console.</w:t>
            </w:r>
          </w:p>
        </w:tc>
      </w:tr>
      <w:tr>
        <w:tc>
          <w:tcPr>
            <w:tcW w:type="dxa" w:w="48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Black" w:cs="Arial Black" w:eastAsia="Arial Black" w:hAnsi="Arial Black"/>
                <w:b/>
                <w:bCs/>
                <w:color w:val="FFFFFF"/>
                <w:sz w:val="22"/>
                <w:szCs w:val="22"/>
              </w:rPr>
              <w:t xml:space="preserve">2</w:t>
            </w:r>
          </w:p>
        </w:tc>
        <w:tc>
          <w:tcPr>
            <w:tcW w:type="dxa" w:w="1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vAlign w:val="center"/>
          </w:tcPr>
          <w:p>
            <w:pPr>
              <w:jc w:val="center"/>
            </w:pPr>
            <w:r>
              <w:rPr>
                <w:rFonts w:ascii="Arial" w:cs="Arial" w:eastAsia="Arial" w:hAnsi="Arial"/>
                <w:color w:val="5A6A7A"/>
                <w:sz w:val="18"/>
                <w:szCs w:val="18"/>
              </w:rPr>
              <w:t xml:space="preserve">3–4</w:t>
            </w:r>
          </w:p>
        </w:tc>
        <w:tc>
          <w:tcPr>
            <w:tcW w:type="dxa" w:w="16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b/>
                <w:bCs/>
                <w:color w:val="0F6E56"/>
                <w:sz w:val="18"/>
                <w:szCs w:val="18"/>
              </w:rPr>
              <w:t xml:space="preserve">Linux Essentials</w:t>
            </w:r>
          </w:p>
        </w:tc>
        <w:tc>
          <w:tcPr>
            <w:tcW w:type="dxa" w:w="5880"/>
            <w:tcBorders>
              <w:top w:val="single" w:color="C0CCE0" w:sz="4"/>
              <w:left w:val="single" w:color="C0CCE0" w:sz="4"/>
              <w:bottom w:val="single" w:color="C0CCE0" w:sz="4"/>
              <w:right w:val="single" w:color="C0CCE0" w:sz="4"/>
            </w:tcBorders>
            <w:shd w:fill="F4F6FA" w:val="clear"/>
            <w:tcMar>
              <w:top w:type="dxa" w:w="80"/>
              <w:left w:type="dxa" w:w="100"/>
              <w:bottom w:type="dxa" w:w="80"/>
              <w:right w:type="dxa" w:w="80"/>
            </w:tcMar>
          </w:tcPr>
          <w:p>
            <w:r>
              <w:rPr>
                <w:rFonts w:ascii="Arial" w:cs="Arial" w:eastAsia="Arial" w:hAnsi="Arial"/>
                <w:color w:val="0A0E1A"/>
                <w:sz w:val="18"/>
                <w:szCs w:val="18"/>
              </w:rPr>
              <w:t xml:space="preserve">The operating system of the cloud. Filesystem navigation, file permissions (chmod, chown), text processing with pipes, package management, nginx web server, SSH access, and writing your first Bash automation script.</w:t>
            </w:r>
          </w:p>
        </w:tc>
      </w:tr>
      <w:tr>
        <w:tc>
          <w:tcPr>
            <w:tcW w:type="dxa" w:w="48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Black" w:cs="Arial Black" w:eastAsia="Arial Black" w:hAnsi="Arial Black"/>
                <w:b/>
                <w:bCs/>
                <w:color w:val="FFFFFF"/>
                <w:sz w:val="22"/>
                <w:szCs w:val="22"/>
              </w:rPr>
              <w:t xml:space="preserve">3</w:t>
            </w:r>
          </w:p>
        </w:tc>
        <w:tc>
          <w:tcPr>
            <w:tcW w:type="dxa" w:w="1400"/>
            <w:tcBorders>
              <w:top w:val="single" w:color="C0CCE0" w:sz="4"/>
              <w:left w:val="single" w:color="C0CCE0" w:sz="4"/>
              <w:bottom w:val="single" w:color="C0CCE0" w:sz="4"/>
              <w:right w:val="single" w:color="C0CCE0" w:sz="4"/>
            </w:tcBorders>
            <w:shd w:fill="D0EEF4" w:val="clear"/>
            <w:tcMar>
              <w:top w:type="dxa" w:w="80"/>
              <w:left w:type="dxa" w:w="80"/>
              <w:bottom w:type="dxa" w:w="80"/>
              <w:right w:type="dxa" w:w="80"/>
            </w:tcMar>
            <w:vAlign w:val="center"/>
          </w:tcPr>
          <w:p>
            <w:pPr>
              <w:jc w:val="center"/>
            </w:pPr>
            <w:r>
              <w:rPr>
                <w:rFonts w:ascii="Arial" w:cs="Arial" w:eastAsia="Arial" w:hAnsi="Arial"/>
                <w:color w:val="5A6A7A"/>
                <w:sz w:val="18"/>
                <w:szCs w:val="18"/>
              </w:rPr>
              <w:t xml:space="preserve">5–6</w:t>
            </w:r>
          </w:p>
        </w:tc>
        <w:tc>
          <w:tcPr>
            <w:tcW w:type="dxa" w:w="1600"/>
            <w:tcBorders>
              <w:top w:val="single" w:color="C0CCE0" w:sz="4"/>
              <w:left w:val="single" w:color="C0CCE0" w:sz="4"/>
              <w:bottom w:val="single" w:color="C0CCE0" w:sz="4"/>
              <w:right w:val="single" w:color="C0CCE0" w:sz="4"/>
            </w:tcBorders>
            <w:shd w:fill="D0EEF4" w:val="clear"/>
            <w:tcMar>
              <w:top w:type="dxa" w:w="80"/>
              <w:left w:type="dxa" w:w="80"/>
              <w:bottom w:type="dxa" w:w="80"/>
              <w:right w:type="dxa" w:w="80"/>
            </w:tcMar>
          </w:tcPr>
          <w:p>
            <w:r>
              <w:rPr>
                <w:rFonts w:ascii="Arial" w:cs="Arial" w:eastAsia="Arial" w:hAnsi="Arial"/>
                <w:b/>
                <w:bCs/>
                <w:color w:val="0C7B93"/>
                <w:sz w:val="18"/>
                <w:szCs w:val="18"/>
              </w:rPr>
              <w:t xml:space="preserve">Networking Fundamentals</w:t>
            </w:r>
          </w:p>
        </w:tc>
        <w:tc>
          <w:tcPr>
            <w:tcW w:type="dxa" w:w="5880"/>
            <w:tcBorders>
              <w:top w:val="single" w:color="C0CCE0" w:sz="4"/>
              <w:left w:val="single" w:color="C0CCE0" w:sz="4"/>
              <w:bottom w:val="single" w:color="C0CCE0" w:sz="4"/>
              <w:right w:val="single" w:color="C0CCE0" w:sz="4"/>
            </w:tcBorders>
            <w:shd w:fill="F4F6FA" w:val="clear"/>
            <w:tcMar>
              <w:top w:type="dxa" w:w="80"/>
              <w:left w:type="dxa" w:w="100"/>
              <w:bottom w:type="dxa" w:w="80"/>
              <w:right w:type="dxa" w:w="80"/>
            </w:tcMar>
          </w:tcPr>
          <w:p>
            <w:r>
              <w:rPr>
                <w:rFonts w:ascii="Arial" w:cs="Arial" w:eastAsia="Arial" w:hAnsi="Arial"/>
                <w:color w:val="0A0E1A"/>
                <w:sz w:val="18"/>
                <w:szCs w:val="18"/>
              </w:rPr>
              <w:t xml:space="preserve">How data moves across networks. The OSI model, TCP vs UDP, IP addressing, subnetting and CIDR, routing, firewalls, and AWS VPC architecture. You will build a custom VPC from scratch and troubleshoot connectivity failures.</w:t>
            </w:r>
          </w:p>
        </w:tc>
      </w:tr>
      <w:tr>
        <w:tc>
          <w:tcPr>
            <w:tcW w:type="dxa" w:w="480"/>
            <w:tcBorders>
              <w:top w:val="single" w:color="7A5000" w:sz="6"/>
              <w:left w:val="single" w:color="7A5000" w:sz="6"/>
              <w:bottom w:val="single" w:color="7A5000" w:sz="6"/>
              <w:right w:val="single" w:color="7A5000" w:sz="6"/>
            </w:tcBorders>
            <w:shd w:fill="7A5000" w:val="clear"/>
            <w:tcMar>
              <w:top w:type="dxa" w:w="80"/>
              <w:left w:type="dxa" w:w="80"/>
              <w:bottom w:type="dxa" w:w="80"/>
              <w:right w:type="dxa" w:w="80"/>
            </w:tcMar>
            <w:vAlign w:val="center"/>
          </w:tcPr>
          <w:p>
            <w:pPr>
              <w:jc w:val="center"/>
            </w:pPr>
            <w:r>
              <w:rPr>
                <w:rFonts w:ascii="Arial Black" w:cs="Arial Black" w:eastAsia="Arial Black" w:hAnsi="Arial Black"/>
                <w:b/>
                <w:bCs/>
                <w:color w:val="FFFFFF"/>
                <w:sz w:val="22"/>
                <w:szCs w:val="22"/>
              </w:rPr>
              <w:t xml:space="preserve">4</w:t>
            </w:r>
          </w:p>
        </w:tc>
        <w:tc>
          <w:tcPr>
            <w:tcW w:type="dxa" w:w="1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vAlign w:val="center"/>
          </w:tcPr>
          <w:p>
            <w:pPr>
              <w:jc w:val="center"/>
            </w:pPr>
            <w:r>
              <w:rPr>
                <w:rFonts w:ascii="Arial" w:cs="Arial" w:eastAsia="Arial" w:hAnsi="Arial"/>
                <w:color w:val="5A6A7A"/>
                <w:sz w:val="18"/>
                <w:szCs w:val="18"/>
              </w:rPr>
              <w:t xml:space="preserve">7–8</w:t>
            </w:r>
          </w:p>
        </w:tc>
        <w:tc>
          <w:tcPr>
            <w:tcW w:type="dxa" w:w="16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b/>
                <w:bCs/>
                <w:color w:val="7A5000"/>
                <w:sz w:val="18"/>
                <w:szCs w:val="18"/>
              </w:rPr>
              <w:t xml:space="preserve">Cloud Infrastructure</w:t>
            </w:r>
          </w:p>
        </w:tc>
        <w:tc>
          <w:tcPr>
            <w:tcW w:type="dxa" w:w="5880"/>
            <w:tcBorders>
              <w:top w:val="single" w:color="C0CCE0" w:sz="4"/>
              <w:left w:val="single" w:color="C0CCE0" w:sz="4"/>
              <w:bottom w:val="single" w:color="C0CCE0" w:sz="4"/>
              <w:right w:val="single" w:color="C0CCE0" w:sz="4"/>
            </w:tcBorders>
            <w:shd w:fill="F4F6FA" w:val="clear"/>
            <w:tcMar>
              <w:top w:type="dxa" w:w="80"/>
              <w:left w:type="dxa" w:w="100"/>
              <w:bottom w:type="dxa" w:w="80"/>
              <w:right w:type="dxa" w:w="80"/>
            </w:tcMar>
          </w:tcPr>
          <w:p>
            <w:r>
              <w:rPr>
                <w:rFonts w:ascii="Arial" w:cs="Arial" w:eastAsia="Arial" w:hAnsi="Arial"/>
                <w:color w:val="0A0E1A"/>
                <w:sz w:val="18"/>
                <w:szCs w:val="18"/>
              </w:rPr>
              <w:t xml:space="preserve">The four core AWS services: EC2 virtual servers, S3 object storage, RDS managed databases, and IAM identity management. You will deploy a working two-tier web application in Cape Town.</w:t>
            </w:r>
          </w:p>
        </w:tc>
      </w:tr>
      <w:tr>
        <w:tc>
          <w:tcPr>
            <w:tcW w:type="dxa" w:w="48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Black" w:cs="Arial Black" w:eastAsia="Arial Black" w:hAnsi="Arial Black"/>
                <w:b/>
                <w:bCs/>
                <w:color w:val="FFFFFF"/>
                <w:sz w:val="22"/>
                <w:szCs w:val="22"/>
              </w:rPr>
              <w:t xml:space="preserve">5</w:t>
            </w:r>
          </w:p>
        </w:tc>
        <w:tc>
          <w:tcPr>
            <w:tcW w:type="dxa" w:w="1400"/>
            <w:tcBorders>
              <w:top w:val="single" w:color="C0CCE0" w:sz="4"/>
              <w:left w:val="single" w:color="C0CCE0" w:sz="4"/>
              <w:bottom w:val="single" w:color="C0CCE0" w:sz="4"/>
              <w:right w:val="single" w:color="C0CCE0" w:sz="4"/>
            </w:tcBorders>
            <w:shd w:fill="E5E3FC" w:val="clear"/>
            <w:tcMar>
              <w:top w:type="dxa" w:w="80"/>
              <w:left w:type="dxa" w:w="80"/>
              <w:bottom w:type="dxa" w:w="80"/>
              <w:right w:type="dxa" w:w="80"/>
            </w:tcMar>
            <w:vAlign w:val="center"/>
          </w:tcPr>
          <w:p>
            <w:pPr>
              <w:jc w:val="center"/>
            </w:pPr>
            <w:r>
              <w:rPr>
                <w:rFonts w:ascii="Arial" w:cs="Arial" w:eastAsia="Arial" w:hAnsi="Arial"/>
                <w:color w:val="5A6A7A"/>
                <w:sz w:val="18"/>
                <w:szCs w:val="18"/>
              </w:rPr>
              <w:t xml:space="preserve">9–10</w:t>
            </w:r>
          </w:p>
        </w:tc>
        <w:tc>
          <w:tcPr>
            <w:tcW w:type="dxa" w:w="1600"/>
            <w:tcBorders>
              <w:top w:val="single" w:color="C0CCE0" w:sz="4"/>
              <w:left w:val="single" w:color="C0CCE0" w:sz="4"/>
              <w:bottom w:val="single" w:color="C0CCE0" w:sz="4"/>
              <w:right w:val="single" w:color="C0CCE0" w:sz="4"/>
            </w:tcBorders>
            <w:shd w:fill="E5E3FC" w:val="clear"/>
            <w:tcMar>
              <w:top w:type="dxa" w:w="80"/>
              <w:left w:type="dxa" w:w="80"/>
              <w:bottom w:type="dxa" w:w="80"/>
              <w:right w:type="dxa" w:w="80"/>
            </w:tcMar>
          </w:tcPr>
          <w:p>
            <w:r>
              <w:rPr>
                <w:rFonts w:ascii="Arial" w:cs="Arial" w:eastAsia="Arial" w:hAnsi="Arial"/>
                <w:b/>
                <w:bCs/>
                <w:color w:val="3C3489"/>
                <w:sz w:val="18"/>
                <w:szCs w:val="18"/>
              </w:rPr>
              <w:t xml:space="preserve">Cloud Security</w:t>
            </w:r>
          </w:p>
        </w:tc>
        <w:tc>
          <w:tcPr>
            <w:tcW w:type="dxa" w:w="5880"/>
            <w:tcBorders>
              <w:top w:val="single" w:color="C0CCE0" w:sz="4"/>
              <w:left w:val="single" w:color="C0CCE0" w:sz="4"/>
              <w:bottom w:val="single" w:color="C0CCE0" w:sz="4"/>
              <w:right w:val="single" w:color="C0CCE0" w:sz="4"/>
            </w:tcBorders>
            <w:shd w:fill="F4F6FA" w:val="clear"/>
            <w:tcMar>
              <w:top w:type="dxa" w:w="80"/>
              <w:left w:type="dxa" w:w="100"/>
              <w:bottom w:type="dxa" w:w="80"/>
              <w:right w:type="dxa" w:w="80"/>
            </w:tcMar>
          </w:tcPr>
          <w:p>
            <w:r>
              <w:rPr>
                <w:rFonts w:ascii="Arial" w:cs="Arial" w:eastAsia="Arial" w:hAnsi="Arial"/>
                <w:color w:val="0A0E1A"/>
                <w:sz w:val="18"/>
                <w:szCs w:val="18"/>
              </w:rPr>
              <w:t xml:space="preserve">The AWS Shared Responsibility Model, KMS encryption, POPIA compliance, CloudTrail audit logging, VPC Flow Logs, AWS Config, and the 6-phase Incident Response lifecycle. You will produce a Security Hardening Report.</w:t>
            </w:r>
          </w:p>
        </w:tc>
      </w:tr>
      <w:tr>
        <w:tc>
          <w:tcPr>
            <w:tcW w:type="dxa" w:w="48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Black" w:cs="Arial Black" w:eastAsia="Arial Black" w:hAnsi="Arial Black"/>
                <w:b/>
                <w:bCs/>
                <w:color w:val="FFFFFF"/>
                <w:sz w:val="22"/>
                <w:szCs w:val="22"/>
              </w:rPr>
              <w:t xml:space="preserve">6</w:t>
            </w:r>
          </w:p>
        </w:tc>
        <w:tc>
          <w:tcPr>
            <w:tcW w:type="dxa" w:w="1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vAlign w:val="center"/>
          </w:tcPr>
          <w:p>
            <w:pPr>
              <w:jc w:val="center"/>
            </w:pPr>
            <w:r>
              <w:rPr>
                <w:rFonts w:ascii="Arial" w:cs="Arial" w:eastAsia="Arial" w:hAnsi="Arial"/>
                <w:color w:val="5A6A7A"/>
                <w:sz w:val="18"/>
                <w:szCs w:val="18"/>
              </w:rPr>
              <w:t xml:space="preserve">11–12</w:t>
            </w:r>
          </w:p>
        </w:tc>
        <w:tc>
          <w:tcPr>
            <w:tcW w:type="dxa" w:w="16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b/>
                <w:bCs/>
                <w:color w:val="0F6E56"/>
                <w:sz w:val="18"/>
                <w:szCs w:val="18"/>
              </w:rPr>
              <w:t xml:space="preserve">Capstone Project</w:t>
            </w:r>
          </w:p>
        </w:tc>
        <w:tc>
          <w:tcPr>
            <w:tcW w:type="dxa" w:w="5880"/>
            <w:tcBorders>
              <w:top w:val="single" w:color="C0CCE0" w:sz="4"/>
              <w:left w:val="single" w:color="C0CCE0" w:sz="4"/>
              <w:bottom w:val="single" w:color="C0CCE0" w:sz="4"/>
              <w:right w:val="single" w:color="C0CCE0" w:sz="4"/>
            </w:tcBorders>
            <w:shd w:fill="F4F6FA" w:val="clear"/>
            <w:tcMar>
              <w:top w:type="dxa" w:w="80"/>
              <w:left w:type="dxa" w:w="100"/>
              <w:bottom w:type="dxa" w:w="80"/>
              <w:right w:type="dxa" w:w="80"/>
            </w:tcMar>
          </w:tcPr>
          <w:p>
            <w:r>
              <w:rPr>
                <w:rFonts w:ascii="Arial" w:cs="Arial" w:eastAsia="Arial" w:hAnsi="Arial"/>
                <w:color w:val="0A0E1A"/>
                <w:sz w:val="18"/>
                <w:szCs w:val="18"/>
              </w:rPr>
              <w:t xml:space="preserve">Everything comes together. You select a real SA business scenario, design your architecture on paper, deploy it in AWS Cape Town, document it professionally, and present it to a panel. Certificate presented on the final day.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Module 3 (Networking) is where most learners find the concepts most challenging. If something does not click immediately — subnetting especially — do not panic. The concepts build on each other and make more sense once you start working with real VPCs in Module 4. Ask questions early.</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3 — Assessment and Certification</w:t>
      </w:r>
    </w:p>
    <w:p>
      <w:pPr>
        <w:pStyle w:val="Heading2"/>
        <w:spacing w:after="100" w:before="220"/>
      </w:pPr>
      <w:r>
        <w:rPr>
          <w:rFonts w:ascii="Arial" w:cs="Arial" w:eastAsia="Arial" w:hAnsi="Arial"/>
          <w:b/>
          <w:bCs/>
          <w:color w:val="1B4F8A"/>
          <w:sz w:val="24"/>
          <w:szCs w:val="24"/>
        </w:rPr>
        <w:t xml:space="preserve">How you are assessed</w:t>
      </w:r>
    </w:p>
    <w:p>
      <w:pPr>
        <w:spacing w:after="140" w:before="0"/>
        <w:jc w:val="left"/>
      </w:pPr>
      <w:r>
        <w:rPr>
          <w:rFonts w:ascii="Arial" w:cs="Arial" w:eastAsia="Arial" w:hAnsi="Arial"/>
          <w:b w:val="false"/>
          <w:bCs w:val="false"/>
          <w:i w:val="false"/>
          <w:iCs w:val="false"/>
          <w:color w:val="000000"/>
          <w:sz w:val="22"/>
          <w:szCs w:val="22"/>
        </w:rPr>
        <w:t xml:space="preserve">Cloud Launchpad uses a mix of formative and summative assessment. Formative assessments (the module quizzes) do not contribute to your final mark — they are checkpoints to help you and your facilitator identify gaps early. Summative assessments (Assignments, Exam, Capstone, and Labs) determine your final grade and whether the Certificate of Competence is awarded.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600"/>
        <w:gridCol w:w="2200"/>
        <w:gridCol w:w="1560"/>
      </w:tblGrid>
      <w:tr>
        <w:trPr>
          <w:tblHeader/>
        </w:trPr>
        <w:tc>
          <w:tcPr>
            <w:tcW w:type="dxa" w:w="32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Assessment</w:t>
            </w:r>
          </w:p>
        </w:tc>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Weight</w:t>
            </w:r>
          </w:p>
        </w:tc>
        <w:tc>
          <w:tcPr>
            <w:tcW w:type="dxa" w:w="16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When</w:t>
            </w:r>
          </w:p>
        </w:tc>
        <w:tc>
          <w:tcPr>
            <w:tcW w:type="dxa" w:w="22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Pass Mark</w:t>
            </w:r>
          </w:p>
        </w:tc>
        <w:tc>
          <w:tcPr>
            <w:tcW w:type="dxa" w:w="156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Notes</w:t>
            </w:r>
          </w:p>
        </w:tc>
      </w:tr>
      <w:tr>
        <w:tc>
          <w:tcPr>
            <w:tcW w:type="dxa" w:w="32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val="false"/>
                <w:bCs w:val="false"/>
                <w:color w:val="0A0E1A"/>
                <w:sz w:val="18"/>
                <w:szCs w:val="18"/>
              </w:rPr>
              <w:t xml:space="preserve">Module Quizzes (6 × 20 questions)</w:t>
            </w:r>
          </w:p>
        </w:tc>
        <w:tc>
          <w:tcPr>
            <w:tcW w:type="dxa" w:w="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pPr>
              <w:jc w:val="center"/>
            </w:pPr>
            <w:r>
              <w:rPr>
                <w:rFonts w:ascii="Arial" w:cs="Arial" w:eastAsia="Arial" w:hAnsi="Arial"/>
                <w:b w:val="false"/>
                <w:bCs w:val="false"/>
                <w:color w:val="0A0E1A"/>
                <w:sz w:val="18"/>
                <w:szCs w:val="18"/>
              </w:rPr>
              <w:t xml:space="preserve">Formative</w:t>
            </w:r>
          </w:p>
        </w:tc>
        <w:tc>
          <w:tcPr>
            <w:tcW w:type="dxa" w:w="16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End of each module</w:t>
            </w:r>
          </w:p>
        </w:tc>
        <w:tc>
          <w:tcPr>
            <w:tcW w:type="dxa" w:w="22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val="false"/>
                <w:bCs w:val="false"/>
                <w:color w:val="0A0E1A"/>
                <w:sz w:val="18"/>
                <w:szCs w:val="18"/>
              </w:rPr>
              <w:t xml:space="preserve">70%</w:t>
            </w:r>
          </w:p>
        </w:tc>
        <w:tc>
          <w:tcPr>
            <w:tcW w:type="dxa" w:w="1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Must attempt all. Not counted in final mark. Identifies gaps.</w:t>
            </w:r>
          </w:p>
        </w:tc>
      </w:tr>
      <w:tr>
        <w:tc>
          <w:tcPr>
            <w:tcW w:type="dxa" w:w="32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val="false"/>
                <w:bCs w:val="false"/>
                <w:color w:val="0A0E1A"/>
                <w:sz w:val="18"/>
                <w:szCs w:val="18"/>
              </w:rPr>
              <w:t xml:space="preserve">Practical Labs &amp; PoE artefacts</w:t>
            </w:r>
          </w:p>
        </w:tc>
        <w:tc>
          <w:tcPr>
            <w:tcW w:type="dxa" w:w="8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pPr>
              <w:jc w:val="center"/>
            </w:pPr>
            <w:r>
              <w:rPr>
                <w:rFonts w:ascii="Arial" w:cs="Arial" w:eastAsia="Arial" w:hAnsi="Arial"/>
                <w:b w:val="false"/>
                <w:bCs w:val="false"/>
                <w:color w:val="0A0E1A"/>
                <w:sz w:val="18"/>
                <w:szCs w:val="18"/>
              </w:rPr>
              <w:t xml:space="preserve">20%</w:t>
            </w:r>
          </w:p>
        </w:tc>
        <w:tc>
          <w:tcPr>
            <w:tcW w:type="dxa" w:w="16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Ongoing Wks 1–10</w:t>
            </w:r>
          </w:p>
        </w:tc>
        <w:tc>
          <w:tcPr>
            <w:tcW w:type="dxa" w:w="22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val="false"/>
                <w:bCs w:val="false"/>
                <w:color w:val="0A0E1A"/>
                <w:sz w:val="18"/>
                <w:szCs w:val="18"/>
              </w:rPr>
              <w:t xml:space="preserve">Submit all</w:t>
            </w:r>
          </w:p>
        </w:tc>
        <w:tc>
          <w:tcPr>
            <w:tcW w:type="dxa" w:w="1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All labs must be submitted. Evidence collected in your PoE.</w:t>
            </w:r>
          </w:p>
        </w:tc>
      </w:tr>
      <w:tr>
        <w:tc>
          <w:tcPr>
            <w:tcW w:type="dxa" w:w="32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val="false"/>
                <w:bCs w:val="false"/>
                <w:color w:val="0A0E1A"/>
                <w:sz w:val="18"/>
                <w:szCs w:val="18"/>
              </w:rPr>
              <w:t xml:space="preserve">Formal Written Assignment 1</w:t>
            </w:r>
          </w:p>
        </w:tc>
        <w:tc>
          <w:tcPr>
            <w:tcW w:type="dxa" w:w="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pPr>
              <w:jc w:val="center"/>
            </w:pPr>
            <w:r>
              <w:rPr>
                <w:rFonts w:ascii="Arial" w:cs="Arial" w:eastAsia="Arial" w:hAnsi="Arial"/>
                <w:b w:val="false"/>
                <w:bCs w:val="false"/>
                <w:color w:val="0A0E1A"/>
                <w:sz w:val="18"/>
                <w:szCs w:val="18"/>
              </w:rPr>
              <w:t xml:space="preserve">20%</w:t>
            </w:r>
          </w:p>
        </w:tc>
        <w:tc>
          <w:tcPr>
            <w:tcW w:type="dxa" w:w="16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End of Week 6</w:t>
            </w:r>
          </w:p>
        </w:tc>
        <w:tc>
          <w:tcPr>
            <w:tcW w:type="dxa" w:w="22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val="false"/>
                <w:bCs w:val="false"/>
                <w:color w:val="0A0E1A"/>
                <w:sz w:val="18"/>
                <w:szCs w:val="18"/>
              </w:rPr>
              <w:t xml:space="preserve">50%</w:t>
            </w:r>
          </w:p>
        </w:tc>
        <w:tc>
          <w:tcPr>
            <w:tcW w:type="dxa" w:w="1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Open-book. Covers Modules 1–3. 1,200+ words required.</w:t>
            </w:r>
          </w:p>
        </w:tc>
      </w:tr>
      <w:tr>
        <w:tc>
          <w:tcPr>
            <w:tcW w:type="dxa" w:w="32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val="false"/>
                <w:bCs w:val="false"/>
                <w:color w:val="0A0E1A"/>
                <w:sz w:val="18"/>
                <w:szCs w:val="18"/>
              </w:rPr>
              <w:t xml:space="preserve">Formal Written Assignment 2</w:t>
            </w:r>
          </w:p>
        </w:tc>
        <w:tc>
          <w:tcPr>
            <w:tcW w:type="dxa" w:w="8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pPr>
              <w:jc w:val="center"/>
            </w:pPr>
            <w:r>
              <w:rPr>
                <w:rFonts w:ascii="Arial" w:cs="Arial" w:eastAsia="Arial" w:hAnsi="Arial"/>
                <w:b w:val="false"/>
                <w:bCs w:val="false"/>
                <w:color w:val="0A0E1A"/>
                <w:sz w:val="18"/>
                <w:szCs w:val="18"/>
              </w:rPr>
              <w:t xml:space="preserve">20%</w:t>
            </w:r>
          </w:p>
        </w:tc>
        <w:tc>
          <w:tcPr>
            <w:tcW w:type="dxa" w:w="16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End of Week 12</w:t>
            </w:r>
          </w:p>
        </w:tc>
        <w:tc>
          <w:tcPr>
            <w:tcW w:type="dxa" w:w="22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val="false"/>
                <w:bCs w:val="false"/>
                <w:color w:val="0A0E1A"/>
                <w:sz w:val="18"/>
                <w:szCs w:val="18"/>
              </w:rPr>
              <w:t xml:space="preserve">50%</w:t>
            </w:r>
          </w:p>
        </w:tc>
        <w:tc>
          <w:tcPr>
            <w:tcW w:type="dxa" w:w="1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Open-book. Covers Modules 4–6. 1,500+ words required.</w:t>
            </w:r>
          </w:p>
        </w:tc>
      </w:tr>
      <w:tr>
        <w:tc>
          <w:tcPr>
            <w:tcW w:type="dxa" w:w="32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0A0E1A"/>
                <w:sz w:val="20"/>
                <w:szCs w:val="20"/>
              </w:rPr>
              <w:t xml:space="preserve">Final Examination</w:t>
            </w:r>
          </w:p>
        </w:tc>
        <w:tc>
          <w:tcPr>
            <w:tcW w:type="dxa" w:w="8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pPr>
              <w:jc w:val="center"/>
            </w:pPr>
            <w:r>
              <w:rPr>
                <w:rFonts w:ascii="Arial" w:cs="Arial" w:eastAsia="Arial" w:hAnsi="Arial"/>
                <w:b/>
                <w:bCs/>
                <w:color w:val="1B4F8A"/>
                <w:sz w:val="20"/>
                <w:szCs w:val="20"/>
              </w:rPr>
              <w:t xml:space="preserve">40%</w:t>
            </w:r>
          </w:p>
        </w:tc>
        <w:tc>
          <w:tcPr>
            <w:tcW w:type="dxa" w:w="16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Week 13</w:t>
            </w:r>
          </w:p>
        </w:tc>
        <w:tc>
          <w:tcPr>
            <w:tcW w:type="dxa" w:w="22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bCs/>
                <w:color w:val="0F6E56"/>
                <w:sz w:val="18"/>
                <w:szCs w:val="18"/>
              </w:rPr>
              <w:t xml:space="preserve">60%</w:t>
            </w:r>
          </w:p>
        </w:tc>
        <w:tc>
          <w:tcPr>
            <w:tcW w:type="dxa" w:w="1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Closed-book. 3 hours. 150 marks. Covers all 6 modules.</w:t>
            </w:r>
          </w:p>
        </w:tc>
      </w:tr>
      <w:tr>
        <w:tc>
          <w:tcPr>
            <w:tcW w:type="dxa" w:w="32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0A0E1A"/>
                <w:sz w:val="20"/>
                <w:szCs w:val="20"/>
              </w:rPr>
              <w:t xml:space="preserve">Capstone Project</w:t>
            </w:r>
          </w:p>
        </w:tc>
        <w:tc>
          <w:tcPr>
            <w:tcW w:type="dxa" w:w="8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pPr>
              <w:jc w:val="center"/>
            </w:pPr>
            <w:r>
              <w:rPr>
                <w:rFonts w:ascii="Arial" w:cs="Arial" w:eastAsia="Arial" w:hAnsi="Arial"/>
                <w:b/>
                <w:bCs/>
                <w:color w:val="1B4F8A"/>
                <w:sz w:val="20"/>
                <w:szCs w:val="20"/>
              </w:rPr>
              <w:t xml:space="preserve">40%</w:t>
            </w:r>
          </w:p>
        </w:tc>
        <w:tc>
          <w:tcPr>
            <w:tcW w:type="dxa" w:w="16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Week 12 Day</w:t>
            </w:r>
          </w:p>
        </w:tc>
        <w:tc>
          <w:tcPr>
            <w:tcW w:type="dxa" w:w="22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bCs/>
                <w:color w:val="0F6E56"/>
                <w:sz w:val="18"/>
                <w:szCs w:val="18"/>
              </w:rPr>
              <w:t xml:space="preserve">70/100</w:t>
            </w:r>
          </w:p>
        </w:tc>
        <w:tc>
          <w:tcPr>
            <w:tcW w:type="dxa" w:w="1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No component below 50%. Certificate presented same day.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B4F8A" w:sz="6"/>
              <w:left w:val="single" w:color="1B4F8A" w:sz="6"/>
              <w:bottom w:val="single" w:color="1B4F8A" w:sz="6"/>
              <w:right w:val="single" w:color="1B4F8A" w:sz="6"/>
            </w:tcBorders>
            <w:shd w:fill="D6E8F8" w:val="clear"/>
            <w:tcMar>
              <w:top w:type="dxa" w:w="100"/>
              <w:left w:type="dxa" w:w="80"/>
              <w:bottom w:type="dxa" w:w="100"/>
              <w:right w:type="dxa" w:w="80"/>
            </w:tcMar>
            <w:vAlign w:val="center"/>
          </w:tcPr>
          <w:p>
            <w:pPr>
              <w:jc w:val="center"/>
            </w:pPr>
            <w:r>
              <w:rPr>
                <w:rFonts w:ascii="Arial" w:cs="Arial" w:eastAsia="Arial" w:hAnsi="Arial"/>
                <w:b/>
                <w:bCs/>
                <w:color w:val="1B4F8A"/>
                <w:sz w:val="26"/>
                <w:szCs w:val="26"/>
              </w:rPr>
              <w:t xml:space="preserve">ℹ</w:t>
            </w:r>
          </w:p>
        </w:tc>
        <w:tc>
          <w:tcPr>
            <w:tcW w:type="dxa" w:w="8960"/>
            <w:tcBorders>
              <w:top w:val="single" w:color="1B4F8A" w:sz="6"/>
              <w:left w:val="single" w:color="D6E8F8" w:sz="4"/>
              <w:bottom w:val="single" w:color="1B4F8A" w:sz="4"/>
              <w:right w:val="single" w:color="1B4F8A" w:sz="6"/>
            </w:tcBorders>
            <w:shd w:fill="D6E8F8" w:val="clear"/>
            <w:tcMar>
              <w:top w:type="dxa" w:w="100"/>
              <w:left w:type="dxa" w:w="140"/>
              <w:bottom w:type="dxa" w:w="100"/>
              <w:right w:type="dxa" w:w="120"/>
            </w:tcMar>
          </w:tcPr>
          <w:p>
            <w:r>
              <w:rPr>
                <w:rFonts w:ascii="Arial" w:cs="Arial" w:eastAsia="Arial" w:hAnsi="Arial"/>
                <w:color w:val="1B4F8A"/>
                <w:sz w:val="20"/>
                <w:szCs w:val="20"/>
              </w:rPr>
              <w:t xml:space="preserve">The Capstone Project and the Final Examination each account for 40% of your mark. You must perform well in both — a strong capstone does not compensate for a very weak examination result, and vice versa.</w:t>
            </w:r>
          </w:p>
        </w:tc>
      </w:tr>
    </w:tbl>
    <w:p>
      <w:pPr>
        <w:spacing w:after="240" w:before="0"/>
      </w:pPr>
    </w:p>
    <w:p>
      <w:pPr>
        <w:pStyle w:val="Heading2"/>
        <w:spacing w:after="100" w:before="220"/>
      </w:pPr>
      <w:r>
        <w:rPr>
          <w:rFonts w:ascii="Arial" w:cs="Arial" w:eastAsia="Arial" w:hAnsi="Arial"/>
          <w:b/>
          <w:bCs/>
          <w:color w:val="1B4F8A"/>
          <w:sz w:val="24"/>
          <w:szCs w:val="24"/>
        </w:rPr>
        <w:t xml:space="preserve">The GDA Certificate of Competence</w:t>
      </w:r>
    </w:p>
    <w:p>
      <w:pPr>
        <w:spacing w:after="80" w:before="0"/>
        <w:jc w:val="left"/>
      </w:pPr>
      <w:r>
        <w:rPr>
          <w:rFonts w:ascii="Arial" w:cs="Arial" w:eastAsia="Arial" w:hAnsi="Arial"/>
          <w:b w:val="false"/>
          <w:bCs w:val="false"/>
          <w:i w:val="false"/>
          <w:iCs w:val="false"/>
          <w:color w:val="000000"/>
          <w:sz w:val="22"/>
          <w:szCs w:val="22"/>
        </w:rPr>
        <w:t xml:space="preserve">The GDA Cloud Launchpad Certificate of Competence is awarded when you meet all of the following:</w:t>
      </w:r>
    </w:p>
    <w:p>
      <w:pPr>
        <w:pStyle w:val="ListParagraph"/>
        <w:numPr>
          <w:ilvl w:val="0"/>
          <w:numId w:val="2"/>
        </w:numPr>
        <w:spacing w:after="70" w:before="0"/>
      </w:pPr>
      <w:r>
        <w:rPr>
          <w:rFonts w:ascii="Arial" w:cs="Arial" w:eastAsia="Arial" w:hAnsi="Arial"/>
          <w:color w:val="000000"/>
          <w:sz w:val="22"/>
          <w:szCs w:val="22"/>
        </w:rPr>
        <w:t xml:space="preserve">All 6 module quizzes attempted and passed at 70% or above</w:t>
      </w:r>
    </w:p>
    <w:p>
      <w:pPr>
        <w:pStyle w:val="ListParagraph"/>
        <w:numPr>
          <w:ilvl w:val="0"/>
          <w:numId w:val="2"/>
        </w:numPr>
        <w:spacing w:after="70" w:before="0"/>
      </w:pPr>
      <w:r>
        <w:rPr>
          <w:rFonts w:ascii="Arial" w:cs="Arial" w:eastAsia="Arial" w:hAnsi="Arial"/>
          <w:color w:val="000000"/>
          <w:sz w:val="22"/>
          <w:szCs w:val="22"/>
        </w:rPr>
        <w:t xml:space="preserve">All practical lab submissions received and reviewed</w:t>
      </w:r>
    </w:p>
    <w:p>
      <w:pPr>
        <w:pStyle w:val="ListParagraph"/>
        <w:numPr>
          <w:ilvl w:val="0"/>
          <w:numId w:val="2"/>
        </w:numPr>
        <w:spacing w:after="70" w:before="0"/>
      </w:pPr>
      <w:r>
        <w:rPr>
          <w:rFonts w:ascii="Arial" w:cs="Arial" w:eastAsia="Arial" w:hAnsi="Arial"/>
          <w:color w:val="000000"/>
          <w:sz w:val="22"/>
          <w:szCs w:val="22"/>
        </w:rPr>
        <w:t xml:space="preserve">Assignment 1 and Assignment 2 submitted and passed at 50%</w:t>
      </w:r>
    </w:p>
    <w:p>
      <w:pPr>
        <w:pStyle w:val="ListParagraph"/>
        <w:numPr>
          <w:ilvl w:val="0"/>
          <w:numId w:val="2"/>
        </w:numPr>
        <w:spacing w:after="70" w:before="0"/>
      </w:pPr>
      <w:r>
        <w:rPr>
          <w:rFonts w:ascii="Arial" w:cs="Arial" w:eastAsia="Arial" w:hAnsi="Arial"/>
          <w:color w:val="000000"/>
          <w:sz w:val="22"/>
          <w:szCs w:val="22"/>
        </w:rPr>
        <w:t xml:space="preserve">Final Examination passed at 60% (90 out of 150)</w:t>
      </w:r>
    </w:p>
    <w:p>
      <w:pPr>
        <w:pStyle w:val="ListParagraph"/>
        <w:numPr>
          <w:ilvl w:val="0"/>
          <w:numId w:val="2"/>
        </w:numPr>
        <w:spacing w:after="70" w:before="0"/>
      </w:pPr>
      <w:r>
        <w:rPr>
          <w:rFonts w:ascii="Arial" w:cs="Arial" w:eastAsia="Arial" w:hAnsi="Arial"/>
          <w:color w:val="000000"/>
          <w:sz w:val="22"/>
          <w:szCs w:val="22"/>
        </w:rPr>
        <w:t xml:space="preserve">Capstone Project scored at 70 out of 100, with no single component below 50%</w:t>
      </w:r>
    </w:p>
    <w:p>
      <w:pPr>
        <w:pStyle w:val="ListParagraph"/>
        <w:numPr>
          <w:ilvl w:val="0"/>
          <w:numId w:val="2"/>
        </w:numPr>
        <w:spacing w:after="70" w:before="0"/>
      </w:pPr>
      <w:r>
        <w:rPr>
          <w:rFonts w:ascii="Arial" w:cs="Arial" w:eastAsia="Arial" w:hAnsi="Arial"/>
          <w:color w:val="000000"/>
          <w:sz w:val="22"/>
          <w:szCs w:val="22"/>
        </w:rPr>
        <w:t xml:space="preserve">Complete Portfolio of Evidence (all 6 modules) submitted before Capstone presentation day</w:t>
      </w:r>
    </w:p>
    <w:p>
      <w:pPr>
        <w:pStyle w:val="ListParagraph"/>
        <w:numPr>
          <w:ilvl w:val="0"/>
          <w:numId w:val="2"/>
        </w:numPr>
        <w:spacing w:after="70" w:before="0"/>
      </w:pPr>
      <w:r>
        <w:rPr>
          <w:rFonts w:ascii="Arial" w:cs="Arial" w:eastAsia="Arial" w:hAnsi="Arial"/>
          <w:color w:val="000000"/>
          <w:sz w:val="22"/>
          <w:szCs w:val="22"/>
        </w:rPr>
        <w:t xml:space="preserve">All AWS resources stopped or terminated post-course (no ongoing charges)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The certificate is issued on Capstone presentation day — the last day of Week 12. Every item on this list is verified by your facilitator before your name is called. Start collecting your PoE artefacts from Week 1, not Week 11.</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4 — What You Need Before Day 1</w:t>
      </w:r>
    </w:p>
    <w:p>
      <w:pPr>
        <w:pStyle w:val="Heading2"/>
        <w:spacing w:after="100" w:before="220"/>
      </w:pPr>
      <w:r>
        <w:rPr>
          <w:rFonts w:ascii="Arial" w:cs="Arial" w:eastAsia="Arial" w:hAnsi="Arial"/>
          <w:b/>
          <w:bCs/>
          <w:color w:val="1B4F8A"/>
          <w:sz w:val="24"/>
          <w:szCs w:val="24"/>
        </w:rPr>
        <w:t xml:space="preserve">Hardware</w:t>
      </w:r>
    </w:p>
    <w:p>
      <w:pPr>
        <w:spacing w:after="100" w:before="0"/>
        <w:jc w:val="left"/>
      </w:pPr>
      <w:r>
        <w:rPr>
          <w:rFonts w:ascii="Arial" w:cs="Arial" w:eastAsia="Arial" w:hAnsi="Arial"/>
          <w:b w:val="false"/>
          <w:bCs w:val="false"/>
          <w:i w:val="false"/>
          <w:iCs w:val="false"/>
          <w:color w:val="000000"/>
          <w:sz w:val="22"/>
          <w:szCs w:val="22"/>
        </w:rPr>
        <w:t xml:space="preserve">You will need a personal laptop or desktop computer for the full duration of the course. The specifications below are the minimum — more RAM and storage will make your experience more comfortable.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Component</w:t>
            </w:r>
          </w:p>
        </w:tc>
        <w:tc>
          <w:tcPr>
            <w:tcW w:type="dxa" w:w="35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Minimum</w:t>
            </w:r>
          </w:p>
        </w:tc>
        <w:tc>
          <w:tcPr>
            <w:tcW w:type="dxa" w:w="386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Recommended</w:t>
            </w:r>
          </w:p>
        </w:tc>
      </w:tr>
      <w:tr>
        <w:tc>
          <w:tcPr>
            <w:tcW w:type="dxa" w:w="20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Operating System</w:t>
            </w:r>
          </w:p>
        </w:tc>
        <w:tc>
          <w:tcPr>
            <w:tcW w:type="dxa" w:w="35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Windows 10, macOS 10.14, or Ubuntu 20.04+</w:t>
            </w:r>
          </w:p>
        </w:tc>
        <w:tc>
          <w:tcPr>
            <w:tcW w:type="dxa" w:w="38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F6E56"/>
                <w:sz w:val="18"/>
                <w:szCs w:val="18"/>
              </w:rPr>
              <w:t xml:space="preserve">Windows 11, macOS 12+, or any current Ubuntu LTS</w:t>
            </w:r>
          </w:p>
        </w:tc>
      </w:tr>
      <w:tr>
        <w:tc>
          <w:tcPr>
            <w:tcW w:type="dxa" w:w="20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RAM</w:t>
            </w:r>
          </w:p>
        </w:tc>
        <w:tc>
          <w:tcPr>
            <w:tcW w:type="dxa" w:w="35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8 GB</w:t>
            </w:r>
          </w:p>
        </w:tc>
        <w:tc>
          <w:tcPr>
            <w:tcW w:type="dxa" w:w="38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F6E56"/>
                <w:sz w:val="18"/>
                <w:szCs w:val="18"/>
              </w:rPr>
              <w:t xml:space="preserve">16 GB (multiple browser tabs + terminal)</w:t>
            </w:r>
          </w:p>
        </w:tc>
      </w:tr>
      <w:tr>
        <w:tc>
          <w:tcPr>
            <w:tcW w:type="dxa" w:w="20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Storage</w:t>
            </w:r>
          </w:p>
        </w:tc>
        <w:tc>
          <w:tcPr>
            <w:tcW w:type="dxa" w:w="35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20 GB free</w:t>
            </w:r>
          </w:p>
        </w:tc>
        <w:tc>
          <w:tcPr>
            <w:tcW w:type="dxa" w:w="38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F6E56"/>
                <w:sz w:val="18"/>
                <w:szCs w:val="18"/>
              </w:rPr>
              <w:t xml:space="preserve">50 GB free (screenshots and artefacts accumulate)</w:t>
            </w:r>
          </w:p>
        </w:tc>
      </w:tr>
      <w:tr>
        <w:tc>
          <w:tcPr>
            <w:tcW w:type="dxa" w:w="20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Internet</w:t>
            </w:r>
          </w:p>
        </w:tc>
        <w:tc>
          <w:tcPr>
            <w:tcW w:type="dxa" w:w="35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Stable broadband (4 Mbps minimum)</w:t>
            </w:r>
          </w:p>
        </w:tc>
        <w:tc>
          <w:tcPr>
            <w:tcW w:type="dxa" w:w="38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F6E56"/>
                <w:sz w:val="18"/>
                <w:szCs w:val="18"/>
              </w:rPr>
              <w:t xml:space="preserve">10 Mbps+ for smooth AWS console and terminal use</w:t>
            </w:r>
          </w:p>
        </w:tc>
      </w:tr>
      <w:tr>
        <w:tc>
          <w:tcPr>
            <w:tcW w:type="dxa" w:w="20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Browser</w:t>
            </w:r>
          </w:p>
        </w:tc>
        <w:tc>
          <w:tcPr>
            <w:tcW w:type="dxa" w:w="35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Chrome or Firefox (latest)</w:t>
            </w:r>
          </w:p>
        </w:tc>
        <w:tc>
          <w:tcPr>
            <w:tcW w:type="dxa" w:w="38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F6E56"/>
                <w:sz w:val="18"/>
                <w:szCs w:val="18"/>
              </w:rPr>
              <w:t xml:space="preserve">Chrome recommended — AWS console performs best</w:t>
            </w:r>
          </w:p>
        </w:tc>
      </w:tr>
      <w:tr>
        <w:tc>
          <w:tcPr>
            <w:tcW w:type="dxa" w:w="20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Display</w:t>
            </w:r>
          </w:p>
        </w:tc>
        <w:tc>
          <w:tcPr>
            <w:tcW w:type="dxa" w:w="35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1280×768 minimum</w:t>
            </w:r>
          </w:p>
        </w:tc>
        <w:tc>
          <w:tcPr>
            <w:tcW w:type="dxa" w:w="38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F6E56"/>
                <w:sz w:val="18"/>
                <w:szCs w:val="18"/>
              </w:rPr>
              <w:t xml:space="preserve">1920×1080 — AWS console is information-dense</w:t>
            </w:r>
          </w:p>
        </w:tc>
      </w:tr>
    </w:tbl>
    <w:p>
      <w:pPr>
        <w:spacing w:after="240" w:before="0"/>
      </w:pPr>
    </w:p>
    <w:p>
      <w:pPr>
        <w:pStyle w:val="Heading2"/>
        <w:spacing w:after="100" w:before="220"/>
      </w:pPr>
      <w:r>
        <w:rPr>
          <w:rFonts w:ascii="Arial" w:cs="Arial" w:eastAsia="Arial" w:hAnsi="Arial"/>
          <w:b/>
          <w:bCs/>
          <w:color w:val="1B4F8A"/>
          <w:sz w:val="24"/>
          <w:szCs w:val="24"/>
        </w:rPr>
        <w:t xml:space="preserve">Software to install before Day 1</w:t>
      </w:r>
    </w:p>
    <w:p>
      <w:pPr>
        <w:spacing w:after="100" w:before="0"/>
        <w:jc w:val="left"/>
      </w:pPr>
      <w:r>
        <w:rPr>
          <w:rFonts w:ascii="Arial" w:cs="Arial" w:eastAsia="Arial" w:hAnsi="Arial"/>
          <w:b w:val="false"/>
          <w:bCs w:val="false"/>
          <w:i w:val="false"/>
          <w:iCs w:val="false"/>
          <w:color w:val="000000"/>
          <w:sz w:val="22"/>
          <w:szCs w:val="22"/>
        </w:rPr>
        <w:t xml:space="preserve">Install the following applications on your laptop before your first session. All are free.</w:t>
      </w:r>
    </w:p>
    <w:p>
      <w:pPr>
        <w:spacing w:after="80" w:before="160"/>
      </w:pPr>
      <w:r>
        <w:rPr>
          <w:rFonts w:ascii="Arial" w:cs="Arial" w:eastAsia="Arial" w:hAnsi="Arial"/>
          <w:b/>
          <w:bCs/>
          <w:color w:val="1B4F8A"/>
          <w:sz w:val="22"/>
          <w:szCs w:val="22"/>
        </w:rPr>
        <w:t xml:space="preserve">1. SSH client (for connecting to Linux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Windows</w:t>
            </w:r>
          </w:p>
        </w:tc>
        <w:tc>
          <w:tcPr>
            <w:tcW w:type="dxa" w:w="73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Download and install PuTTY from putty.org — OR install Windows Terminal from the Microsoft Store and use the built-in OpenSSH client (preferred if on Windows 10/11).</w:t>
            </w:r>
          </w:p>
        </w:tc>
      </w:tr>
      <w:tr>
        <w:tc>
          <w:tcPr>
            <w:tcW w:type="dxa" w:w="20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bCs/>
                <w:color w:val="1B4F8A"/>
                <w:sz w:val="18"/>
                <w:szCs w:val="18"/>
              </w:rPr>
              <w:t xml:space="preserve">macOS</w:t>
            </w:r>
          </w:p>
        </w:tc>
        <w:tc>
          <w:tcPr>
            <w:tcW w:type="dxa" w:w="73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SSH is built in. Open the Terminal application — it is ready to use.</w:t>
            </w:r>
          </w:p>
        </w:tc>
      </w:tr>
      <w:tr>
        <w:tc>
          <w:tcPr>
            <w:tcW w:type="dxa" w:w="20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Linux/Ubuntu</w:t>
            </w:r>
          </w:p>
        </w:tc>
        <w:tc>
          <w:tcPr>
            <w:tcW w:type="dxa" w:w="73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SSH is built in. Open a terminal and you are ready.</w:t>
            </w:r>
          </w:p>
        </w:tc>
      </w:tr>
    </w:tbl>
    <w:p>
      <w:pPr>
        <w:spacing w:after="120" w:before="0"/>
      </w:pPr>
    </w:p>
    <w:p>
      <w:pPr>
        <w:spacing w:after="80" w:before="160"/>
      </w:pPr>
      <w:r>
        <w:rPr>
          <w:rFonts w:ascii="Arial" w:cs="Arial" w:eastAsia="Arial" w:hAnsi="Arial"/>
          <w:b/>
          <w:bCs/>
          <w:color w:val="1B4F8A"/>
          <w:sz w:val="22"/>
          <w:szCs w:val="22"/>
        </w:rPr>
        <w:t xml:space="preserve">2. VS Code — text editor (for writing Bash scripts)</w:t>
      </w:r>
    </w:p>
    <w:p>
      <w:pPr>
        <w:spacing w:after="100" w:before="0"/>
        <w:jc w:val="left"/>
      </w:pPr>
      <w:r>
        <w:rPr>
          <w:rFonts w:ascii="Arial" w:cs="Arial" w:eastAsia="Arial" w:hAnsi="Arial"/>
          <w:b w:val="false"/>
          <w:bCs w:val="false"/>
          <w:i w:val="false"/>
          <w:iCs w:val="false"/>
          <w:color w:val="000000"/>
          <w:sz w:val="22"/>
          <w:szCs w:val="22"/>
        </w:rPr>
        <w:t xml:space="preserve">Download from code.visualstudio.com. Free. Available for Windows, macOS, and Linux. You will use this to write Bash scripts in Module 2 and for reviewing configuration files throughout the course.</w:t>
      </w:r>
    </w:p>
    <w:p>
      <w:pPr>
        <w:spacing w:after="80" w:before="160"/>
      </w:pPr>
      <w:r>
        <w:rPr>
          <w:rFonts w:ascii="Arial" w:cs="Arial" w:eastAsia="Arial" w:hAnsi="Arial"/>
          <w:b/>
          <w:bCs/>
          <w:color w:val="1B4F8A"/>
          <w:sz w:val="22"/>
          <w:szCs w:val="22"/>
        </w:rPr>
        <w:t xml:space="preserve">3. draw.io (optional — for architecture diagrams)</w:t>
      </w:r>
    </w:p>
    <w:p>
      <w:pPr>
        <w:spacing w:after="100" w:before="0"/>
        <w:jc w:val="left"/>
      </w:pPr>
      <w:r>
        <w:rPr>
          <w:rFonts w:ascii="Arial" w:cs="Arial" w:eastAsia="Arial" w:hAnsi="Arial"/>
          <w:b w:val="false"/>
          <w:bCs w:val="false"/>
          <w:i w:val="false"/>
          <w:iCs w:val="false"/>
          <w:color w:val="000000"/>
          <w:sz w:val="22"/>
          <w:szCs w:val="22"/>
        </w:rPr>
        <w:t xml:space="preserve">Available free at app.diagrams.net — no installation required, runs in a browser. You will use this in Module 6 for your Capstone architecture diagram. Hand-drawn diagrams are equally acceptable — bring an A3 pad and coloured markers to Module 6.</w:t>
      </w:r>
    </w:p>
    <w:p>
      <w:pPr>
        <w:spacing w:after="80" w:before="160"/>
      </w:pPr>
      <w:r>
        <w:rPr>
          <w:rFonts w:ascii="Arial" w:cs="Arial" w:eastAsia="Arial" w:hAnsi="Arial"/>
          <w:b/>
          <w:bCs/>
          <w:color w:val="1B4F8A"/>
          <w:sz w:val="22"/>
          <w:szCs w:val="22"/>
        </w:rPr>
        <w:t xml:space="preserve">4. AWS CLI (optional — enhances labs from Module 3 onwards)</w:t>
      </w:r>
    </w:p>
    <w:p>
      <w:pPr>
        <w:spacing w:after="160" w:before="0"/>
        <w:jc w:val="left"/>
      </w:pPr>
      <w:r>
        <w:rPr>
          <w:rFonts w:ascii="Arial" w:cs="Arial" w:eastAsia="Arial" w:hAnsi="Arial"/>
          <w:b w:val="false"/>
          <w:bCs w:val="false"/>
          <w:i w:val="false"/>
          <w:iCs w:val="false"/>
          <w:color w:val="000000"/>
          <w:sz w:val="22"/>
          <w:szCs w:val="22"/>
        </w:rPr>
        <w:t xml:space="preserve">Download from aws.amazon.com/cli. Free. Allows you to interact with AWS from your laptop terminal. Your facilitator will walk through installation in Week 3 — you do not need this before Day 1.</w:t>
      </w:r>
    </w:p>
    <w:p>
      <w:pPr>
        <w:pStyle w:val="Heading2"/>
        <w:spacing w:after="100" w:before="220"/>
      </w:pPr>
      <w:r>
        <w:rPr>
          <w:rFonts w:ascii="Arial" w:cs="Arial" w:eastAsia="Arial" w:hAnsi="Arial"/>
          <w:b/>
          <w:bCs/>
          <w:color w:val="1B4F8A"/>
          <w:sz w:val="24"/>
          <w:szCs w:val="24"/>
        </w:rPr>
        <w:t xml:space="preserve">Accounts to create before Day 1</w:t>
      </w:r>
    </w:p>
    <w:p>
      <w:pPr>
        <w:spacing w:after="80" w:before="160"/>
      </w:pPr>
      <w:r>
        <w:rPr>
          <w:rFonts w:ascii="Arial" w:cs="Arial" w:eastAsia="Arial" w:hAnsi="Arial"/>
          <w:b/>
          <w:bCs/>
          <w:color w:val="0F6E56"/>
          <w:sz w:val="22"/>
          <w:szCs w:val="22"/>
        </w:rPr>
        <w:t xml:space="preserve">AWS Free Tier account (REQUIRED)</w:t>
      </w:r>
    </w:p>
    <w:p>
      <w:pPr>
        <w:spacing w:after="80" w:before="0"/>
        <w:jc w:val="left"/>
      </w:pPr>
      <w:r>
        <w:rPr>
          <w:rFonts w:ascii="Arial" w:cs="Arial" w:eastAsia="Arial" w:hAnsi="Arial"/>
          <w:b w:val="false"/>
          <w:bCs w:val="false"/>
          <w:i w:val="false"/>
          <w:iCs w:val="false"/>
          <w:color w:val="000000"/>
          <w:sz w:val="22"/>
          <w:szCs w:val="22"/>
        </w:rPr>
        <w:t xml:space="preserve">This is the most important setup task. Your AWS account is where you will build every lab exercise in the course. The free tier gives you 12 months of access to a generous set of services at no charge. You will not be charged for anything during the course if you follow the resource guidelines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20"/>
              <w:left w:type="dxa" w:w="160"/>
              <w:bottom w:type="dxa" w:w="120"/>
              <w:right w:type="dxa" w:w="160"/>
            </w:tcMar>
          </w:tcPr>
          <w:p>
            <w:pPr>
              <w:spacing w:after="70" w:before="0"/>
            </w:pPr>
            <w:r>
              <w:rPr>
                <w:rFonts w:ascii="Arial" w:cs="Arial" w:eastAsia="Arial" w:hAnsi="Arial"/>
                <w:b/>
                <w:bCs/>
                <w:color w:val="0A0E1A"/>
                <w:sz w:val="20"/>
                <w:szCs w:val="20"/>
              </w:rPr>
              <w:t xml:space="preserve">Step-by-step: Create your AWS Free Tier account</w:t>
            </w:r>
          </w:p>
          <w:p>
            <w:pPr>
              <w:spacing w:after="50" w:before="0"/>
            </w:pPr>
            <w:r>
              <w:rPr>
                <w:rFonts w:ascii="Arial" w:cs="Arial" w:eastAsia="Arial" w:hAnsi="Arial"/>
                <w:color w:val="0A0E1A"/>
                <w:sz w:val="20"/>
                <w:szCs w:val="20"/>
              </w:rPr>
              <w:t xml:space="preserve">Step 1 — Go to aws.amazon.com and click "Create an AWS Account".</w:t>
            </w:r>
          </w:p>
          <w:p>
            <w:pPr>
              <w:spacing w:after="50" w:before="0"/>
            </w:pPr>
            <w:r>
              <w:rPr>
                <w:rFonts w:ascii="Arial" w:cs="Arial" w:eastAsia="Arial" w:hAnsi="Arial"/>
                <w:color w:val="0A0E1A"/>
                <w:sz w:val="20"/>
                <w:szCs w:val="20"/>
              </w:rPr>
              <w:t xml:space="preserve">Step 2 — Enter your email address and choose an account name (e.g. "GDA Cloud Launchpad" or your own name).</w:t>
            </w:r>
          </w:p>
          <w:p>
            <w:pPr>
              <w:spacing w:after="50" w:before="0"/>
            </w:pPr>
            <w:r>
              <w:rPr>
                <w:rFonts w:ascii="Arial" w:cs="Arial" w:eastAsia="Arial" w:hAnsi="Arial"/>
                <w:color w:val="0A0E1A"/>
                <w:sz w:val="20"/>
                <w:szCs w:val="20"/>
              </w:rPr>
              <w:t xml:space="preserve">Step 3 — Set a strong root account password. Write it down and store it securely — you will need it.</w:t>
            </w:r>
          </w:p>
          <w:p>
            <w:pPr>
              <w:spacing w:after="50" w:before="0"/>
            </w:pPr>
            <w:r>
              <w:rPr>
                <w:rFonts w:ascii="Arial" w:cs="Arial" w:eastAsia="Arial" w:hAnsi="Arial"/>
                <w:color w:val="0A0E1A"/>
                <w:sz w:val="20"/>
                <w:szCs w:val="20"/>
              </w:rPr>
              <w:t xml:space="preserve">Step 4 — Select "Personal" account type. Enter your contact details.</w:t>
            </w:r>
          </w:p>
          <w:p>
            <w:pPr>
              <w:spacing w:after="50" w:before="0"/>
            </w:pPr>
            <w:r>
              <w:rPr>
                <w:rFonts w:ascii="Arial" w:cs="Arial" w:eastAsia="Arial" w:hAnsi="Arial"/>
                <w:color w:val="0A0E1A"/>
                <w:sz w:val="20"/>
                <w:szCs w:val="20"/>
              </w:rPr>
              <w:t xml:space="preserve">Step 5 — Enter a valid credit or debit card. AWS requires this to verify identity. You WILL NOT be charged if you stay within free tier limits. GDA recommends a dedicated virtual card (e.g. a Capitec virtual card) with a low limit for peace of mind.</w:t>
            </w:r>
          </w:p>
          <w:p>
            <w:pPr>
              <w:spacing w:after="50" w:before="0"/>
            </w:pPr>
            <w:r>
              <w:rPr>
                <w:rFonts w:ascii="Arial" w:cs="Arial" w:eastAsia="Arial" w:hAnsi="Arial"/>
                <w:color w:val="0A0E1A"/>
                <w:sz w:val="20"/>
                <w:szCs w:val="20"/>
              </w:rPr>
              <w:t xml:space="preserve">Step 6 — Complete the phone verification (SMS code).</w:t>
            </w:r>
          </w:p>
          <w:p>
            <w:pPr>
              <w:spacing w:after="50" w:before="0"/>
            </w:pPr>
            <w:r>
              <w:rPr>
                <w:rFonts w:ascii="Arial" w:cs="Arial" w:eastAsia="Arial" w:hAnsi="Arial"/>
                <w:color w:val="0A0E1A"/>
                <w:sz w:val="20"/>
                <w:szCs w:val="20"/>
              </w:rPr>
              <w:t xml:space="preserve">Step 7 — Choose the "Basic Support" plan (free). Do not choose a paid support plan.</w:t>
            </w:r>
          </w:p>
          <w:p>
            <w:pPr>
              <w:spacing w:after="50" w:before="0"/>
            </w:pPr>
            <w:r>
              <w:rPr>
                <w:rFonts w:ascii="Arial" w:cs="Arial" w:eastAsia="Arial" w:hAnsi="Arial"/>
                <w:color w:val="0A0E1A"/>
                <w:sz w:val="20"/>
                <w:szCs w:val="20"/>
              </w:rPr>
              <w:t xml:space="preserve">Step 8 — Sign in to the console at console.aws.amazon.com and confirm you can see the AWS Management Console.</w:t>
            </w:r>
          </w:p>
          <w:p>
            <w:pPr>
              <w:spacing w:after="50" w:before="0"/>
            </w:pPr>
            <w:r>
              <w:rPr>
                <w:rFonts w:ascii="Arial" w:cs="Arial" w:eastAsia="Arial" w:hAnsi="Arial"/>
                <w:color w:val="0A0E1A"/>
                <w:sz w:val="20"/>
                <w:szCs w:val="20"/>
              </w:rPr>
              <w:t xml:space="preserve">Step 9 — IMMEDIATELY enable MFA on your root account (IAM → Security Credentials → Multi-factor authentication).</w:t>
            </w:r>
          </w:p>
          <w:p>
            <w:pPr>
              <w:spacing w:after="50" w:before="0"/>
            </w:pPr>
            <w:r>
              <w:rPr>
                <w:rFonts w:ascii="Arial" w:cs="Arial" w:eastAsia="Arial" w:hAnsi="Arial"/>
                <w:color w:val="0A0E1A"/>
                <w:sz w:val="20"/>
                <w:szCs w:val="20"/>
              </w:rPr>
              <w:t xml:space="preserve">Step 10 — Set a billing alert: Billing Dashboard → Budgets → Create Budget → $10 monthly alert to your email.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B4F8A" w:sz="6"/>
              <w:left w:val="single" w:color="1B4F8A" w:sz="6"/>
              <w:bottom w:val="single" w:color="1B4F8A" w:sz="6"/>
              <w:right w:val="single" w:color="1B4F8A" w:sz="6"/>
            </w:tcBorders>
            <w:shd w:fill="D6E8F8" w:val="clear"/>
            <w:tcMar>
              <w:top w:type="dxa" w:w="100"/>
              <w:left w:type="dxa" w:w="80"/>
              <w:bottom w:type="dxa" w:w="100"/>
              <w:right w:type="dxa" w:w="80"/>
            </w:tcMar>
            <w:vAlign w:val="center"/>
          </w:tcPr>
          <w:p>
            <w:pPr>
              <w:jc w:val="center"/>
            </w:pPr>
            <w:r>
              <w:rPr>
                <w:rFonts w:ascii="Arial" w:cs="Arial" w:eastAsia="Arial" w:hAnsi="Arial"/>
                <w:b/>
                <w:bCs/>
                <w:color w:val="1B4F8A"/>
                <w:sz w:val="26"/>
                <w:szCs w:val="26"/>
              </w:rPr>
              <w:t xml:space="preserve">ℹ</w:t>
            </w:r>
          </w:p>
        </w:tc>
        <w:tc>
          <w:tcPr>
            <w:tcW w:type="dxa" w:w="8960"/>
            <w:tcBorders>
              <w:top w:val="single" w:color="1B4F8A" w:sz="6"/>
              <w:left w:val="single" w:color="D6E8F8" w:sz="4"/>
              <w:bottom w:val="single" w:color="1B4F8A" w:sz="4"/>
              <w:right w:val="single" w:color="1B4F8A" w:sz="6"/>
            </w:tcBorders>
            <w:shd w:fill="D6E8F8" w:val="clear"/>
            <w:tcMar>
              <w:top w:type="dxa" w:w="100"/>
              <w:left w:type="dxa" w:w="140"/>
              <w:bottom w:type="dxa" w:w="100"/>
              <w:right w:type="dxa" w:w="120"/>
            </w:tcMar>
          </w:tcPr>
          <w:p>
            <w:r>
              <w:rPr>
                <w:rFonts w:ascii="Arial" w:cs="Arial" w:eastAsia="Arial" w:hAnsi="Arial"/>
                <w:color w:val="1B4F8A"/>
                <w:sz w:val="20"/>
                <w:szCs w:val="20"/>
              </w:rPr>
              <w:t xml:space="preserve">Important: The root account you just created is like a nuclear launch code. From Day 1 of Module 1, you will create an IAM user for all daily work and lock the root account away. Do not skip the MFA step — it is a POPIA compliance practice, not just a security recommendation.</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5 — Course Schedule and Weekly Rhythm</w:t>
      </w:r>
    </w:p>
    <w:p>
      <w:pPr>
        <w:pStyle w:val="Heading2"/>
        <w:spacing w:after="100" w:before="220"/>
      </w:pPr>
      <w:r>
        <w:rPr>
          <w:rFonts w:ascii="Arial" w:cs="Arial" w:eastAsia="Arial" w:hAnsi="Arial"/>
          <w:b/>
          <w:bCs/>
          <w:color w:val="1B4F8A"/>
          <w:sz w:val="24"/>
          <w:szCs w:val="24"/>
        </w:rPr>
        <w:t xml:space="preserve">Weekly structure</w:t>
      </w:r>
    </w:p>
    <w:p>
      <w:pPr>
        <w:spacing w:after="100" w:before="0"/>
        <w:jc w:val="left"/>
      </w:pPr>
      <w:r>
        <w:rPr>
          <w:rFonts w:ascii="Arial" w:cs="Arial" w:eastAsia="Arial" w:hAnsi="Arial"/>
          <w:b w:val="false"/>
          <w:bCs w:val="false"/>
          <w:i w:val="false"/>
          <w:iCs w:val="false"/>
          <w:color w:val="000000"/>
          <w:sz w:val="22"/>
          <w:szCs w:val="22"/>
        </w:rPr>
        <w:t xml:space="preserve">Each week of Cloud Launchpad has a consistent structure. Understanding this rhythm helps you prepare between sessions and manage your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Day</w:t>
            </w:r>
          </w:p>
        </w:tc>
        <w:tc>
          <w:tcPr>
            <w:tcW w:type="dxa" w:w="24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556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What happens</w:t>
            </w:r>
          </w:p>
        </w:tc>
      </w:tr>
      <w:tr>
        <w:tc>
          <w:tcPr>
            <w:tcW w:type="dxa" w:w="1400"/>
            <w:tcBorders>
              <w:top w:val="single" w:color="C0CCE0" w:sz="4"/>
              <w:left w:val="single" w:color="C0CCE0" w:sz="4"/>
              <w:bottom w:val="single" w:color="C0CCE0" w:sz="4"/>
              <w:right w:val="single" w:color="C0CCE0" w:sz="4"/>
            </w:tcBorders>
            <w:shd w:fill="D6E8F8" w:val="clear"/>
            <w:tcMar>
              <w:top w:type="dxa" w:w="80"/>
              <w:left w:type="dxa" w:w="80"/>
              <w:bottom w:type="dxa" w:w="80"/>
              <w:right w:type="dxa" w:w="80"/>
            </w:tcMar>
          </w:tcPr>
          <w:p>
            <w:r>
              <w:rPr>
                <w:rFonts w:ascii="Arial" w:cs="Arial" w:eastAsia="Arial" w:hAnsi="Arial"/>
                <w:b/>
                <w:bCs/>
                <w:color w:val="1B4F8A"/>
                <w:sz w:val="17"/>
                <w:szCs w:val="17"/>
              </w:rPr>
              <w:t xml:space="preserve">Day 1 of module week</w:t>
            </w:r>
          </w:p>
        </w:tc>
        <w:tc>
          <w:tcPr>
            <w:tcW w:type="dxa" w:w="2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5A6A7A"/>
                <w:sz w:val="17"/>
                <w:szCs w:val="17"/>
              </w:rPr>
              <w:t xml:space="preserve">Theory + demo</w:t>
            </w:r>
          </w:p>
        </w:tc>
        <w:tc>
          <w:tcPr>
            <w:tcW w:type="dxa" w:w="55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Concepts introduced with slides. Live facilitator demonstration in the AWS console. Discussion of real SA examples. No individual lab work yet — watch and ask questions.</w:t>
            </w:r>
          </w:p>
        </w:tc>
      </w:tr>
      <w:tr>
        <w:tc>
          <w:tcPr>
            <w:tcW w:type="dxa" w:w="1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b/>
                <w:bCs/>
                <w:color w:val="1B4F8A"/>
                <w:sz w:val="17"/>
                <w:szCs w:val="17"/>
              </w:rPr>
              <w:t xml:space="preserve">Day 2 of module week</w:t>
            </w:r>
          </w:p>
        </w:tc>
        <w:tc>
          <w:tcPr>
            <w:tcW w:type="dxa" w:w="2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5A6A7A"/>
                <w:sz w:val="17"/>
                <w:szCs w:val="17"/>
              </w:rPr>
              <w:t xml:space="preserve">Guided lab</w:t>
            </w:r>
          </w:p>
        </w:tc>
        <w:tc>
          <w:tcPr>
            <w:tcW w:type="dxa" w:w="55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Structured lab exercise. Facilitator walks through the first steps, then learners complete the task independently. Facilitator circulates and coaches.</w:t>
            </w:r>
          </w:p>
        </w:tc>
      </w:tr>
      <w:tr>
        <w:tc>
          <w:tcPr>
            <w:tcW w:type="dxa" w:w="1400"/>
            <w:tcBorders>
              <w:top w:val="single" w:color="C0CCE0" w:sz="4"/>
              <w:left w:val="single" w:color="C0CCE0" w:sz="4"/>
              <w:bottom w:val="single" w:color="C0CCE0" w:sz="4"/>
              <w:right w:val="single" w:color="C0CCE0" w:sz="4"/>
            </w:tcBorders>
            <w:shd w:fill="D6E8F8" w:val="clear"/>
            <w:tcMar>
              <w:top w:type="dxa" w:w="80"/>
              <w:left w:type="dxa" w:w="80"/>
              <w:bottom w:type="dxa" w:w="80"/>
              <w:right w:type="dxa" w:w="80"/>
            </w:tcMar>
          </w:tcPr>
          <w:p>
            <w:r>
              <w:rPr>
                <w:rFonts w:ascii="Arial" w:cs="Arial" w:eastAsia="Arial" w:hAnsi="Arial"/>
                <w:b/>
                <w:bCs/>
                <w:color w:val="1B4F8A"/>
                <w:sz w:val="17"/>
                <w:szCs w:val="17"/>
              </w:rPr>
              <w:t xml:space="preserve">Day 3 of module week</w:t>
            </w:r>
          </w:p>
        </w:tc>
        <w:tc>
          <w:tcPr>
            <w:tcW w:type="dxa" w:w="2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5A6A7A"/>
                <w:sz w:val="17"/>
                <w:szCs w:val="17"/>
              </w:rPr>
              <w:t xml:space="preserve">Independent lab + review</w:t>
            </w:r>
          </w:p>
        </w:tc>
        <w:tc>
          <w:tcPr>
            <w:tcW w:type="dxa" w:w="55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Second lab exercise — more independent. Followed by a group review where learners share what they built and what they learned.</w:t>
            </w:r>
          </w:p>
        </w:tc>
      </w:tr>
      <w:tr>
        <w:tc>
          <w:tcPr>
            <w:tcW w:type="dxa" w:w="1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b/>
                <w:bCs/>
                <w:color w:val="1B4F8A"/>
                <w:sz w:val="17"/>
                <w:szCs w:val="17"/>
              </w:rPr>
              <w:t xml:space="preserve">Between sessions</w:t>
            </w:r>
          </w:p>
        </w:tc>
        <w:tc>
          <w:tcPr>
            <w:tcW w:type="dxa" w:w="2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5A6A7A"/>
                <w:sz w:val="17"/>
                <w:szCs w:val="17"/>
              </w:rPr>
              <w:t xml:space="preserve">Self-study</w:t>
            </w:r>
          </w:p>
        </w:tc>
        <w:tc>
          <w:tcPr>
            <w:tcW w:type="dxa" w:w="55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Review the LMS reading for the next module. Complete any unfinished lab steps. Capture PoE screenshots for artefacts from the session.</w:t>
            </w:r>
          </w:p>
        </w:tc>
      </w:tr>
      <w:tr>
        <w:tc>
          <w:tcPr>
            <w:tcW w:type="dxa" w:w="1400"/>
            <w:tcBorders>
              <w:top w:val="single" w:color="C0CCE0" w:sz="4"/>
              <w:left w:val="single" w:color="C0CCE0" w:sz="4"/>
              <w:bottom w:val="single" w:color="C0CCE0" w:sz="4"/>
              <w:right w:val="single" w:color="C0CCE0" w:sz="4"/>
            </w:tcBorders>
            <w:shd w:fill="D6E8F8" w:val="clear"/>
            <w:tcMar>
              <w:top w:type="dxa" w:w="80"/>
              <w:left w:type="dxa" w:w="80"/>
              <w:bottom w:type="dxa" w:w="80"/>
              <w:right w:type="dxa" w:w="80"/>
            </w:tcMar>
          </w:tcPr>
          <w:p>
            <w:r>
              <w:rPr>
                <w:rFonts w:ascii="Arial" w:cs="Arial" w:eastAsia="Arial" w:hAnsi="Arial"/>
                <w:b/>
                <w:bCs/>
                <w:color w:val="1B4F8A"/>
                <w:sz w:val="17"/>
                <w:szCs w:val="17"/>
              </w:rPr>
              <w:t xml:space="preserve">End of each module</w:t>
            </w:r>
          </w:p>
        </w:tc>
        <w:tc>
          <w:tcPr>
            <w:tcW w:type="dxa" w:w="2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5A6A7A"/>
                <w:sz w:val="17"/>
                <w:szCs w:val="17"/>
              </w:rPr>
              <w:t xml:space="preserve">Module quiz</w:t>
            </w:r>
          </w:p>
        </w:tc>
        <w:tc>
          <w:tcPr>
            <w:tcW w:type="dxa" w:w="55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20 questions — formative. 70% pass. You can retake. Identifies concepts to revisit before the summative assessments.</w:t>
            </w:r>
          </w:p>
        </w:tc>
      </w:tr>
    </w:tbl>
    <w:p>
      <w:pPr>
        <w:spacing w:after="240" w:before="0"/>
      </w:pPr>
    </w:p>
    <w:p>
      <w:pPr>
        <w:pStyle w:val="Heading2"/>
        <w:spacing w:after="100" w:before="220"/>
      </w:pPr>
      <w:r>
        <w:rPr>
          <w:rFonts w:ascii="Arial" w:cs="Arial" w:eastAsia="Arial" w:hAnsi="Arial"/>
          <w:b/>
          <w:bCs/>
          <w:color w:val="1B4F8A"/>
          <w:sz w:val="24"/>
          <w:szCs w:val="24"/>
        </w:rPr>
        <w:t xml:space="preserve">12-week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360"/>
        <w:gridCol w:w="2600"/>
        <w:gridCol w:w="400"/>
      </w:tblGrid>
      <w:tr>
        <w:trPr>
          <w:tblHeader/>
        </w:trPr>
        <w:tc>
          <w:tcPr>
            <w:tcW w:type="dxa" w:w="600"/>
            <w:tcBorders>
              <w:top w:val="single" w:color="0A0E1A" w:sz="6"/>
              <w:left w:val="single" w:color="0A0E1A" w:sz="6"/>
              <w:bottom w:val="single" w:color="0A0E1A" w:sz="6"/>
              <w:right w:val="single" w:color="0A0E1A" w:sz="6"/>
            </w:tcBorders>
            <w:shd w:fill="0A0E1A" w:val="clear"/>
            <w:tcMar>
              <w:top w:type="dxa" w:w="70"/>
              <w:left w:type="dxa" w:w="70"/>
              <w:bottom w:type="dxa" w:w="70"/>
              <w:right w:type="dxa" w:w="70"/>
            </w:tcMar>
          </w:tcPr>
          <w:p>
            <w:r>
              <w:rPr>
                <w:rFonts w:ascii="Arial" w:cs="Arial" w:eastAsia="Arial" w:hAnsi="Arial"/>
                <w:b/>
                <w:bCs/>
                <w:color w:val="FFFFFF"/>
                <w:sz w:val="17"/>
                <w:szCs w:val="17"/>
              </w:rPr>
              <w:t xml:space="preserve">Wk</w:t>
            </w:r>
          </w:p>
        </w:tc>
        <w:tc>
          <w:tcPr>
            <w:tcW w:type="dxa" w:w="1400"/>
            <w:tcBorders>
              <w:top w:val="single" w:color="0A0E1A" w:sz="6"/>
              <w:left w:val="single" w:color="0A0E1A" w:sz="6"/>
              <w:bottom w:val="single" w:color="0A0E1A" w:sz="6"/>
              <w:right w:val="single" w:color="0A0E1A" w:sz="6"/>
            </w:tcBorders>
            <w:shd w:fill="0A0E1A" w:val="clear"/>
            <w:tcMar>
              <w:top w:type="dxa" w:w="70"/>
              <w:left w:type="dxa" w:w="70"/>
              <w:bottom w:type="dxa" w:w="70"/>
              <w:right w:type="dxa" w:w="70"/>
            </w:tcMar>
          </w:tcPr>
          <w:p>
            <w:r>
              <w:rPr>
                <w:rFonts w:ascii="Arial" w:cs="Arial" w:eastAsia="Arial" w:hAnsi="Arial"/>
                <w:b/>
                <w:bCs/>
                <w:color w:val="FFFFFF"/>
                <w:sz w:val="17"/>
                <w:szCs w:val="17"/>
              </w:rPr>
              <w:t xml:space="preserve">Dates</w:t>
            </w:r>
          </w:p>
        </w:tc>
        <w:tc>
          <w:tcPr>
            <w:tcW w:type="dxa" w:w="4360"/>
            <w:tcBorders>
              <w:top w:val="single" w:color="0A0E1A" w:sz="6"/>
              <w:left w:val="single" w:color="0A0E1A" w:sz="6"/>
              <w:bottom w:val="single" w:color="0A0E1A" w:sz="6"/>
              <w:right w:val="single" w:color="0A0E1A" w:sz="6"/>
            </w:tcBorders>
            <w:shd w:fill="0A0E1A" w:val="clear"/>
            <w:tcMar>
              <w:top w:type="dxa" w:w="70"/>
              <w:left w:type="dxa" w:w="70"/>
              <w:bottom w:type="dxa" w:w="70"/>
              <w:right w:type="dxa" w:w="70"/>
            </w:tcMar>
          </w:tcPr>
          <w:p>
            <w:r>
              <w:rPr>
                <w:rFonts w:ascii="Arial" w:cs="Arial" w:eastAsia="Arial" w:hAnsi="Arial"/>
                <w:b/>
                <w:bCs/>
                <w:color w:val="FFFFFF"/>
                <w:sz w:val="17"/>
                <w:szCs w:val="17"/>
              </w:rPr>
              <w:t xml:space="preserve">Focus</w:t>
            </w:r>
          </w:p>
        </w:tc>
        <w:tc>
          <w:tcPr>
            <w:tcW w:type="dxa" w:w="2600"/>
            <w:tcBorders>
              <w:top w:val="single" w:color="0A0E1A" w:sz="6"/>
              <w:left w:val="single" w:color="0A0E1A" w:sz="6"/>
              <w:bottom w:val="single" w:color="0A0E1A" w:sz="6"/>
              <w:right w:val="single" w:color="0A0E1A" w:sz="6"/>
            </w:tcBorders>
            <w:shd w:fill="0A0E1A" w:val="clear"/>
            <w:tcMar>
              <w:top w:type="dxa" w:w="70"/>
              <w:left w:type="dxa" w:w="70"/>
              <w:bottom w:type="dxa" w:w="70"/>
              <w:right w:type="dxa" w:w="70"/>
            </w:tcMar>
          </w:tcPr>
          <w:p>
            <w:r>
              <w:rPr>
                <w:rFonts w:ascii="Arial" w:cs="Arial" w:eastAsia="Arial" w:hAnsi="Arial"/>
                <w:b/>
                <w:bCs/>
                <w:color w:val="FFFFFF"/>
                <w:sz w:val="17"/>
                <w:szCs w:val="17"/>
              </w:rPr>
              <w:t xml:space="preserve">Key milestone</w:t>
            </w:r>
          </w:p>
        </w:tc>
        <w:tc>
          <w:tcPr>
            <w:tcW w:type="dxa" w:w="400"/>
            <w:tcBorders>
              <w:top w:val="single" w:color="0A0E1A" w:sz="6"/>
              <w:left w:val="single" w:color="0A0E1A" w:sz="6"/>
              <w:bottom w:val="single" w:color="0A0E1A" w:sz="6"/>
              <w:right w:val="single" w:color="0A0E1A" w:sz="6"/>
            </w:tcBorders>
            <w:shd w:fill="0A0E1A" w:val="clear"/>
            <w:tcMar>
              <w:top w:type="dxa" w:w="70"/>
              <w:left w:type="dxa" w:w="70"/>
              <w:bottom w:type="dxa" w:w="70"/>
              <w:right w:type="dxa" w:w="70"/>
            </w:tcMar>
          </w:tcPr>
          <w:p>
            <w:r>
              <w:rPr>
                <w:rFonts w:ascii="Arial" w:cs="Arial" w:eastAsia="Arial" w:hAnsi="Arial"/>
                <w:b/>
                <w:bCs/>
                <w:color w:val="FFFFFF"/>
                <w:sz w:val="17"/>
                <w:szCs w:val="17"/>
              </w:rPr>
              <w:t xml:space="preserve">Mod</w:t>
            </w:r>
          </w:p>
        </w:tc>
      </w:tr>
      <w:tr>
        <w:tc>
          <w:tcPr>
            <w:tcW w:type="dxa" w:w="600"/>
            <w:tcBorders>
              <w:top w:val="single" w:color="C0CCE0" w:sz="4"/>
              <w:left w:val="single" w:color="C0CCE0" w:sz="4"/>
              <w:bottom w:val="single" w:color="C0CCE0" w:sz="4"/>
              <w:right w:val="single" w:color="C0CCE0" w:sz="4"/>
            </w:tcBorders>
            <w:shd w:fill="1B4F8A"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1</w:t>
            </w:r>
          </w:p>
        </w:tc>
        <w:tc>
          <w:tcPr>
            <w:tcW w:type="dxa" w:w="1400"/>
            <w:tcBorders>
              <w:top w:val="single" w:color="C0CCE0" w:sz="4"/>
              <w:left w:val="single" w:color="C0CCE0" w:sz="4"/>
              <w:bottom w:val="single" w:color="C0CCE0" w:sz="4"/>
              <w:right w:val="single" w:color="C0CCE0" w:sz="4"/>
            </w:tcBorders>
            <w:shd w:fill="D6E8F8" w:val="clear"/>
            <w:tcMar>
              <w:top w:type="dxa" w:w="60"/>
              <w:left w:type="dxa" w:w="70"/>
              <w:bottom w:type="dxa" w:w="60"/>
              <w:right w:type="dxa" w:w="70"/>
            </w:tcMar>
          </w:tcPr>
          <w:p>
            <w:r>
              <w:rPr>
                <w:rFonts w:ascii="Arial" w:cs="Arial" w:eastAsia="Arial" w:hAnsi="Arial"/>
                <w:color w:val="5A6A7A"/>
                <w:sz w:val="16"/>
                <w:szCs w:val="16"/>
              </w:rPr>
              <w:t xml:space="preserve">Week 1</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D6E8F8</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Digital economy · NIST characteristics · cloud service models · AWS account setup</w:t>
            </w:r>
          </w:p>
        </w:tc>
        <w:tc>
          <w:tcPr>
            <w:tcW w:type="dxa" w:w="400"/>
            <w:tcBorders>
              <w:top w:val="single" w:color="C0CCE0" w:sz="4"/>
              <w:left w:val="single" w:color="C0CCE0" w:sz="4"/>
              <w:bottom w:val="single" w:color="C0CCE0" w:sz="4"/>
              <w:right w:val="single" w:color="C0CCE0" w:sz="4"/>
            </w:tcBorders>
            <w:shd w:fill="1B4F8A"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MAWS console navigation screenshot (PoE M1)</w:t>
            </w:r>
          </w:p>
        </w:tc>
      </w:tr>
      <w:tr>
        <w:tc>
          <w:tcPr>
            <w:tcW w:type="dxa" w:w="600"/>
            <w:tcBorders>
              <w:top w:val="single" w:color="C0CCE0" w:sz="4"/>
              <w:left w:val="single" w:color="C0CCE0" w:sz="4"/>
              <w:bottom w:val="single" w:color="C0CCE0" w:sz="4"/>
              <w:right w:val="single" w:color="C0CCE0" w:sz="4"/>
            </w:tcBorders>
            <w:shd w:fill="1B4F8A"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2</w:t>
            </w:r>
          </w:p>
        </w:tc>
        <w:tc>
          <w:tcPr>
            <w:tcW w:type="dxa" w:w="1400"/>
            <w:tcBorders>
              <w:top w:val="single" w:color="C0CCE0" w:sz="4"/>
              <w:left w:val="single" w:color="C0CCE0" w:sz="4"/>
              <w:bottom w:val="single" w:color="C0CCE0" w:sz="4"/>
              <w:right w:val="single" w:color="C0CCE0" w:sz="4"/>
            </w:tcBorders>
            <w:shd w:fill="F4F6FA" w:val="clear"/>
            <w:tcMar>
              <w:top w:type="dxa" w:w="60"/>
              <w:left w:type="dxa" w:w="70"/>
              <w:bottom w:type="dxa" w:w="60"/>
              <w:right w:type="dxa" w:w="70"/>
            </w:tcMar>
          </w:tcPr>
          <w:p>
            <w:r>
              <w:rPr>
                <w:rFonts w:ascii="Arial" w:cs="Arial" w:eastAsia="Arial" w:hAnsi="Arial"/>
                <w:color w:val="5A6A7A"/>
                <w:sz w:val="16"/>
                <w:szCs w:val="16"/>
              </w:rPr>
              <w:t xml:space="preserve">Week 2</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D6E8F8</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Deployment models · providers · CapEx vs OpEx · cloud careers · Pricing Calculator</w:t>
            </w:r>
          </w:p>
        </w:tc>
        <w:tc>
          <w:tcPr>
            <w:tcW w:type="dxa" w:w="400"/>
            <w:tcBorders>
              <w:top w:val="single" w:color="C0CCE0" w:sz="4"/>
              <w:left w:val="single" w:color="C0CCE0" w:sz="4"/>
              <w:bottom w:val="single" w:color="C0CCE0" w:sz="4"/>
              <w:right w:val="single" w:color="C0CCE0" w:sz="4"/>
            </w:tcBorders>
            <w:shd w:fill="1B4F8A"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MPricing Calculator output in ZAR (PoE M1) · Module 1 quiz</w:t>
            </w:r>
          </w:p>
        </w:tc>
      </w:tr>
      <w:tr>
        <w:tc>
          <w:tcPr>
            <w:tcW w:type="dxa" w:w="600"/>
            <w:tcBorders>
              <w:top w:val="single" w:color="C0CCE0" w:sz="4"/>
              <w:left w:val="single" w:color="C0CCE0" w:sz="4"/>
              <w:bottom w:val="single" w:color="C0CCE0" w:sz="4"/>
              <w:right w:val="single" w:color="C0CCE0" w:sz="4"/>
            </w:tcBorders>
            <w:shd w:fill="0F6E56"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3</w:t>
            </w:r>
          </w:p>
        </w:tc>
        <w:tc>
          <w:tcPr>
            <w:tcW w:type="dxa" w:w="1400"/>
            <w:tcBorders>
              <w:top w:val="single" w:color="C0CCE0" w:sz="4"/>
              <w:left w:val="single" w:color="C0CCE0" w:sz="4"/>
              <w:bottom w:val="single" w:color="C0CCE0" w:sz="4"/>
              <w:right w:val="single" w:color="C0CCE0" w:sz="4"/>
            </w:tcBorders>
            <w:shd w:fill="D8F2E9" w:val="clear"/>
            <w:tcMar>
              <w:top w:type="dxa" w:w="60"/>
              <w:left w:type="dxa" w:w="70"/>
              <w:bottom w:type="dxa" w:w="60"/>
              <w:right w:type="dxa" w:w="70"/>
            </w:tcMar>
          </w:tcPr>
          <w:p>
            <w:r>
              <w:rPr>
                <w:rFonts w:ascii="Arial" w:cs="Arial" w:eastAsia="Arial" w:hAnsi="Arial"/>
                <w:color w:val="5A6A7A"/>
                <w:sz w:val="16"/>
                <w:szCs w:val="16"/>
              </w:rPr>
              <w:t xml:space="preserve">Week 3</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D8F2E9</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Linux filesystem · navigation · permissions · text editors · package management</w:t>
            </w:r>
          </w:p>
        </w:tc>
        <w:tc>
          <w:tcPr>
            <w:tcW w:type="dxa" w:w="400"/>
            <w:tcBorders>
              <w:top w:val="single" w:color="C0CCE0" w:sz="4"/>
              <w:left w:val="single" w:color="C0CCE0" w:sz="4"/>
              <w:bottom w:val="single" w:color="C0CCE0" w:sz="4"/>
              <w:right w:val="single" w:color="C0CCE0" w:sz="4"/>
            </w:tcBorders>
            <w:shd w:fill="0F6E56"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MLinux navigation worksheet (PoE M2)</w:t>
            </w:r>
          </w:p>
        </w:tc>
      </w:tr>
      <w:tr>
        <w:tc>
          <w:tcPr>
            <w:tcW w:type="dxa" w:w="600"/>
            <w:tcBorders>
              <w:top w:val="single" w:color="C0CCE0" w:sz="4"/>
              <w:left w:val="single" w:color="C0CCE0" w:sz="4"/>
              <w:bottom w:val="single" w:color="C0CCE0" w:sz="4"/>
              <w:right w:val="single" w:color="C0CCE0" w:sz="4"/>
            </w:tcBorders>
            <w:shd w:fill="0F6E56"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4</w:t>
            </w:r>
          </w:p>
        </w:tc>
        <w:tc>
          <w:tcPr>
            <w:tcW w:type="dxa" w:w="1400"/>
            <w:tcBorders>
              <w:top w:val="single" w:color="C0CCE0" w:sz="4"/>
              <w:left w:val="single" w:color="C0CCE0" w:sz="4"/>
              <w:bottom w:val="single" w:color="C0CCE0" w:sz="4"/>
              <w:right w:val="single" w:color="C0CCE0" w:sz="4"/>
            </w:tcBorders>
            <w:shd w:fill="F4F6FA" w:val="clear"/>
            <w:tcMar>
              <w:top w:type="dxa" w:w="60"/>
              <w:left w:type="dxa" w:w="70"/>
              <w:bottom w:type="dxa" w:w="60"/>
              <w:right w:type="dxa" w:w="70"/>
            </w:tcMar>
          </w:tcPr>
          <w:p>
            <w:r>
              <w:rPr>
                <w:rFonts w:ascii="Arial" w:cs="Arial" w:eastAsia="Arial" w:hAnsi="Arial"/>
                <w:color w:val="5A6A7A"/>
                <w:sz w:val="16"/>
                <w:szCs w:val="16"/>
              </w:rPr>
              <w:t xml:space="preserve">Week 4</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D8F2E9</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Bash scripting · pipes · redirection · nginx · SSH keys · ufw firewall</w:t>
            </w:r>
          </w:p>
        </w:tc>
        <w:tc>
          <w:tcPr>
            <w:tcW w:type="dxa" w:w="400"/>
            <w:tcBorders>
              <w:top w:val="single" w:color="C0CCE0" w:sz="4"/>
              <w:left w:val="single" w:color="C0CCE0" w:sz="4"/>
              <w:bottom w:val="single" w:color="C0CCE0" w:sz="4"/>
              <w:right w:val="single" w:color="C0CCE0" w:sz="4"/>
            </w:tcBorders>
            <w:shd w:fill="0F6E56"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MBackup script + nginx screenshot (PoE M2) · Module 2 quiz</w:t>
            </w:r>
          </w:p>
        </w:tc>
      </w:tr>
      <w:tr>
        <w:tc>
          <w:tcPr>
            <w:tcW w:type="dxa" w:w="600"/>
            <w:tcBorders>
              <w:top w:val="single" w:color="C0CCE0" w:sz="4"/>
              <w:left w:val="single" w:color="C0CCE0" w:sz="4"/>
              <w:bottom w:val="single" w:color="C0CCE0" w:sz="4"/>
              <w:right w:val="single" w:color="C0CCE0" w:sz="4"/>
            </w:tcBorders>
            <w:shd w:fill="0C7B93"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5</w:t>
            </w:r>
          </w:p>
        </w:tc>
        <w:tc>
          <w:tcPr>
            <w:tcW w:type="dxa" w:w="1400"/>
            <w:tcBorders>
              <w:top w:val="single" w:color="C0CCE0" w:sz="4"/>
              <w:left w:val="single" w:color="C0CCE0" w:sz="4"/>
              <w:bottom w:val="single" w:color="C0CCE0" w:sz="4"/>
              <w:right w:val="single" w:color="C0CCE0" w:sz="4"/>
            </w:tcBorders>
            <w:shd w:fill="D0EEF4" w:val="clear"/>
            <w:tcMar>
              <w:top w:type="dxa" w:w="60"/>
              <w:left w:type="dxa" w:w="70"/>
              <w:bottom w:type="dxa" w:w="60"/>
              <w:right w:type="dxa" w:w="70"/>
            </w:tcMar>
          </w:tcPr>
          <w:p>
            <w:r>
              <w:rPr>
                <w:rFonts w:ascii="Arial" w:cs="Arial" w:eastAsia="Arial" w:hAnsi="Arial"/>
                <w:color w:val="5A6A7A"/>
                <w:sz w:val="16"/>
                <w:szCs w:val="16"/>
              </w:rPr>
              <w:t xml:space="preserve">Week 5</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D0EEF4</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OSI model · TCP/UDP · IP addressing · subnetting · CIDR · routing</w:t>
            </w:r>
          </w:p>
        </w:tc>
        <w:tc>
          <w:tcPr>
            <w:tcW w:type="dxa" w:w="400"/>
            <w:tcBorders>
              <w:top w:val="single" w:color="C0CCE0" w:sz="4"/>
              <w:left w:val="single" w:color="C0CCE0" w:sz="4"/>
              <w:bottom w:val="single" w:color="C0CCE0" w:sz="4"/>
              <w:right w:val="single" w:color="C0CCE0" w:sz="4"/>
            </w:tcBorders>
            <w:shd w:fill="0C7B93"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MSubnetting worksheet (PoE M3)</w:t>
            </w:r>
          </w:p>
        </w:tc>
      </w:tr>
      <w:tr>
        <w:tc>
          <w:tcPr>
            <w:tcW w:type="dxa" w:w="600"/>
            <w:tcBorders>
              <w:top w:val="single" w:color="C0CCE0" w:sz="4"/>
              <w:left w:val="single" w:color="C0CCE0" w:sz="4"/>
              <w:bottom w:val="single" w:color="C0CCE0" w:sz="4"/>
              <w:right w:val="single" w:color="C0CCE0" w:sz="4"/>
            </w:tcBorders>
            <w:shd w:fill="0C7B93"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6</w:t>
            </w:r>
          </w:p>
        </w:tc>
        <w:tc>
          <w:tcPr>
            <w:tcW w:type="dxa" w:w="1400"/>
            <w:tcBorders>
              <w:top w:val="single" w:color="C0CCE0" w:sz="4"/>
              <w:left w:val="single" w:color="C0CCE0" w:sz="4"/>
              <w:bottom w:val="single" w:color="C0CCE0" w:sz="4"/>
              <w:right w:val="single" w:color="C0CCE0" w:sz="4"/>
            </w:tcBorders>
            <w:shd w:fill="F4F6FA" w:val="clear"/>
            <w:tcMar>
              <w:top w:type="dxa" w:w="60"/>
              <w:left w:type="dxa" w:w="70"/>
              <w:bottom w:type="dxa" w:w="60"/>
              <w:right w:type="dxa" w:w="70"/>
            </w:tcMar>
          </w:tcPr>
          <w:p>
            <w:r>
              <w:rPr>
                <w:rFonts w:ascii="Arial" w:cs="Arial" w:eastAsia="Arial" w:hAnsi="Arial"/>
                <w:color w:val="5A6A7A"/>
                <w:sz w:val="16"/>
                <w:szCs w:val="16"/>
              </w:rPr>
              <w:t xml:space="preserve">Week 6</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D0EEF4</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VPC design · Security Groups · Route tables · VPC build from scratch</w:t>
            </w:r>
          </w:p>
        </w:tc>
        <w:tc>
          <w:tcPr>
            <w:tcW w:type="dxa" w:w="400"/>
            <w:tcBorders>
              <w:top w:val="single" w:color="C0CCE0" w:sz="4"/>
              <w:left w:val="single" w:color="C0CCE0" w:sz="4"/>
              <w:bottom w:val="single" w:color="C0CCE0" w:sz="4"/>
              <w:right w:val="single" w:color="C0CCE0" w:sz="4"/>
            </w:tcBorders>
            <w:shd w:fill="0C7B93"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MCustom VPC + SSH confirmation (PoE M3) · Module 3 quiz · Assignment 1 DUE</w:t>
            </w:r>
          </w:p>
        </w:tc>
      </w:tr>
      <w:tr>
        <w:tc>
          <w:tcPr>
            <w:tcW w:type="dxa" w:w="600"/>
            <w:tcBorders>
              <w:top w:val="single" w:color="C0CCE0" w:sz="4"/>
              <w:left w:val="single" w:color="C0CCE0" w:sz="4"/>
              <w:bottom w:val="single" w:color="C0CCE0" w:sz="4"/>
              <w:right w:val="single" w:color="C0CCE0" w:sz="4"/>
            </w:tcBorders>
            <w:shd w:fill="7A5000"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7</w:t>
            </w:r>
          </w:p>
        </w:tc>
        <w:tc>
          <w:tcPr>
            <w:tcW w:type="dxa" w:w="1400"/>
            <w:tcBorders>
              <w:top w:val="single" w:color="C0CCE0" w:sz="4"/>
              <w:left w:val="single" w:color="C0CCE0" w:sz="4"/>
              <w:bottom w:val="single" w:color="C0CCE0" w:sz="4"/>
              <w:right w:val="single" w:color="C0CCE0" w:sz="4"/>
            </w:tcBorders>
            <w:shd w:fill="FFF0CC" w:val="clear"/>
            <w:tcMar>
              <w:top w:type="dxa" w:w="60"/>
              <w:left w:type="dxa" w:w="70"/>
              <w:bottom w:type="dxa" w:w="60"/>
              <w:right w:type="dxa" w:w="70"/>
            </w:tcMar>
          </w:tcPr>
          <w:p>
            <w:r>
              <w:rPr>
                <w:rFonts w:ascii="Arial" w:cs="Arial" w:eastAsia="Arial" w:hAnsi="Arial"/>
                <w:color w:val="5A6A7A"/>
                <w:sz w:val="16"/>
                <w:szCs w:val="16"/>
              </w:rPr>
              <w:t xml:space="preserve">Week 7</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FFF0CC</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EC2 instance types · pricing models · launch · security groups · key pairs</w:t>
            </w:r>
          </w:p>
        </w:tc>
        <w:tc>
          <w:tcPr>
            <w:tcW w:type="dxa" w:w="400"/>
            <w:tcBorders>
              <w:top w:val="single" w:color="C0CCE0" w:sz="4"/>
              <w:left w:val="single" w:color="C0CCE0" w:sz="4"/>
              <w:bottom w:val="single" w:color="C0CCE0" w:sz="4"/>
              <w:right w:val="single" w:color="C0CCE0" w:sz="4"/>
            </w:tcBorders>
            <w:shd w:fill="7A5000"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MEC2 running + SSH screenshot (PoE M4)</w:t>
            </w:r>
          </w:p>
        </w:tc>
      </w:tr>
      <w:tr>
        <w:tc>
          <w:tcPr>
            <w:tcW w:type="dxa" w:w="600"/>
            <w:tcBorders>
              <w:top w:val="single" w:color="C0CCE0" w:sz="4"/>
              <w:left w:val="single" w:color="C0CCE0" w:sz="4"/>
              <w:bottom w:val="single" w:color="C0CCE0" w:sz="4"/>
              <w:right w:val="single" w:color="C0CCE0" w:sz="4"/>
            </w:tcBorders>
            <w:shd w:fill="7A5000"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8</w:t>
            </w:r>
          </w:p>
        </w:tc>
        <w:tc>
          <w:tcPr>
            <w:tcW w:type="dxa" w:w="1400"/>
            <w:tcBorders>
              <w:top w:val="single" w:color="C0CCE0" w:sz="4"/>
              <w:left w:val="single" w:color="C0CCE0" w:sz="4"/>
              <w:bottom w:val="single" w:color="C0CCE0" w:sz="4"/>
              <w:right w:val="single" w:color="C0CCE0" w:sz="4"/>
            </w:tcBorders>
            <w:shd w:fill="F4F6FA" w:val="clear"/>
            <w:tcMar>
              <w:top w:type="dxa" w:w="60"/>
              <w:left w:type="dxa" w:w="70"/>
              <w:bottom w:type="dxa" w:w="60"/>
              <w:right w:type="dxa" w:w="70"/>
            </w:tcMar>
          </w:tcPr>
          <w:p>
            <w:r>
              <w:rPr>
                <w:rFonts w:ascii="Arial" w:cs="Arial" w:eastAsia="Arial" w:hAnsi="Arial"/>
                <w:color w:val="5A6A7A"/>
                <w:sz w:val="16"/>
                <w:szCs w:val="16"/>
              </w:rPr>
              <w:t xml:space="preserve">Week 8</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FFF0CC</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S3 storage classes · RDS Multi-AZ · IAM roles + policies · 2-tier app · cost estimate</w:t>
            </w:r>
          </w:p>
        </w:tc>
        <w:tc>
          <w:tcPr>
            <w:tcW w:type="dxa" w:w="400"/>
            <w:tcBorders>
              <w:top w:val="single" w:color="C0CCE0" w:sz="4"/>
              <w:left w:val="single" w:color="C0CCE0" w:sz="4"/>
              <w:bottom w:val="single" w:color="C0CCE0" w:sz="4"/>
              <w:right w:val="single" w:color="C0CCE0" w:sz="4"/>
            </w:tcBorders>
            <w:shd w:fill="7A5000"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MWorking 2-tier app URL · IAM policy JSON · Cost in ZAR (PoE M4) · Module 4 quiz</w:t>
            </w:r>
          </w:p>
        </w:tc>
      </w:tr>
      <w:tr>
        <w:tc>
          <w:tcPr>
            <w:tcW w:type="dxa" w:w="600"/>
            <w:tcBorders>
              <w:top w:val="single" w:color="C0CCE0" w:sz="4"/>
              <w:left w:val="single" w:color="C0CCE0" w:sz="4"/>
              <w:bottom w:val="single" w:color="C0CCE0" w:sz="4"/>
              <w:right w:val="single" w:color="C0CCE0" w:sz="4"/>
            </w:tcBorders>
            <w:shd w:fill="3C3489"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9</w:t>
            </w:r>
          </w:p>
        </w:tc>
        <w:tc>
          <w:tcPr>
            <w:tcW w:type="dxa" w:w="1400"/>
            <w:tcBorders>
              <w:top w:val="single" w:color="C0CCE0" w:sz="4"/>
              <w:left w:val="single" w:color="C0CCE0" w:sz="4"/>
              <w:bottom w:val="single" w:color="C0CCE0" w:sz="4"/>
              <w:right w:val="single" w:color="C0CCE0" w:sz="4"/>
            </w:tcBorders>
            <w:shd w:fill="E5E3FC" w:val="clear"/>
            <w:tcMar>
              <w:top w:type="dxa" w:w="60"/>
              <w:left w:type="dxa" w:w="70"/>
              <w:bottom w:type="dxa" w:w="60"/>
              <w:right w:type="dxa" w:w="70"/>
            </w:tcMar>
          </w:tcPr>
          <w:p>
            <w:r>
              <w:rPr>
                <w:rFonts w:ascii="Arial" w:cs="Arial" w:eastAsia="Arial" w:hAnsi="Arial"/>
                <w:color w:val="5A6A7A"/>
                <w:sz w:val="16"/>
                <w:szCs w:val="16"/>
              </w:rPr>
              <w:t xml:space="preserve">Week 9</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E5E3FC</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Shared Responsibility · KMS · S3 encryption · EBS encryption · TLS</w:t>
            </w:r>
          </w:p>
        </w:tc>
        <w:tc>
          <w:tcPr>
            <w:tcW w:type="dxa" w:w="400"/>
            <w:tcBorders>
              <w:top w:val="single" w:color="C0CCE0" w:sz="4"/>
              <w:left w:val="single" w:color="C0CCE0" w:sz="4"/>
              <w:bottom w:val="single" w:color="C0CCE0" w:sz="4"/>
              <w:right w:val="single" w:color="C0CCE0" w:sz="4"/>
            </w:tcBorders>
            <w:shd w:fill="3C3489"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MKMS CMK + S3 encryption screenshots (PoE M5)</w:t>
            </w:r>
          </w:p>
        </w:tc>
      </w:tr>
      <w:tr>
        <w:tc>
          <w:tcPr>
            <w:tcW w:type="dxa" w:w="600"/>
            <w:tcBorders>
              <w:top w:val="single" w:color="C0CCE0" w:sz="4"/>
              <w:left w:val="single" w:color="C0CCE0" w:sz="4"/>
              <w:bottom w:val="single" w:color="C0CCE0" w:sz="4"/>
              <w:right w:val="single" w:color="C0CCE0" w:sz="4"/>
            </w:tcBorders>
            <w:shd w:fill="3C3489"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10</w:t>
            </w:r>
          </w:p>
        </w:tc>
        <w:tc>
          <w:tcPr>
            <w:tcW w:type="dxa" w:w="1400"/>
            <w:tcBorders>
              <w:top w:val="single" w:color="C0CCE0" w:sz="4"/>
              <w:left w:val="single" w:color="C0CCE0" w:sz="4"/>
              <w:bottom w:val="single" w:color="C0CCE0" w:sz="4"/>
              <w:right w:val="single" w:color="C0CCE0" w:sz="4"/>
            </w:tcBorders>
            <w:shd w:fill="F4F6FA" w:val="clear"/>
            <w:tcMar>
              <w:top w:type="dxa" w:w="60"/>
              <w:left w:type="dxa" w:w="70"/>
              <w:bottom w:type="dxa" w:w="60"/>
              <w:right w:type="dxa" w:w="70"/>
            </w:tcMar>
          </w:tcPr>
          <w:p>
            <w:r>
              <w:rPr>
                <w:rFonts w:ascii="Arial" w:cs="Arial" w:eastAsia="Arial" w:hAnsi="Arial"/>
                <w:color w:val="5A6A7A"/>
                <w:sz w:val="16"/>
                <w:szCs w:val="16"/>
              </w:rPr>
              <w:t xml:space="preserve">Week 10</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E5E3FC</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POPIA 8 conditions · CloudTrail · Config · VPC Flow Logs · Incident Response</w:t>
            </w:r>
          </w:p>
        </w:tc>
        <w:tc>
          <w:tcPr>
            <w:tcW w:type="dxa" w:w="400"/>
            <w:tcBorders>
              <w:top w:val="single" w:color="C0CCE0" w:sz="4"/>
              <w:left w:val="single" w:color="C0CCE0" w:sz="4"/>
              <w:bottom w:val="single" w:color="C0CCE0" w:sz="4"/>
              <w:right w:val="single" w:color="C0CCE0" w:sz="4"/>
            </w:tcBorders>
            <w:shd w:fill="3C3489"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MSecurity Hardening Report (PoE M5) · Module 5 quiz</w:t>
            </w:r>
          </w:p>
        </w:tc>
      </w:tr>
      <w:tr>
        <w:tc>
          <w:tcPr>
            <w:tcW w:type="dxa" w:w="600"/>
            <w:tcBorders>
              <w:top w:val="single" w:color="C0CCE0" w:sz="4"/>
              <w:left w:val="single" w:color="C0CCE0" w:sz="4"/>
              <w:bottom w:val="single" w:color="C0CCE0" w:sz="4"/>
              <w:right w:val="single" w:color="C0CCE0" w:sz="4"/>
            </w:tcBorders>
            <w:shd w:fill="0F6E56"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11</w:t>
            </w:r>
          </w:p>
        </w:tc>
        <w:tc>
          <w:tcPr>
            <w:tcW w:type="dxa" w:w="1400"/>
            <w:tcBorders>
              <w:top w:val="single" w:color="C0CCE0" w:sz="4"/>
              <w:left w:val="single" w:color="C0CCE0" w:sz="4"/>
              <w:bottom w:val="single" w:color="C0CCE0" w:sz="4"/>
              <w:right w:val="single" w:color="C0CCE0" w:sz="4"/>
            </w:tcBorders>
            <w:shd w:fill="D8F2E9" w:val="clear"/>
            <w:tcMar>
              <w:top w:type="dxa" w:w="60"/>
              <w:left w:type="dxa" w:w="70"/>
              <w:bottom w:type="dxa" w:w="60"/>
              <w:right w:type="dxa" w:w="70"/>
            </w:tcMar>
          </w:tcPr>
          <w:p>
            <w:r>
              <w:rPr>
                <w:rFonts w:ascii="Arial" w:cs="Arial" w:eastAsia="Arial" w:hAnsi="Arial"/>
                <w:color w:val="5A6A7A"/>
                <w:sz w:val="16"/>
                <w:szCs w:val="16"/>
              </w:rPr>
              <w:t xml:space="preserve">Week 11</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D8F2E9</w:t>
            </w:r>
          </w:p>
        </w:tc>
        <w:tc>
          <w:tcPr>
            <w:tcW w:type="dxa" w:w="260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b w:val="false"/>
                <w:bCs w:val="false"/>
                <w:color w:val="5A6A7A"/>
                <w:sz w:val="16"/>
                <w:szCs w:val="16"/>
              </w:rPr>
              <w:t xml:space="preserve">Capstone: scenario selection · architecture design · Phase 1 sign-off · build sprint (Days 2–3)</w:t>
            </w:r>
          </w:p>
        </w:tc>
        <w:tc>
          <w:tcPr>
            <w:tcW w:type="dxa" w:w="400"/>
            <w:tcBorders>
              <w:top w:val="single" w:color="C0CCE0" w:sz="4"/>
              <w:left w:val="single" w:color="C0CCE0" w:sz="4"/>
              <w:bottom w:val="single" w:color="C0CCE0" w:sz="4"/>
              <w:right w:val="single" w:color="C0CCE0" w:sz="4"/>
            </w:tcBorders>
            <w:shd w:fill="0F6E56"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MFacilitator design sign-off · All build screenshots (PoE M6)</w:t>
            </w:r>
          </w:p>
        </w:tc>
      </w:tr>
      <w:tr>
        <w:tc>
          <w:tcPr>
            <w:tcW w:type="dxa" w:w="600"/>
            <w:tcBorders>
              <w:top w:val="single" w:color="C0CCE0" w:sz="4"/>
              <w:left w:val="single" w:color="C0CCE0" w:sz="4"/>
              <w:bottom w:val="single" w:color="C0CCE0" w:sz="4"/>
              <w:right w:val="single" w:color="C0CCE0" w:sz="4"/>
            </w:tcBorders>
            <w:shd w:fill="0F6E56" w:val="clear"/>
            <w:tcMar>
              <w:top w:type="dxa" w:w="60"/>
              <w:left w:type="dxa" w:w="70"/>
              <w:bottom w:type="dxa" w:w="60"/>
              <w:right w:type="dxa" w:w="70"/>
            </w:tcMar>
            <w:vAlign w:val="center"/>
          </w:tcPr>
          <w:p>
            <w:pPr>
              <w:jc w:val="center"/>
            </w:pPr>
            <w:r>
              <w:rPr>
                <w:rFonts w:ascii="Arial Black" w:cs="Arial Black" w:eastAsia="Arial Black" w:hAnsi="Arial Black"/>
                <w:b/>
                <w:bCs/>
                <w:color w:val="FFFFFF"/>
                <w:sz w:val="18"/>
                <w:szCs w:val="18"/>
              </w:rPr>
              <w:t xml:space="preserve">12</w:t>
            </w:r>
          </w:p>
        </w:tc>
        <w:tc>
          <w:tcPr>
            <w:tcW w:type="dxa" w:w="1400"/>
            <w:tcBorders>
              <w:top w:val="single" w:color="C0CCE0" w:sz="4"/>
              <w:left w:val="single" w:color="C0CCE0" w:sz="4"/>
              <w:bottom w:val="single" w:color="C0CCE0" w:sz="4"/>
              <w:right w:val="single" w:color="C0CCE0" w:sz="4"/>
            </w:tcBorders>
            <w:shd w:fill="F4F6FA" w:val="clear"/>
            <w:tcMar>
              <w:top w:type="dxa" w:w="60"/>
              <w:left w:type="dxa" w:w="70"/>
              <w:bottom w:type="dxa" w:w="60"/>
              <w:right w:type="dxa" w:w="70"/>
            </w:tcMar>
          </w:tcPr>
          <w:p>
            <w:r>
              <w:rPr>
                <w:rFonts w:ascii="Arial" w:cs="Arial" w:eastAsia="Arial" w:hAnsi="Arial"/>
                <w:color w:val="5A6A7A"/>
                <w:sz w:val="16"/>
                <w:szCs w:val="16"/>
              </w:rPr>
              <w:t xml:space="preserve">Week 12</w:t>
            </w:r>
          </w:p>
        </w:tc>
        <w:tc>
          <w:tcPr>
            <w:tcW w:type="dxa" w:w="4360"/>
            <w:tcBorders>
              <w:top w:val="single" w:color="C0CCE0" w:sz="4"/>
              <w:left w:val="single" w:color="C0CCE0" w:sz="4"/>
              <w:bottom w:val="single" w:color="C0CCE0" w:sz="4"/>
              <w:right w:val="single" w:color="C0CCE0" w:sz="4"/>
            </w:tcBorders>
            <w:shd w:fill="F4F6FA" w:val="clear"/>
            <w:tcMar>
              <w:top w:type="dxa" w:w="60"/>
              <w:left w:type="dxa" w:w="80"/>
              <w:bottom w:type="dxa" w:w="60"/>
              <w:right w:type="dxa" w:w="80"/>
            </w:tcMar>
          </w:tcPr>
          <w:p>
            <w:r>
              <w:rPr>
                <w:rFonts w:ascii="Arial" w:cs="Arial" w:eastAsia="Arial" w:hAnsi="Arial"/>
                <w:color w:val="0A0E1A"/>
                <w:sz w:val="17"/>
                <w:szCs w:val="17"/>
              </w:rPr>
              <w:t xml:space="preserve">D8F2E9</w:t>
            </w:r>
          </w:p>
        </w:tc>
        <w:tc>
          <w:tcPr>
            <w:tcW w:type="dxa" w:w="2600"/>
            <w:tcBorders>
              <w:top w:val="single" w:color="C0CCE0" w:sz="4"/>
              <w:left w:val="single" w:color="C0CCE0" w:sz="4"/>
              <w:bottom w:val="single" w:color="C0CCE0" w:sz="4"/>
              <w:right w:val="single" w:color="C0CCE0" w:sz="4"/>
            </w:tcBorders>
            <w:shd w:fill="FFF8DC" w:val="clear"/>
            <w:tcMar>
              <w:top w:type="dxa" w:w="60"/>
              <w:left w:type="dxa" w:w="80"/>
              <w:bottom w:type="dxa" w:w="60"/>
              <w:right w:type="dxa" w:w="80"/>
            </w:tcMar>
          </w:tcPr>
          <w:p>
            <w:r>
              <w:rPr>
                <w:rFonts w:ascii="Arial" w:cs="Arial" w:eastAsia="Arial" w:hAnsi="Arial"/>
                <w:b/>
                <w:bCs/>
                <w:color w:val="7A5C00"/>
                <w:sz w:val="16"/>
                <w:szCs w:val="16"/>
              </w:rPr>
              <w:t xml:space="preserve">Capstone: documentation · Security report · cost estimate · reflective journal · PRESENTATION DAY</w:t>
            </w:r>
          </w:p>
        </w:tc>
        <w:tc>
          <w:tcPr>
            <w:tcW w:type="dxa" w:w="400"/>
            <w:tcBorders>
              <w:top w:val="single" w:color="C0CCE0" w:sz="4"/>
              <w:left w:val="single" w:color="C0CCE0" w:sz="4"/>
              <w:bottom w:val="single" w:color="C0CCE0" w:sz="4"/>
              <w:right w:val="single" w:color="C0CCE0" w:sz="4"/>
            </w:tcBorders>
            <w:shd w:fill="0F6E56" w:val="clear"/>
            <w:tcMar>
              <w:top w:type="dxa" w:w="60"/>
              <w:left w:type="dxa" w:w="60"/>
              <w:bottom w:type="dxa" w:w="60"/>
              <w:right w:type="dxa" w:w="60"/>
            </w:tcMar>
            <w:vAlign w:val="center"/>
          </w:tcPr>
          <w:p>
            <w:pPr>
              <w:jc w:val="center"/>
            </w:pPr>
            <w:r>
              <w:rPr>
                <w:rFonts w:ascii="Arial" w:cs="Arial" w:eastAsia="Arial" w:hAnsi="Arial"/>
                <w:b/>
                <w:bCs/>
                <w:color w:val="FFFFFF"/>
                <w:sz w:val="15"/>
                <w:szCs w:val="15"/>
              </w:rPr>
              <w:t xml:space="preserve">MComplete PoE submitted · Certificate of Competence awarded · Assignment 2 DUE</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6 — What to Bring and Classroom Expectations</w:t>
      </w:r>
    </w:p>
    <w:p>
      <w:pPr>
        <w:pStyle w:val="Heading2"/>
        <w:spacing w:after="100" w:before="220"/>
      </w:pPr>
      <w:r>
        <w:rPr>
          <w:rFonts w:ascii="Arial" w:cs="Arial" w:eastAsia="Arial" w:hAnsi="Arial"/>
          <w:b/>
          <w:bCs/>
          <w:color w:val="1B4F8A"/>
          <w:sz w:val="24"/>
          <w:szCs w:val="24"/>
        </w:rPr>
        <w:t xml:space="preserve">What to bring to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D6E8F8" w:val="clear"/>
            <w:tcMar>
              <w:top w:type="dxa" w:w="70"/>
              <w:left w:type="dxa" w:w="120"/>
              <w:bottom w:type="dxa" w:w="70"/>
              <w:right w:type="dxa" w:w="80"/>
            </w:tcMar>
          </w:tcPr>
          <w:p>
            <w:r>
              <w:rPr>
                <w:rFonts w:ascii="Arial" w:cs="Arial" w:eastAsia="Arial" w:hAnsi="Arial"/>
                <w:color w:val="0A0E1A"/>
                <w:sz w:val="20"/>
                <w:szCs w:val="20"/>
              </w:rPr>
              <w:t xml:space="preserve">Your laptop — fully charged (bring your charger too)</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Your AWS account login details — email and password accessible</w:t>
            </w:r>
          </w:p>
        </w:tc>
      </w:tr>
      <w:tr>
        <w:tc>
          <w:tcPr>
            <w:tcW w:type="dxa" w:w="44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D6E8F8" w:val="clear"/>
            <w:tcMar>
              <w:top w:type="dxa" w:w="70"/>
              <w:left w:type="dxa" w:w="120"/>
              <w:bottom w:type="dxa" w:w="70"/>
              <w:right w:type="dxa" w:w="80"/>
            </w:tcMar>
          </w:tcPr>
          <w:p>
            <w:r>
              <w:rPr>
                <w:rFonts w:ascii="Arial" w:cs="Arial" w:eastAsia="Arial" w:hAnsi="Arial"/>
                <w:color w:val="0A0E1A"/>
                <w:sz w:val="20"/>
                <w:szCs w:val="20"/>
              </w:rPr>
              <w:t xml:space="preserve">A notebook and pen — some concepts click better when written by hand</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Your LMS login — check it the night before and confirm you can access the module materials</w:t>
            </w:r>
          </w:p>
        </w:tc>
      </w:tr>
      <w:tr>
        <w:tc>
          <w:tcPr>
            <w:tcW w:type="dxa" w:w="44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D6E8F8" w:val="clear"/>
            <w:tcMar>
              <w:top w:type="dxa" w:w="70"/>
              <w:left w:type="dxa" w:w="120"/>
              <w:bottom w:type="dxa" w:w="70"/>
              <w:right w:type="dxa" w:w="80"/>
            </w:tcMar>
          </w:tcPr>
          <w:p>
            <w:r>
              <w:rPr>
                <w:rFonts w:ascii="Arial" w:cs="Arial" w:eastAsia="Arial" w:hAnsi="Arial"/>
                <w:color w:val="0A0E1A"/>
                <w:sz w:val="20"/>
                <w:szCs w:val="20"/>
              </w:rPr>
              <w:t xml:space="preserve">From Module 3 onwards — your AWS key pair (.pem file) saved to a memorable location on your laptop</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From Module 6 — an A3 sketch pad and coloured markers for the architecture design workshop</w:t>
            </w:r>
          </w:p>
        </w:tc>
      </w:tr>
    </w:tbl>
    <w:p>
      <w:pPr>
        <w:spacing w:after="240" w:before="0"/>
      </w:pPr>
    </w:p>
    <w:p>
      <w:pPr>
        <w:pStyle w:val="Heading2"/>
        <w:spacing w:after="100" w:before="220"/>
      </w:pPr>
      <w:r>
        <w:rPr>
          <w:rFonts w:ascii="Arial" w:cs="Arial" w:eastAsia="Arial" w:hAnsi="Arial"/>
          <w:b/>
          <w:bCs/>
          <w:color w:val="1B4F8A"/>
          <w:sz w:val="24"/>
          <w:szCs w:val="24"/>
        </w:rPr>
        <w:t xml:space="preserve">Classroom and participation expectations</w:t>
      </w:r>
    </w:p>
    <w:p>
      <w:pPr>
        <w:spacing w:after="100" w:before="0"/>
        <w:jc w:val="left"/>
      </w:pPr>
      <w:r>
        <w:rPr>
          <w:rFonts w:ascii="Arial" w:cs="Arial" w:eastAsia="Arial" w:hAnsi="Arial"/>
          <w:b w:val="false"/>
          <w:bCs w:val="false"/>
          <w:i w:val="false"/>
          <w:iCs w:val="false"/>
          <w:color w:val="000000"/>
          <w:sz w:val="22"/>
          <w:szCs w:val="22"/>
        </w:rPr>
        <w:t xml:space="preserve">GDA classrooms are professional learning environments. The following expectations apply to all learners throughout the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0F6E56" w:sz="6"/>
              <w:left w:val="single" w:color="0F6E56" w:sz="6"/>
              <w:bottom w:val="single" w:color="0F6E56" w:sz="6"/>
              <w:right w:val="single" w:color="0F6E56" w:sz="6"/>
            </w:tcBorders>
            <w:shd w:fill="D8F2E9" w:val="clear"/>
            <w:tcMar>
              <w:top w:type="dxa" w:w="100"/>
              <w:left w:type="dxa" w:w="140"/>
              <w:bottom w:type="dxa" w:w="100"/>
              <w:right w:type="dxa" w:w="120"/>
            </w:tcMar>
          </w:tcPr>
          <w:p>
            <w:pPr>
              <w:spacing w:after="80" w:before="0"/>
              <w:jc w:val="left"/>
            </w:pPr>
            <w:r>
              <w:rPr>
                <w:rFonts w:ascii="Arial" w:cs="Arial" w:eastAsia="Arial" w:hAnsi="Arial"/>
                <w:b/>
                <w:bCs/>
                <w:i w:val="false"/>
                <w:iCs w:val="false"/>
                <w:color w:val="0F6E56"/>
                <w:sz w:val="20"/>
                <w:szCs w:val="20"/>
              </w:rPr>
              <w:t xml:space="preserve">We expect from you</w:t>
            </w:r>
          </w:p>
          <w:p>
            <w:pPr>
              <w:pStyle w:val="ListParagraph"/>
              <w:numPr>
                <w:ilvl w:val="0"/>
                <w:numId w:val="2"/>
              </w:numPr>
              <w:spacing w:after="70" w:before="0"/>
            </w:pPr>
            <w:r>
              <w:rPr>
                <w:rFonts w:ascii="Arial" w:cs="Arial" w:eastAsia="Arial" w:hAnsi="Arial"/>
                <w:color w:val="0A0E1A"/>
                <w:sz w:val="22"/>
                <w:szCs w:val="22"/>
              </w:rPr>
              <w:t xml:space="preserve">Arrive on time with your laptop charged and your LMS accessed</w:t>
            </w:r>
          </w:p>
          <w:p>
            <w:pPr>
              <w:pStyle w:val="ListParagraph"/>
              <w:numPr>
                <w:ilvl w:val="0"/>
                <w:numId w:val="2"/>
              </w:numPr>
              <w:spacing w:after="70" w:before="0"/>
            </w:pPr>
            <w:r>
              <w:rPr>
                <w:rFonts w:ascii="Arial" w:cs="Arial" w:eastAsia="Arial" w:hAnsi="Arial"/>
                <w:color w:val="0A0E1A"/>
                <w:sz w:val="22"/>
                <w:szCs w:val="22"/>
              </w:rPr>
              <w:t xml:space="preserve">Attempt every lab exercise — errors are part of learning</w:t>
            </w:r>
          </w:p>
          <w:p>
            <w:pPr>
              <w:pStyle w:val="ListParagraph"/>
              <w:numPr>
                <w:ilvl w:val="0"/>
                <w:numId w:val="2"/>
              </w:numPr>
              <w:spacing w:after="70" w:before="0"/>
            </w:pPr>
            <w:r>
              <w:rPr>
                <w:rFonts w:ascii="Arial" w:cs="Arial" w:eastAsia="Arial" w:hAnsi="Arial"/>
                <w:color w:val="0A0E1A"/>
                <w:sz w:val="22"/>
                <w:szCs w:val="22"/>
              </w:rPr>
              <w:t xml:space="preserve">Ask questions when something is not clear — no question is too basic</w:t>
            </w:r>
          </w:p>
          <w:p>
            <w:pPr>
              <w:pStyle w:val="ListParagraph"/>
              <w:numPr>
                <w:ilvl w:val="0"/>
                <w:numId w:val="2"/>
              </w:numPr>
              <w:spacing w:after="70" w:before="0"/>
            </w:pPr>
            <w:r>
              <w:rPr>
                <w:rFonts w:ascii="Arial" w:cs="Arial" w:eastAsia="Arial" w:hAnsi="Arial"/>
                <w:color w:val="0A0E1A"/>
                <w:sz w:val="22"/>
                <w:szCs w:val="22"/>
              </w:rPr>
              <w:t xml:space="preserve">Be patient with classmates who are at different levels</w:t>
            </w:r>
          </w:p>
          <w:p>
            <w:pPr>
              <w:pStyle w:val="ListParagraph"/>
              <w:numPr>
                <w:ilvl w:val="0"/>
                <w:numId w:val="2"/>
              </w:numPr>
              <w:spacing w:after="70" w:before="0"/>
            </w:pPr>
            <w:r>
              <w:rPr>
                <w:rFonts w:ascii="Arial" w:cs="Arial" w:eastAsia="Arial" w:hAnsi="Arial"/>
                <w:color w:val="0A0E1A"/>
                <w:sz w:val="22"/>
                <w:szCs w:val="22"/>
              </w:rPr>
              <w:t xml:space="preserve">Submit all assignments and labs before their deadlines</w:t>
            </w:r>
          </w:p>
          <w:p>
            <w:pPr>
              <w:pStyle w:val="ListParagraph"/>
              <w:numPr>
                <w:ilvl w:val="0"/>
                <w:numId w:val="2"/>
              </w:numPr>
              <w:spacing w:after="70" w:before="0"/>
            </w:pPr>
            <w:r>
              <w:rPr>
                <w:rFonts w:ascii="Arial" w:cs="Arial" w:eastAsia="Arial" w:hAnsi="Arial"/>
                <w:color w:val="0A0E1A"/>
                <w:sz w:val="22"/>
                <w:szCs w:val="22"/>
              </w:rPr>
              <w:t xml:space="preserve">Engage honestly — your own work, your own words</w:t>
            </w:r>
          </w:p>
          <w:p>
            <w:pPr>
              <w:pStyle w:val="ListParagraph"/>
              <w:numPr>
                <w:ilvl w:val="0"/>
                <w:numId w:val="2"/>
              </w:numPr>
              <w:spacing w:after="70" w:before="0"/>
            </w:pPr>
            <w:r>
              <w:rPr>
                <w:rFonts w:ascii="Arial" w:cs="Arial" w:eastAsia="Arial" w:hAnsi="Arial"/>
                <w:color w:val="0A0E1A"/>
                <w:sz w:val="22"/>
                <w:szCs w:val="22"/>
              </w:rPr>
              <w:t xml:space="preserve">Start your PoE artefact collection from Week 1</w:t>
            </w:r>
          </w:p>
        </w:tc>
        <w:tc>
          <w:tcPr>
            <w:tcW w:type="dxa" w:w="4740"/>
            <w:tcBorders>
              <w:top w:val="single" w:color="8B1A1A" w:sz="6"/>
              <w:left w:val="single" w:color="8B1A1A" w:sz="6"/>
              <w:bottom w:val="single" w:color="8B1A1A" w:sz="6"/>
              <w:right w:val="single" w:color="8B1A1A" w:sz="6"/>
            </w:tcBorders>
            <w:shd w:fill="FCE8E1" w:val="clear"/>
            <w:tcMar>
              <w:top w:type="dxa" w:w="100"/>
              <w:left w:type="dxa" w:w="140"/>
              <w:bottom w:type="dxa" w:w="100"/>
              <w:right w:type="dxa" w:w="120"/>
            </w:tcMar>
          </w:tcPr>
          <w:p>
            <w:pPr>
              <w:spacing w:after="80" w:before="0"/>
              <w:jc w:val="left"/>
            </w:pPr>
            <w:r>
              <w:rPr>
                <w:rFonts w:ascii="Arial" w:cs="Arial" w:eastAsia="Arial" w:hAnsi="Arial"/>
                <w:b/>
                <w:bCs/>
                <w:i w:val="false"/>
                <w:iCs w:val="false"/>
                <w:color w:val="8B1A1A"/>
                <w:sz w:val="20"/>
                <w:szCs w:val="20"/>
              </w:rPr>
              <w:t xml:space="preserve">What is not acceptable</w:t>
            </w:r>
          </w:p>
          <w:p>
            <w:pPr>
              <w:pStyle w:val="ListParagraph"/>
              <w:numPr>
                <w:ilvl w:val="0"/>
                <w:numId w:val="2"/>
              </w:numPr>
              <w:spacing w:after="70" w:before="0"/>
            </w:pPr>
            <w:r>
              <w:rPr>
                <w:rFonts w:ascii="Arial" w:cs="Arial" w:eastAsia="Arial" w:hAnsi="Arial"/>
                <w:color w:val="0A0E1A"/>
                <w:sz w:val="22"/>
                <w:szCs w:val="22"/>
              </w:rPr>
              <w:t xml:space="preserve">Submitting another learner's work as your own</w:t>
            </w:r>
          </w:p>
          <w:p>
            <w:pPr>
              <w:pStyle w:val="ListParagraph"/>
              <w:numPr>
                <w:ilvl w:val="0"/>
                <w:numId w:val="2"/>
              </w:numPr>
              <w:spacing w:after="70" w:before="0"/>
            </w:pPr>
            <w:r>
              <w:rPr>
                <w:rFonts w:ascii="Arial" w:cs="Arial" w:eastAsia="Arial" w:hAnsi="Arial"/>
                <w:color w:val="0A0E1A"/>
                <w:sz w:val="22"/>
                <w:szCs w:val="22"/>
              </w:rPr>
              <w:t xml:space="preserve">Copying answers verbatim from an AI tool without genuine engagement</w:t>
            </w:r>
          </w:p>
          <w:p>
            <w:pPr>
              <w:pStyle w:val="ListParagraph"/>
              <w:numPr>
                <w:ilvl w:val="0"/>
                <w:numId w:val="2"/>
              </w:numPr>
              <w:spacing w:after="70" w:before="0"/>
            </w:pPr>
            <w:r>
              <w:rPr>
                <w:rFonts w:ascii="Arial" w:cs="Arial" w:eastAsia="Arial" w:hAnsi="Arial"/>
                <w:color w:val="0A0E1A"/>
                <w:sz w:val="22"/>
                <w:szCs w:val="22"/>
              </w:rPr>
              <w:t xml:space="preserve">Persistent disruption of other learners' concentration during labs</w:t>
            </w:r>
          </w:p>
          <w:p>
            <w:pPr>
              <w:pStyle w:val="ListParagraph"/>
              <w:numPr>
                <w:ilvl w:val="0"/>
                <w:numId w:val="2"/>
              </w:numPr>
              <w:spacing w:after="70" w:before="0"/>
            </w:pPr>
            <w:r>
              <w:rPr>
                <w:rFonts w:ascii="Arial" w:cs="Arial" w:eastAsia="Arial" w:hAnsi="Arial"/>
                <w:color w:val="0A0E1A"/>
                <w:sz w:val="22"/>
                <w:szCs w:val="22"/>
              </w:rPr>
              <w:t xml:space="preserve">Using your phone during presentations (yours or a classmate's)</w:t>
            </w:r>
          </w:p>
          <w:p>
            <w:pPr>
              <w:pStyle w:val="ListParagraph"/>
              <w:numPr>
                <w:ilvl w:val="0"/>
                <w:numId w:val="2"/>
              </w:numPr>
              <w:spacing w:after="70" w:before="0"/>
            </w:pPr>
            <w:r>
              <w:rPr>
                <w:rFonts w:ascii="Arial" w:cs="Arial" w:eastAsia="Arial" w:hAnsi="Arial"/>
                <w:color w:val="0A0E1A"/>
                <w:sz w:val="22"/>
                <w:szCs w:val="22"/>
              </w:rPr>
              <w:t xml:space="preserve">Logging into a classmate's AWS account or accessing their resources</w:t>
            </w:r>
          </w:p>
          <w:p>
            <w:pPr>
              <w:pStyle w:val="ListParagraph"/>
              <w:numPr>
                <w:ilvl w:val="0"/>
                <w:numId w:val="2"/>
              </w:numPr>
              <w:spacing w:after="70" w:before="0"/>
            </w:pPr>
            <w:r>
              <w:rPr>
                <w:rFonts w:ascii="Arial" w:cs="Arial" w:eastAsia="Arial" w:hAnsi="Arial"/>
                <w:color w:val="0A0E1A"/>
                <w:sz w:val="22"/>
                <w:szCs w:val="22"/>
              </w:rPr>
              <w:t xml:space="preserve">Sharing your AWS credentials with anyone inside or outside the course</w:t>
            </w:r>
          </w:p>
          <w:p>
            <w:pPr>
              <w:pStyle w:val="ListParagraph"/>
              <w:numPr>
                <w:ilvl w:val="0"/>
                <w:numId w:val="2"/>
              </w:numPr>
              <w:spacing w:after="70" w:before="0"/>
            </w:pPr>
            <w:r>
              <w:rPr>
                <w:rFonts w:ascii="Arial" w:cs="Arial" w:eastAsia="Arial" w:hAnsi="Arial"/>
                <w:color w:val="0A0E1A"/>
                <w:sz w:val="22"/>
                <w:szCs w:val="22"/>
              </w:rPr>
              <w:t xml:space="preserve">Terminating classmates' AWS resources without their knowledge</w:t>
            </w:r>
          </w:p>
        </w:tc>
      </w:tr>
    </w:tbl>
    <w:p>
      <w:pPr>
        <w:spacing w:after="240" w:before="0"/>
      </w:pPr>
    </w:p>
    <w:p>
      <w:pPr>
        <w:pStyle w:val="Heading2"/>
        <w:spacing w:after="100" w:before="220"/>
      </w:pPr>
      <w:r>
        <w:rPr>
          <w:rFonts w:ascii="Arial" w:cs="Arial" w:eastAsia="Arial" w:hAnsi="Arial"/>
          <w:b/>
          <w:bCs/>
          <w:color w:val="1B4F8A"/>
          <w:sz w:val="24"/>
          <w:szCs w:val="24"/>
        </w:rPr>
        <w:t xml:space="preserve">On asking for help</w:t>
      </w:r>
    </w:p>
    <w:p>
      <w:pPr>
        <w:spacing w:after="80" w:before="0"/>
        <w:jc w:val="left"/>
      </w:pPr>
      <w:r>
        <w:rPr>
          <w:rFonts w:ascii="Arial" w:cs="Arial" w:eastAsia="Arial" w:hAnsi="Arial"/>
          <w:b w:val="false"/>
          <w:bCs w:val="false"/>
          <w:i w:val="false"/>
          <w:iCs w:val="false"/>
          <w:color w:val="000000"/>
          <w:sz w:val="22"/>
          <w:szCs w:val="22"/>
        </w:rPr>
        <w:t xml:space="preserve">There is a right time and a right way to ask for help during labs. Follow this process:</w:t>
      </w:r>
    </w:p>
    <w:p>
      <w:pPr>
        <w:pStyle w:val="ListParagraph"/>
        <w:numPr>
          <w:ilvl w:val="0"/>
          <w:numId w:val="3"/>
        </w:numPr>
        <w:spacing w:after="80" w:before="0"/>
      </w:pPr>
      <w:r>
        <w:rPr>
          <w:rFonts w:ascii="Arial" w:cs="Arial" w:eastAsia="Arial" w:hAnsi="Arial"/>
          <w:color w:val="000000"/>
          <w:sz w:val="22"/>
          <w:szCs w:val="22"/>
        </w:rPr>
        <w:t xml:space="preserve">Read the error message or problem description completely — AWS errors are usually specific.</w:t>
      </w:r>
    </w:p>
    <w:p>
      <w:pPr>
        <w:pStyle w:val="ListParagraph"/>
        <w:numPr>
          <w:ilvl w:val="0"/>
          <w:numId w:val="3"/>
        </w:numPr>
        <w:spacing w:after="80" w:before="0"/>
      </w:pPr>
      <w:r>
        <w:rPr>
          <w:rFonts w:ascii="Arial" w:cs="Arial" w:eastAsia="Arial" w:hAnsi="Arial"/>
          <w:color w:val="000000"/>
          <w:sz w:val="22"/>
          <w:szCs w:val="22"/>
        </w:rPr>
        <w:t xml:space="preserve">Try the OSI troubleshooting checklist: check bottom layers first (network → transport → application).</w:t>
      </w:r>
    </w:p>
    <w:p>
      <w:pPr>
        <w:pStyle w:val="ListParagraph"/>
        <w:numPr>
          <w:ilvl w:val="0"/>
          <w:numId w:val="3"/>
        </w:numPr>
        <w:spacing w:after="80" w:before="0"/>
      </w:pPr>
      <w:r>
        <w:rPr>
          <w:rFonts w:ascii="Arial" w:cs="Arial" w:eastAsia="Arial" w:hAnsi="Arial"/>
          <w:color w:val="000000"/>
          <w:sz w:val="22"/>
          <w:szCs w:val="22"/>
        </w:rPr>
        <w:t xml:space="preserve">Search the AWS documentation for the specific service or error — it is excellent.</w:t>
      </w:r>
    </w:p>
    <w:p>
      <w:pPr>
        <w:pStyle w:val="ListParagraph"/>
        <w:numPr>
          <w:ilvl w:val="0"/>
          <w:numId w:val="3"/>
        </w:numPr>
        <w:spacing w:after="80" w:before="0"/>
      </w:pPr>
      <w:r>
        <w:rPr>
          <w:rFonts w:ascii="Arial" w:cs="Arial" w:eastAsia="Arial" w:hAnsi="Arial"/>
          <w:color w:val="000000"/>
          <w:sz w:val="22"/>
          <w:szCs w:val="22"/>
        </w:rPr>
        <w:t xml:space="preserve">Ask a classmate who has passed this step — peer learning is part of the professional culture.</w:t>
      </w:r>
    </w:p>
    <w:p>
      <w:pPr>
        <w:pStyle w:val="ListParagraph"/>
        <w:numPr>
          <w:ilvl w:val="0"/>
          <w:numId w:val="3"/>
        </w:numPr>
        <w:spacing w:after="80" w:before="0"/>
      </w:pPr>
      <w:r>
        <w:rPr>
          <w:rFonts w:ascii="Arial" w:cs="Arial" w:eastAsia="Arial" w:hAnsi="Arial"/>
          <w:color w:val="000000"/>
          <w:sz w:val="22"/>
          <w:szCs w:val="22"/>
        </w:rPr>
        <w:t xml:space="preserve">If you are still stuck after 20 minutes: ask your facilitator. Tell them what you have already tried.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Professional cloud engineers Google problems constantly. The skill is not memorising commands — it is knowing what to search for and how to read the documentation. You are developing that skill from Day 1.</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7 — Managing Your AWS Costs</w:t>
      </w:r>
    </w:p>
    <w:p>
      <w:pPr>
        <w:pStyle w:val="Heading2"/>
        <w:spacing w:after="100" w:before="220"/>
      </w:pPr>
      <w:r>
        <w:rPr>
          <w:rFonts w:ascii="Arial" w:cs="Arial" w:eastAsia="Arial" w:hAnsi="Arial"/>
          <w:b/>
          <w:bCs/>
          <w:color w:val="1B4F8A"/>
          <w:sz w:val="24"/>
          <w:szCs w:val="24"/>
        </w:rPr>
        <w:t xml:space="preserve">You will not be charged if you follow the guidelines</w:t>
      </w:r>
    </w:p>
    <w:p>
      <w:pPr>
        <w:spacing w:after="120" w:before="0"/>
        <w:jc w:val="left"/>
      </w:pPr>
      <w:r>
        <w:rPr>
          <w:rFonts w:ascii="Arial" w:cs="Arial" w:eastAsia="Arial" w:hAnsi="Arial"/>
          <w:b w:val="false"/>
          <w:bCs w:val="false"/>
          <w:i w:val="false"/>
          <w:iCs w:val="false"/>
          <w:color w:val="000000"/>
          <w:sz w:val="22"/>
          <w:szCs w:val="22"/>
        </w:rPr>
        <w:t xml:space="preserve">AWS provides a generous Free Tier that covers all GDA lab exercises. As long as you use the correct instance types, keep resources in af-south-1, and stop or terminate resources at the end of each lab session, your account should remain at $0 or very close to it throughout the course.</w:t>
      </w:r>
    </w:p>
    <w:p>
      <w:pPr>
        <w:pStyle w:val="Heading2"/>
        <w:spacing w:after="100" w:before="220"/>
      </w:pPr>
      <w:r>
        <w:rPr>
          <w:rFonts w:ascii="Arial" w:cs="Arial" w:eastAsia="Arial" w:hAnsi="Arial"/>
          <w:b/>
          <w:bCs/>
          <w:color w:val="1B4F8A"/>
          <w:sz w:val="24"/>
          <w:szCs w:val="24"/>
        </w:rPr>
        <w:t xml:space="preserve">Free Tier limits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Service</w:t>
            </w:r>
          </w:p>
        </w:tc>
        <w:tc>
          <w:tcPr>
            <w:tcW w:type="dxa" w:w="28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Free Tier Allowance</w:t>
            </w:r>
          </w:p>
        </w:tc>
        <w:tc>
          <w:tcPr>
            <w:tcW w:type="dxa" w:w="456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GDA lab usage</w:t>
            </w:r>
          </w:p>
        </w:tc>
      </w:tr>
      <w:tr>
        <w:tc>
          <w:tcPr>
            <w:tcW w:type="dxa" w:w="20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EC2</w:t>
            </w:r>
          </w:p>
        </w:tc>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750 hrs/month of t2.micro or t3.micro for 12 months</w:t>
            </w:r>
          </w:p>
        </w:tc>
        <w:tc>
          <w:tcPr>
            <w:tcW w:type="dxa" w:w="4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Labs use t2.micro. Always stop the instance at the end of lab day — do not leave it running overnight.</w:t>
            </w:r>
          </w:p>
        </w:tc>
      </w:tr>
      <w:tr>
        <w:tc>
          <w:tcPr>
            <w:tcW w:type="dxa" w:w="20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RDS</w:t>
            </w:r>
          </w:p>
        </w:tc>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750 hrs/month of db.t2.micro or db.t3.micro for 12 months</w:t>
            </w:r>
          </w:p>
        </w:tc>
        <w:tc>
          <w:tcPr>
            <w:tcW w:type="dxa" w:w="4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Labs use db.t3.micro. Stop the RDS instance after lab — note: stopping RDS has a 7-day maximum, then it restarts.</w:t>
            </w:r>
          </w:p>
        </w:tc>
      </w:tr>
      <w:tr>
        <w:tc>
          <w:tcPr>
            <w:tcW w:type="dxa" w:w="20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S3</w:t>
            </w:r>
          </w:p>
        </w:tc>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5 GB Standard storage, 20,000 GET, 2,000 PUT per month</w:t>
            </w:r>
          </w:p>
        </w:tc>
        <w:tc>
          <w:tcPr>
            <w:tcW w:type="dxa" w:w="4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Labs use well under 1 GB. Empty and delete buckets at the end of each module.</w:t>
            </w:r>
          </w:p>
        </w:tc>
      </w:tr>
      <w:tr>
        <w:tc>
          <w:tcPr>
            <w:tcW w:type="dxa" w:w="20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EBS</w:t>
            </w:r>
          </w:p>
        </w:tc>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30 GB SSD (gp2 or gp3) per month</w:t>
            </w:r>
          </w:p>
        </w:tc>
        <w:tc>
          <w:tcPr>
            <w:tcW w:type="dxa" w:w="4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Each EC2 instance has a default 8 GB root volume. 30 GB covers 3 simultaneous small instances.</w:t>
            </w:r>
          </w:p>
        </w:tc>
      </w:tr>
      <w:tr>
        <w:tc>
          <w:tcPr>
            <w:tcW w:type="dxa" w:w="20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Data Transfer</w:t>
            </w:r>
          </w:p>
        </w:tc>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15 GB out from EC2 to internet per month</w:t>
            </w:r>
          </w:p>
        </w:tc>
        <w:tc>
          <w:tcPr>
            <w:tcW w:type="dxa" w:w="4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Lab traffic is minimal. File downloads, terminal sessions, and HTTP traffic are all well under this limit.</w:t>
            </w:r>
          </w:p>
        </w:tc>
      </w:tr>
      <w:tr>
        <w:tc>
          <w:tcPr>
            <w:tcW w:type="dxa" w:w="20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CloudTrail</w:t>
            </w:r>
          </w:p>
        </w:tc>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1 trail free for management events</w:t>
            </w:r>
          </w:p>
        </w:tc>
        <w:tc>
          <w:tcPr>
            <w:tcW w:type="dxa" w:w="4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Always use the free management events trail. Never enable data events — these have per-event charges.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FCE8E1" w:sz="4"/>
              <w:bottom w:val="single" w:color="8B1A1A" w:sz="4"/>
              <w:right w:val="single" w:color="FCE8E1" w:sz="4"/>
            </w:tcBorders>
            <w:shd w:fill="FCE8E1" w:val="clear"/>
            <w:tcMar>
              <w:top w:type="dxa" w:w="120"/>
              <w:left w:type="dxa" w:w="160"/>
              <w:bottom w:type="dxa" w:w="120"/>
              <w:right w:type="dxa" w:w="160"/>
            </w:tcMar>
          </w:tcPr>
          <w:p>
            <w:pPr>
              <w:spacing w:after="70" w:before="0"/>
            </w:pPr>
            <w:r>
              <w:rPr>
                <w:rFonts w:ascii="Arial" w:cs="Arial" w:eastAsia="Arial" w:hAnsi="Arial"/>
                <w:b/>
                <w:bCs/>
                <w:color w:val="0A0E1A"/>
                <w:sz w:val="20"/>
                <w:szCs w:val="20"/>
              </w:rPr>
              <w:t xml:space="preserve">The 5 most common causes of unexpected AWS charges — know these</w:t>
            </w:r>
          </w:p>
          <w:p>
            <w:pPr>
              <w:spacing w:after="50" w:before="0"/>
            </w:pPr>
            <w:r>
              <w:rPr>
                <w:rFonts w:ascii="Arial" w:cs="Arial" w:eastAsia="Arial" w:hAnsi="Arial"/>
                <w:color w:val="0A0E1A"/>
                <w:sz w:val="20"/>
                <w:szCs w:val="20"/>
              </w:rPr>
              <w:t xml:space="preserve">1.  Leaving an EC2 instance running overnight or over a weekend. A t2.micro running 24/7 for a month = ~$9 USD.</w:t>
            </w:r>
          </w:p>
          <w:p>
            <w:pPr>
              <w:spacing w:after="50" w:before="0"/>
            </w:pPr>
            <w:r>
              <w:rPr>
                <w:rFonts w:ascii="Arial" w:cs="Arial" w:eastAsia="Arial" w:hAnsi="Arial"/>
                <w:color w:val="0A0E1A"/>
                <w:sz w:val="20"/>
                <w:szCs w:val="20"/>
              </w:rPr>
              <w:t xml:space="preserve">2.  Using the wrong instance type. A c5.xlarge instead of t2.micro costs ~12× more per hour.</w:t>
            </w:r>
          </w:p>
          <w:p>
            <w:pPr>
              <w:spacing w:after="50" w:before="0"/>
            </w:pPr>
            <w:r>
              <w:rPr>
                <w:rFonts w:ascii="Arial" w:cs="Arial" w:eastAsia="Arial" w:hAnsi="Arial"/>
                <w:color w:val="0A0E1A"/>
                <w:sz w:val="20"/>
                <w:szCs w:val="20"/>
              </w:rPr>
              <w:t xml:space="preserve">3.  Creating resources in the wrong region. Resources in eu-west-1 are outside the free tier af-south-1 allocation.</w:t>
            </w:r>
          </w:p>
          <w:p>
            <w:pPr>
              <w:spacing w:after="50" w:before="0"/>
            </w:pPr>
            <w:r>
              <w:rPr>
                <w:rFonts w:ascii="Arial" w:cs="Arial" w:eastAsia="Arial" w:hAnsi="Arial"/>
                <w:color w:val="0A0E1A"/>
                <w:sz w:val="20"/>
                <w:szCs w:val="20"/>
              </w:rPr>
              <w:t xml:space="preserve">4.  Enabling CloudTrail data events (S3 object level logging). $0.10 per 100,000 events — can add up quickly.</w:t>
            </w:r>
          </w:p>
          <w:p>
            <w:pPr>
              <w:spacing w:after="50" w:before="0"/>
            </w:pPr>
            <w:r>
              <w:rPr>
                <w:rFonts w:ascii="Arial" w:cs="Arial" w:eastAsia="Arial" w:hAnsi="Arial"/>
                <w:color w:val="0A0E1A"/>
                <w:sz w:val="20"/>
                <w:szCs w:val="20"/>
              </w:rPr>
              <w:t xml:space="preserve">5.  Forgetting to delete RDS instances. A stopped RDS instance automatically restarts after 7 days and begins accruing charges.</w:t>
            </w:r>
          </w:p>
        </w:tc>
      </w:tr>
    </w:tbl>
    <w:p>
      <w:pPr>
        <w:spacing w:after="240" w:before="0"/>
      </w:pPr>
    </w:p>
    <w:p>
      <w:pPr>
        <w:pStyle w:val="Heading2"/>
        <w:spacing w:after="100" w:before="220"/>
      </w:pPr>
      <w:r>
        <w:rPr>
          <w:rFonts w:ascii="Arial" w:cs="Arial" w:eastAsia="Arial" w:hAnsi="Arial"/>
          <w:b/>
          <w:bCs/>
          <w:color w:val="1B4F8A"/>
          <w:sz w:val="24"/>
          <w:szCs w:val="24"/>
        </w:rPr>
        <w:t xml:space="preserve">Your end-of-session habit</w:t>
      </w:r>
    </w:p>
    <w:p>
      <w:pPr>
        <w:spacing w:after="80" w:before="0"/>
        <w:jc w:val="left"/>
      </w:pPr>
      <w:r>
        <w:rPr>
          <w:rFonts w:ascii="Arial" w:cs="Arial" w:eastAsia="Arial" w:hAnsi="Arial"/>
          <w:b w:val="false"/>
          <w:bCs w:val="false"/>
          <w:i w:val="false"/>
          <w:iCs w:val="false"/>
          <w:color w:val="000000"/>
          <w:sz w:val="22"/>
          <w:szCs w:val="22"/>
        </w:rPr>
        <w:t xml:space="preserve">At the end of every lab session, before you close your laptop, complete this 2-minute checklist:</w:t>
      </w:r>
    </w:p>
    <w:p>
      <w:pPr>
        <w:pStyle w:val="ListParagraph"/>
        <w:numPr>
          <w:ilvl w:val="0"/>
          <w:numId w:val="2"/>
        </w:numPr>
        <w:spacing w:after="70" w:before="0"/>
      </w:pPr>
      <w:r>
        <w:rPr>
          <w:rFonts w:ascii="Arial" w:cs="Arial" w:eastAsia="Arial" w:hAnsi="Arial"/>
          <w:color w:val="000000"/>
          <w:sz w:val="22"/>
          <w:szCs w:val="22"/>
        </w:rPr>
        <w:t xml:space="preserve">Stop (not terminate — stop) all EC2 instances from the session</w:t>
      </w:r>
    </w:p>
    <w:p>
      <w:pPr>
        <w:pStyle w:val="ListParagraph"/>
        <w:numPr>
          <w:ilvl w:val="0"/>
          <w:numId w:val="2"/>
        </w:numPr>
        <w:spacing w:after="70" w:before="0"/>
      </w:pPr>
      <w:r>
        <w:rPr>
          <w:rFonts w:ascii="Arial" w:cs="Arial" w:eastAsia="Arial" w:hAnsi="Arial"/>
          <w:color w:val="000000"/>
          <w:sz w:val="22"/>
          <w:szCs w:val="22"/>
        </w:rPr>
        <w:t xml:space="preserve">Stop the RDS instance if one was created in this session</w:t>
      </w:r>
    </w:p>
    <w:p>
      <w:pPr>
        <w:pStyle w:val="ListParagraph"/>
        <w:numPr>
          <w:ilvl w:val="0"/>
          <w:numId w:val="2"/>
        </w:numPr>
        <w:spacing w:after="70" w:before="0"/>
      </w:pPr>
      <w:r>
        <w:rPr>
          <w:rFonts w:ascii="Arial" w:cs="Arial" w:eastAsia="Arial" w:hAnsi="Arial"/>
          <w:color w:val="000000"/>
          <w:sz w:val="22"/>
          <w:szCs w:val="22"/>
        </w:rPr>
        <w:t xml:space="preserve">Check your Billing Dashboard to confirm no unexpected charges</w:t>
      </w:r>
    </w:p>
    <w:p>
      <w:pPr>
        <w:pStyle w:val="ListParagraph"/>
        <w:numPr>
          <w:ilvl w:val="0"/>
          <w:numId w:val="2"/>
        </w:numPr>
        <w:spacing w:after="70" w:before="0"/>
      </w:pPr>
      <w:r>
        <w:rPr>
          <w:rFonts w:ascii="Arial" w:cs="Arial" w:eastAsia="Arial" w:hAnsi="Arial"/>
          <w:color w:val="000000"/>
          <w:sz w:val="22"/>
          <w:szCs w:val="22"/>
        </w:rPr>
        <w:t xml:space="preserve">Take any remaining PoE screenshots before the session ends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Set a monthly Budget alert at $10 in your AWS console right now, before Day 1. Billing → Budgets → Create Budget. If you ever receive this alert during the course, contact your facilitator immediately — something unexpected is running.</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8 — Cloud Career Pathways in South Africa</w:t>
      </w:r>
    </w:p>
    <w:p>
      <w:pPr>
        <w:spacing w:after="140" w:before="0"/>
        <w:jc w:val="left"/>
      </w:pPr>
      <w:r>
        <w:rPr>
          <w:rFonts w:ascii="Arial" w:cs="Arial" w:eastAsia="Arial" w:hAnsi="Arial"/>
          <w:b w:val="false"/>
          <w:bCs w:val="false"/>
          <w:i w:val="false"/>
          <w:iCs w:val="false"/>
          <w:color w:val="000000"/>
          <w:sz w:val="22"/>
          <w:szCs w:val="22"/>
        </w:rPr>
        <w:t xml:space="preserve">South Africa needs more than 20,000 cloud professionals by 2027. The demand significantly exceeds supply at every level. Cloud Launchpad positions you to enter this market at the foundation level — and gives you a clear pathway to progress further.</w:t>
      </w:r>
    </w:p>
    <w:p>
      <w:pPr>
        <w:pStyle w:val="Heading2"/>
        <w:spacing w:after="100" w:before="220"/>
      </w:pPr>
      <w:r>
        <w:rPr>
          <w:rFonts w:ascii="Arial" w:cs="Arial" w:eastAsia="Arial" w:hAnsi="Arial"/>
          <w:b/>
          <w:bCs/>
          <w:color w:val="1B4F8A"/>
          <w:sz w:val="24"/>
          <w:szCs w:val="24"/>
        </w:rPr>
        <w:t xml:space="preserve">Where Cloud Launchpad takes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Role</w:t>
            </w:r>
          </w:p>
        </w:tc>
        <w:tc>
          <w:tcPr>
            <w:tcW w:type="dxa" w:w="16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Level</w:t>
            </w:r>
          </w:p>
        </w:tc>
        <w:tc>
          <w:tcPr>
            <w:tcW w:type="dxa" w:w="16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Salary Range ZAR</w:t>
            </w:r>
          </w:p>
        </w:tc>
        <w:tc>
          <w:tcPr>
            <w:tcW w:type="dxa" w:w="396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Core responsibilities</w:t>
            </w:r>
          </w:p>
        </w:tc>
      </w:tr>
      <w:tr>
        <w:tc>
          <w:tcPr>
            <w:tcW w:type="dxa" w:w="22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Cloud Support Technician</w:t>
            </w:r>
          </w:p>
        </w:tc>
        <w:tc>
          <w:tcPr>
            <w:tcW w:type="dxa" w:w="16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color w:val="5A6A7A"/>
                <w:sz w:val="17"/>
                <w:szCs w:val="17"/>
              </w:rPr>
              <w:t xml:space="preserve">Entry — GDA CLC ready</w:t>
            </w:r>
          </w:p>
        </w:tc>
        <w:tc>
          <w:tcPr>
            <w:tcW w:type="dxa" w:w="160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tcPr>
          <w:p>
            <w:r>
              <w:rPr>
                <w:rFonts w:ascii="Arial" w:cs="Arial" w:eastAsia="Arial" w:hAnsi="Arial"/>
                <w:b/>
                <w:bCs/>
                <w:color w:val="0F6E56"/>
                <w:sz w:val="17"/>
                <w:szCs w:val="17"/>
              </w:rPr>
              <w:t xml:space="preserve">R180,000–R280,000/yr</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First-line cloud support, EC2/S3 management, ticketing and incident escalation, monitoring dashboards</w:t>
            </w:r>
          </w:p>
        </w:tc>
      </w:tr>
      <w:tr>
        <w:tc>
          <w:tcPr>
            <w:tcW w:type="dxa" w:w="22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Junior Cloud Administrator</w:t>
            </w:r>
          </w:p>
        </w:tc>
        <w:tc>
          <w:tcPr>
            <w:tcW w:type="dxa" w:w="16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color w:val="5A6A7A"/>
                <w:sz w:val="17"/>
                <w:szCs w:val="17"/>
              </w:rPr>
              <w:t xml:space="preserve">Entry-mid — GDA CLC + 6 months experience</w:t>
            </w:r>
          </w:p>
        </w:tc>
        <w:tc>
          <w:tcPr>
            <w:tcW w:type="dxa" w:w="160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tcPr>
          <w:p>
            <w:r>
              <w:rPr>
                <w:rFonts w:ascii="Arial" w:cs="Arial" w:eastAsia="Arial" w:hAnsi="Arial"/>
                <w:b/>
                <w:bCs/>
                <w:color w:val="0F6E56"/>
                <w:sz w:val="17"/>
                <w:szCs w:val="17"/>
              </w:rPr>
              <w:t xml:space="preserve">R240,000–R350,000/yr</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Managing cloud environments, cost optimisation, IAM administration, basic automation scripts</w:t>
            </w:r>
          </w:p>
        </w:tc>
      </w:tr>
      <w:tr>
        <w:tc>
          <w:tcPr>
            <w:tcW w:type="dxa" w:w="22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Cloud Administrator</w:t>
            </w:r>
          </w:p>
        </w:tc>
        <w:tc>
          <w:tcPr>
            <w:tcW w:type="dxa" w:w="16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color w:val="5A6A7A"/>
                <w:sz w:val="17"/>
                <w:szCs w:val="17"/>
              </w:rPr>
              <w:t xml:space="preserve">Mid — GDA Associate Track or AWS CCP</w:t>
            </w:r>
          </w:p>
        </w:tc>
        <w:tc>
          <w:tcPr>
            <w:tcW w:type="dxa" w:w="160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tcPr>
          <w:p>
            <w:r>
              <w:rPr>
                <w:rFonts w:ascii="Arial" w:cs="Arial" w:eastAsia="Arial" w:hAnsi="Arial"/>
                <w:b/>
                <w:bCs/>
                <w:color w:val="0F6E56"/>
                <w:sz w:val="17"/>
                <w:szCs w:val="17"/>
              </w:rPr>
              <w:t xml:space="preserve">R300,000–R450,000/yr</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Multi-service management, infrastructure-as-code, monitoring, backup and recovery management</w:t>
            </w:r>
          </w:p>
        </w:tc>
      </w:tr>
      <w:tr>
        <w:tc>
          <w:tcPr>
            <w:tcW w:type="dxa" w:w="22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Cloud Solutions Architect</w:t>
            </w:r>
          </w:p>
        </w:tc>
        <w:tc>
          <w:tcPr>
            <w:tcW w:type="dxa" w:w="16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color w:val="5A6A7A"/>
                <w:sz w:val="17"/>
                <w:szCs w:val="17"/>
              </w:rPr>
              <w:t xml:space="preserve">Senior — 2–4 years + AWS SAA</w:t>
            </w:r>
          </w:p>
        </w:tc>
        <w:tc>
          <w:tcPr>
            <w:tcW w:type="dxa" w:w="160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tcPr>
          <w:p>
            <w:r>
              <w:rPr>
                <w:rFonts w:ascii="Arial" w:cs="Arial" w:eastAsia="Arial" w:hAnsi="Arial"/>
                <w:b/>
                <w:bCs/>
                <w:color w:val="0F6E56"/>
                <w:sz w:val="17"/>
                <w:szCs w:val="17"/>
              </w:rPr>
              <w:t xml:space="preserve">R550,000–R900,000/yr</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Design cloud architectures, lead migrations, consult on best practices, Well-Architected reviews</w:t>
            </w:r>
          </w:p>
        </w:tc>
      </w:tr>
      <w:tr>
        <w:tc>
          <w:tcPr>
            <w:tcW w:type="dxa" w:w="22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Cloud Security Engineer</w:t>
            </w:r>
          </w:p>
        </w:tc>
        <w:tc>
          <w:tcPr>
            <w:tcW w:type="dxa" w:w="16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color w:val="5A6A7A"/>
                <w:sz w:val="17"/>
                <w:szCs w:val="17"/>
              </w:rPr>
              <w:t xml:space="preserve">Specialist — GDA Security Track</w:t>
            </w:r>
          </w:p>
        </w:tc>
        <w:tc>
          <w:tcPr>
            <w:tcW w:type="dxa" w:w="160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tcPr>
          <w:p>
            <w:r>
              <w:rPr>
                <w:rFonts w:ascii="Arial" w:cs="Arial" w:eastAsia="Arial" w:hAnsi="Arial"/>
                <w:b/>
                <w:bCs/>
                <w:color w:val="0F6E56"/>
                <w:sz w:val="17"/>
                <w:szCs w:val="17"/>
              </w:rPr>
              <w:t xml:space="preserve">R480,000–R780,000/yr</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Security architecture, POPIA compliance, threat detection, GuardDuty, penetration testing</w:t>
            </w:r>
          </w:p>
        </w:tc>
      </w:tr>
      <w:tr>
        <w:tc>
          <w:tcPr>
            <w:tcW w:type="dxa" w:w="22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1B4F8A"/>
                <w:sz w:val="18"/>
                <w:szCs w:val="18"/>
              </w:rPr>
              <w:t xml:space="preserve">DevOps / Platform Engineer</w:t>
            </w:r>
          </w:p>
        </w:tc>
        <w:tc>
          <w:tcPr>
            <w:tcW w:type="dxa" w:w="16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color w:val="5A6A7A"/>
                <w:sz w:val="17"/>
                <w:szCs w:val="17"/>
              </w:rPr>
              <w:t xml:space="preserve">Specialist — GDA DevOps Track</w:t>
            </w:r>
          </w:p>
        </w:tc>
        <w:tc>
          <w:tcPr>
            <w:tcW w:type="dxa" w:w="160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tcPr>
          <w:p>
            <w:r>
              <w:rPr>
                <w:rFonts w:ascii="Arial" w:cs="Arial" w:eastAsia="Arial" w:hAnsi="Arial"/>
                <w:b/>
                <w:bCs/>
                <w:color w:val="0F6E56"/>
                <w:sz w:val="17"/>
                <w:szCs w:val="17"/>
              </w:rPr>
              <w:t xml:space="preserve">R420,000–R720,000/yr</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CI/CD pipelines, Terraform, Kubernetes, GitHub Actions, automated testing and deployment</w:t>
            </w:r>
          </w:p>
        </w:tc>
      </w:tr>
    </w:tbl>
    <w:p>
      <w:pPr>
        <w:spacing w:after="240" w:before="0"/>
      </w:pPr>
    </w:p>
    <w:p>
      <w:pPr>
        <w:pStyle w:val="Heading2"/>
        <w:spacing w:after="100" w:before="220"/>
      </w:pPr>
      <w:r>
        <w:rPr>
          <w:rFonts w:ascii="Arial" w:cs="Arial" w:eastAsia="Arial" w:hAnsi="Arial"/>
          <w:b/>
          <w:bCs/>
          <w:color w:val="1B4F8A"/>
          <w:sz w:val="24"/>
          <w:szCs w:val="24"/>
        </w:rPr>
        <w:t xml:space="preserve">Your natural next steps after Cloud Launchpad</w:t>
      </w:r>
    </w:p>
    <w:p>
      <w:pPr>
        <w:spacing w:after="100" w:before="0"/>
        <w:jc w:val="left"/>
      </w:pPr>
      <w:r>
        <w:rPr>
          <w:rFonts w:ascii="Arial" w:cs="Arial" w:eastAsia="Arial" w:hAnsi="Arial"/>
          <w:b w:val="false"/>
          <w:bCs w:val="false"/>
          <w:i w:val="false"/>
          <w:iCs w:val="false"/>
          <w:color w:val="000000"/>
          <w:sz w:val="22"/>
          <w:szCs w:val="22"/>
        </w:rPr>
        <w:t xml:space="preserve">Cloud Launchpad is the foundation. Here is what the progression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Next step</w:t>
            </w:r>
          </w:p>
        </w:tc>
        <w:tc>
          <w:tcPr>
            <w:tcW w:type="dxa" w:w="30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What it is</w:t>
            </w:r>
          </w:p>
        </w:tc>
        <w:tc>
          <w:tcPr>
            <w:tcW w:type="dxa" w:w="396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Why it makes sense</w:t>
            </w:r>
          </w:p>
        </w:tc>
      </w:tr>
      <w:tr>
        <w:tc>
          <w:tcPr>
            <w:tcW w:type="dxa" w:w="240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AWS Certified Cloud Practitioner (CCP)</w:t>
            </w:r>
          </w:p>
        </w:tc>
        <w:tc>
          <w:tcPr>
            <w:tcW w:type="dxa" w:w="30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Entry-level AWS certification exam — multiple choice, ~90 mins, available at Pearson VUE exam centres in SA</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Most Cloud Launchpad graduates are ready to sit and pass without significant additional study. Adds an industry-recognised credential to your PoE.</w:t>
            </w:r>
          </w:p>
        </w:tc>
      </w:tr>
      <w:tr>
        <w:tc>
          <w:tcPr>
            <w:tcW w:type="dxa" w:w="24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GDA Cloud Associate Track</w:t>
            </w:r>
          </w:p>
        </w:tc>
        <w:tc>
          <w:tcPr>
            <w:tcW w:type="dxa" w:w="30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GDA's intermediate course covering AWS Solutions Architect Associate topics, Azure Administrator fundamentals, and deeper IAM and networking</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Direct continuation from Cloud Launchpad. 16 weeks. Prepares for AWS SAA-C03 exam.</w:t>
            </w:r>
          </w:p>
        </w:tc>
      </w:tr>
      <w:tr>
        <w:tc>
          <w:tcPr>
            <w:tcW w:type="dxa" w:w="240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GDA DevOps Track</w:t>
            </w:r>
          </w:p>
        </w:tc>
        <w:tc>
          <w:tcPr>
            <w:tcW w:type="dxa" w:w="30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CI/CD pipelines, Terraform infrastructure-as-code, Docker containers, Kubernetes orchestration, GitHub Actions</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The most in-demand engineering skill set in SA technology companies in 2024–2026.</w:t>
            </w:r>
          </w:p>
        </w:tc>
      </w:tr>
      <w:tr>
        <w:tc>
          <w:tcPr>
            <w:tcW w:type="dxa" w:w="2400"/>
            <w:tcBorders>
              <w:top w:val="single" w:color="C0CCE0" w:sz="4"/>
              <w:left w:val="single" w:color="C0CCE0" w:sz="4"/>
              <w:bottom w:val="single" w:color="C0CCE0" w:sz="4"/>
              <w:right w:val="single" w:color="C0CCE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GDA Cloud Security Track</w:t>
            </w:r>
          </w:p>
        </w:tc>
        <w:tc>
          <w:tcPr>
            <w:tcW w:type="dxa" w:w="30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7"/>
                <w:szCs w:val="17"/>
              </w:rPr>
              <w:t xml:space="preserve">Advanced POPIA, ISO 27001, AWS Security Specialty, GuardDuty, SIEM, SOC operations</w:t>
            </w:r>
          </w:p>
        </w:tc>
        <w:tc>
          <w:tcPr>
            <w:tcW w:type="dxa" w:w="39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5A6A7A"/>
                <w:sz w:val="17"/>
                <w:szCs w:val="17"/>
              </w:rPr>
              <w:t xml:space="preserve">Growing rapidly in SA due to POPIA enforcement and FSCA cloud security requirements.</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9 — Support, Contacts and Resources</w:t>
      </w:r>
    </w:p>
    <w:p>
      <w:pPr>
        <w:pStyle w:val="Heading2"/>
        <w:spacing w:after="100" w:before="220"/>
      </w:pPr>
      <w:r>
        <w:rPr>
          <w:rFonts w:ascii="Arial" w:cs="Arial" w:eastAsia="Arial" w:hAnsi="Arial"/>
          <w:b/>
          <w:bCs/>
          <w:color w:val="1B4F8A"/>
          <w:sz w:val="24"/>
          <w:szCs w:val="24"/>
        </w:rPr>
        <w:t xml:space="preserve">Getting help during the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Type of help</w:t>
            </w:r>
          </w:p>
        </w:tc>
        <w:tc>
          <w:tcPr>
            <w:tcW w:type="dxa" w:w="696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tcPr>
          <w:p>
            <w:r>
              <w:rPr>
                <w:rFonts w:ascii="Arial" w:cs="Arial" w:eastAsia="Arial" w:hAnsi="Arial"/>
                <w:b/>
                <w:bCs/>
                <w:color w:val="FFFFFF"/>
                <w:sz w:val="18"/>
                <w:szCs w:val="18"/>
              </w:rPr>
              <w:t xml:space="preserve">How to get it</w:t>
            </w:r>
          </w:p>
        </w:tc>
      </w:tr>
      <w:tr>
        <w:tc>
          <w:tcPr>
            <w:tcW w:type="dxa" w:w="2400"/>
            <w:tcBorders>
              <w:top w:val="single" w:color="C0CCE0" w:sz="4"/>
              <w:left w:val="single" w:color="C0CCE0" w:sz="4"/>
              <w:bottom w:val="single" w:color="C0CCE0" w:sz="4"/>
              <w:right w:val="single" w:color="C0CCE0" w:sz="4"/>
            </w:tcBorders>
            <w:shd w:fill="D6E8F8" w:val="clear"/>
            <w:tcMar>
              <w:top w:type="dxa" w:w="80"/>
              <w:left w:type="dxa" w:w="80"/>
              <w:bottom w:type="dxa" w:w="80"/>
              <w:right w:type="dxa" w:w="80"/>
            </w:tcMar>
          </w:tcPr>
          <w:p>
            <w:r>
              <w:rPr>
                <w:rFonts w:ascii="Arial" w:cs="Arial" w:eastAsia="Arial" w:hAnsi="Arial"/>
                <w:b/>
                <w:bCs/>
                <w:color w:val="1B4F8A"/>
                <w:sz w:val="18"/>
                <w:szCs w:val="18"/>
              </w:rPr>
              <w:t xml:space="preserve">Technical question
(lab not working)</w:t>
            </w:r>
          </w:p>
        </w:tc>
        <w:tc>
          <w:tcPr>
            <w:tcW w:type="dxa" w:w="69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During sessions: raise your hand or approach your facilitator. Between sessions: post in the LMS discussion forum for your module — your facilitator responds within 24 hours on weekdays.</w:t>
            </w:r>
          </w:p>
        </w:tc>
      </w:tr>
      <w:tr>
        <w:tc>
          <w:tcPr>
            <w:tcW w:type="dxa" w:w="2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b/>
                <w:bCs/>
                <w:color w:val="1B4F8A"/>
                <w:sz w:val="18"/>
                <w:szCs w:val="18"/>
              </w:rPr>
              <w:t xml:space="preserve">Concept not understood</w:t>
            </w:r>
          </w:p>
        </w:tc>
        <w:tc>
          <w:tcPr>
            <w:tcW w:type="dxa" w:w="69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Ask your facilitator to explain it differently. There is no such thing as a question too basic. The question you are afraid to ask is the question 4 other people in the room also have.</w:t>
            </w:r>
          </w:p>
        </w:tc>
      </w:tr>
      <w:tr>
        <w:tc>
          <w:tcPr>
            <w:tcW w:type="dxa" w:w="2400"/>
            <w:tcBorders>
              <w:top w:val="single" w:color="C0CCE0" w:sz="4"/>
              <w:left w:val="single" w:color="C0CCE0" w:sz="4"/>
              <w:bottom w:val="single" w:color="C0CCE0" w:sz="4"/>
              <w:right w:val="single" w:color="C0CCE0" w:sz="4"/>
            </w:tcBorders>
            <w:shd w:fill="D6E8F8" w:val="clear"/>
            <w:tcMar>
              <w:top w:type="dxa" w:w="80"/>
              <w:left w:type="dxa" w:w="80"/>
              <w:bottom w:type="dxa" w:w="80"/>
              <w:right w:type="dxa" w:w="80"/>
            </w:tcMar>
          </w:tcPr>
          <w:p>
            <w:r>
              <w:rPr>
                <w:rFonts w:ascii="Arial" w:cs="Arial" w:eastAsia="Arial" w:hAnsi="Arial"/>
                <w:b/>
                <w:bCs/>
                <w:color w:val="1B4F8A"/>
                <w:sz w:val="18"/>
                <w:szCs w:val="18"/>
              </w:rPr>
              <w:t xml:space="preserve">Assessment / submission query</w:t>
            </w:r>
          </w:p>
        </w:tc>
        <w:tc>
          <w:tcPr>
            <w:tcW w:type="dxa" w:w="69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Email your facilitator directly with "Cloud Launchpad — [your name] — [query type]" in the subject line.</w:t>
            </w:r>
          </w:p>
        </w:tc>
      </w:tr>
      <w:tr>
        <w:tc>
          <w:tcPr>
            <w:tcW w:type="dxa" w:w="2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b/>
                <w:bCs/>
                <w:color w:val="1B4F8A"/>
                <w:sz w:val="18"/>
                <w:szCs w:val="18"/>
              </w:rPr>
              <w:t xml:space="preserve">Technical issue with LMS or account access</w:t>
            </w:r>
          </w:p>
        </w:tc>
        <w:tc>
          <w:tcPr>
            <w:tcW w:type="dxa" w:w="69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Contact your facilitator first. For AWS account issues contact aws.amazon.com/support — the Basic (free) support plan includes documentation and forum access.</w:t>
            </w:r>
          </w:p>
        </w:tc>
      </w:tr>
      <w:tr>
        <w:tc>
          <w:tcPr>
            <w:tcW w:type="dxa" w:w="2400"/>
            <w:tcBorders>
              <w:top w:val="single" w:color="C0CCE0" w:sz="4"/>
              <w:left w:val="single" w:color="C0CCE0" w:sz="4"/>
              <w:bottom w:val="single" w:color="C0CCE0" w:sz="4"/>
              <w:right w:val="single" w:color="C0CCE0" w:sz="4"/>
            </w:tcBorders>
            <w:shd w:fill="D6E8F8" w:val="clear"/>
            <w:tcMar>
              <w:top w:type="dxa" w:w="80"/>
              <w:left w:type="dxa" w:w="80"/>
              <w:bottom w:type="dxa" w:w="80"/>
              <w:right w:type="dxa" w:w="80"/>
            </w:tcMar>
          </w:tcPr>
          <w:p>
            <w:r>
              <w:rPr>
                <w:rFonts w:ascii="Arial" w:cs="Arial" w:eastAsia="Arial" w:hAnsi="Arial"/>
                <w:b/>
                <w:bCs/>
                <w:color w:val="1B4F8A"/>
                <w:sz w:val="18"/>
                <w:szCs w:val="18"/>
              </w:rPr>
              <w:t xml:space="preserve">Personal circumstances affecting attendance</w:t>
            </w:r>
          </w:p>
        </w:tc>
        <w:tc>
          <w:tcPr>
            <w:tcW w:type="dxa" w:w="69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Speak to your facilitator privately. GDA accommodates genuine personal circumstances with advance communication. Unannounced absences are much harder to accommodate.</w:t>
            </w:r>
          </w:p>
        </w:tc>
      </w:tr>
      <w:tr>
        <w:tc>
          <w:tcPr>
            <w:tcW w:type="dxa" w:w="240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b/>
                <w:bCs/>
                <w:color w:val="1B4F8A"/>
                <w:sz w:val="18"/>
                <w:szCs w:val="18"/>
              </w:rPr>
              <w:t xml:space="preserve">POPIA / privacy concern about course data</w:t>
            </w:r>
          </w:p>
        </w:tc>
        <w:tc>
          <w:tcPr>
            <w:tcW w:type="dxa" w:w="6960"/>
            <w:tcBorders>
              <w:top w:val="single" w:color="C0CCE0" w:sz="4"/>
              <w:left w:val="single" w:color="C0CCE0" w:sz="4"/>
              <w:bottom w:val="single" w:color="C0CCE0" w:sz="4"/>
              <w:right w:val="single" w:color="C0CCE0" w:sz="4"/>
            </w:tcBorders>
            <w:shd w:fill="F4F6FA" w:val="clear"/>
            <w:tcMar>
              <w:top w:type="dxa" w:w="80"/>
              <w:left w:type="dxa" w:w="80"/>
              <w:bottom w:type="dxa" w:w="80"/>
              <w:right w:type="dxa" w:w="80"/>
            </w:tcMar>
          </w:tcPr>
          <w:p>
            <w:r>
              <w:rPr>
                <w:rFonts w:ascii="Arial" w:cs="Arial" w:eastAsia="Arial" w:hAnsi="Arial"/>
                <w:color w:val="0A0E1A"/>
                <w:sz w:val="18"/>
                <w:szCs w:val="18"/>
              </w:rPr>
              <w:t xml:space="preserve">Contact the GDA Information Officer via the contact details on the last page of this handbook.</w:t>
            </w:r>
          </w:p>
        </w:tc>
      </w:tr>
    </w:tbl>
    <w:p>
      <w:pPr>
        <w:spacing w:after="240" w:before="0"/>
      </w:pPr>
    </w:p>
    <w:p>
      <w:pPr>
        <w:pStyle w:val="Heading2"/>
        <w:spacing w:after="100" w:before="220"/>
      </w:pPr>
      <w:r>
        <w:rPr>
          <w:rFonts w:ascii="Arial" w:cs="Arial" w:eastAsia="Arial" w:hAnsi="Arial"/>
          <w:b/>
          <w:bCs/>
          <w:color w:val="1B4F8A"/>
          <w:sz w:val="24"/>
          <w:szCs w:val="24"/>
        </w:rPr>
        <w:t xml:space="preserve">Recommended free resources</w:t>
      </w:r>
    </w:p>
    <w:p>
      <w:pPr>
        <w:spacing w:after="100" w:before="0"/>
        <w:jc w:val="left"/>
      </w:pPr>
      <w:r>
        <w:rPr>
          <w:rFonts w:ascii="Arial" w:cs="Arial" w:eastAsia="Arial" w:hAnsi="Arial"/>
          <w:b w:val="false"/>
          <w:bCs w:val="false"/>
          <w:i w:val="false"/>
          <w:iCs w:val="false"/>
          <w:color w:val="000000"/>
          <w:sz w:val="22"/>
          <w:szCs w:val="22"/>
        </w:rPr>
        <w:t xml:space="preserve">These resources are not required reading — the course materials are self-contained. But if you want to go deeper, these are the best free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Resource</w:t>
            </w:r>
          </w:p>
        </w:tc>
        <w:tc>
          <w:tcPr>
            <w:tcW w:type="dxa" w:w="656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What it covers and where to find it</w:t>
            </w:r>
          </w:p>
        </w:tc>
      </w:tr>
      <w:tr>
        <w:tc>
          <w:tcPr>
            <w:tcW w:type="dxa" w:w="28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AWS Skill Builder</w:t>
            </w:r>
          </w:p>
        </w:tc>
        <w:tc>
          <w:tcPr>
            <w:tcW w:type="dxa" w:w="6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Free online training from AWS. Modules on EC2, S3, RDS, IAM, security. aws.amazon.com/training/digital</w:t>
            </w:r>
          </w:p>
        </w:tc>
      </w:tr>
      <w:tr>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bCs/>
                <w:color w:val="1B4F8A"/>
                <w:sz w:val="18"/>
                <w:szCs w:val="18"/>
              </w:rPr>
              <w:t xml:space="preserve">AWS Documentation</w:t>
            </w:r>
          </w:p>
        </w:tc>
        <w:tc>
          <w:tcPr>
            <w:tcW w:type="dxa" w:w="6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The official reference for every AWS service. Extremely well-written. docs.aws.amazon.com</w:t>
            </w:r>
          </w:p>
        </w:tc>
      </w:tr>
      <w:tr>
        <w:tc>
          <w:tcPr>
            <w:tcW w:type="dxa" w:w="28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AWS Well-Architected Tool</w:t>
            </w:r>
          </w:p>
        </w:tc>
        <w:tc>
          <w:tcPr>
            <w:tcW w:type="dxa" w:w="6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Free in the AWS console. Answer security and reliability questions about your architecture and get a prioritised improvement plan.</w:t>
            </w:r>
          </w:p>
        </w:tc>
      </w:tr>
      <w:tr>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bCs/>
                <w:color w:val="1B4F8A"/>
                <w:sz w:val="18"/>
                <w:szCs w:val="18"/>
              </w:rPr>
              <w:t xml:space="preserve">AWS Pricing Calculator</w:t>
            </w:r>
          </w:p>
        </w:tc>
        <w:tc>
          <w:tcPr>
            <w:tcW w:type="dxa" w:w="6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Build cost estimates for any architecture. calculator.aws — used in the course from Module 4 onwards.</w:t>
            </w:r>
          </w:p>
        </w:tc>
      </w:tr>
      <w:tr>
        <w:tc>
          <w:tcPr>
            <w:tcW w:type="dxa" w:w="28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Linux Journey (linuxjourney.com)</w:t>
            </w:r>
          </w:p>
        </w:tc>
        <w:tc>
          <w:tcPr>
            <w:tcW w:type="dxa" w:w="6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Free interactive Linux learning. Covers everything in Module 2 with interactive exercises. Great for extra practice between sessions.</w:t>
            </w:r>
          </w:p>
        </w:tc>
      </w:tr>
      <w:tr>
        <w:tc>
          <w:tcPr>
            <w:tcW w:type="dxa" w:w="280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b/>
                <w:bCs/>
                <w:color w:val="1B4F8A"/>
                <w:sz w:val="18"/>
                <w:szCs w:val="18"/>
              </w:rPr>
              <w:t xml:space="preserve">Subnetting Practice (subnettingpractice.com)</w:t>
            </w:r>
          </w:p>
        </w:tc>
        <w:tc>
          <w:tcPr>
            <w:tcW w:type="dxa" w:w="6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Free CIDR and subnetting exercises. If Module 3 subnetting feels shaky — practise here. Fluency comes with repetition.</w:t>
            </w:r>
          </w:p>
        </w:tc>
      </w:tr>
      <w:tr>
        <w:tc>
          <w:tcPr>
            <w:tcW w:type="dxa" w:w="280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tcPr>
          <w:p>
            <w:r>
              <w:rPr>
                <w:rFonts w:ascii="Arial" w:cs="Arial" w:eastAsia="Arial" w:hAnsi="Arial"/>
                <w:b/>
                <w:bCs/>
                <w:color w:val="1B4F8A"/>
                <w:sz w:val="18"/>
                <w:szCs w:val="18"/>
              </w:rPr>
              <w:t xml:space="preserve">POPIA Information Regulator (inforeg.org.za)</w:t>
            </w:r>
          </w:p>
        </w:tc>
        <w:tc>
          <w:tcPr>
            <w:tcW w:type="dxa" w:w="656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tcPr>
          <w:p>
            <w:r>
              <w:rPr>
                <w:rFonts w:ascii="Arial" w:cs="Arial" w:eastAsia="Arial" w:hAnsi="Arial"/>
                <w:color w:val="0A0E1A"/>
                <w:sz w:val="18"/>
                <w:szCs w:val="18"/>
              </w:rPr>
              <w:t xml:space="preserve">Official SA regulatory guidance on POPIA. Read the Conditions for Lawful Processing document for the authoritative source.</w:t>
            </w:r>
          </w:p>
        </w:tc>
      </w:tr>
    </w:tbl>
    <w:p>
      <w:pPr>
        <w:spacing w:after="240" w:before="0"/>
      </w:pPr>
    </w:p>
    <w:p>
      <w:r>
        <w:br w:type="page"/>
      </w:r>
    </w:p>
    <w:p>
      <w:pPr>
        <w:pStyle w:val="Heading1"/>
        <w:pBdr>
          <w:bottom w:val="single" w:color="1B4F8A" w:sz="10" w:space="2"/>
        </w:pBdr>
        <w:spacing w:after="160" w:before="300"/>
      </w:pPr>
      <w:r>
        <w:rPr>
          <w:rFonts w:ascii="Arial" w:cs="Arial" w:eastAsia="Arial" w:hAnsi="Arial"/>
          <w:b/>
          <w:bCs/>
          <w:color w:val="0A0E1A"/>
          <w:sz w:val="30"/>
          <w:szCs w:val="30"/>
        </w:rPr>
        <w:t xml:space="preserve">Section 10 — Your Day 1 Checklist</w:t>
      </w:r>
    </w:p>
    <w:p>
      <w:pPr>
        <w:spacing w:after="120" w:before="0"/>
        <w:jc w:val="left"/>
      </w:pPr>
      <w:r>
        <w:rPr>
          <w:rFonts w:ascii="Arial" w:cs="Arial" w:eastAsia="Arial" w:hAnsi="Arial"/>
          <w:b w:val="false"/>
          <w:bCs w:val="false"/>
          <w:i w:val="false"/>
          <w:iCs w:val="false"/>
          <w:color w:val="000000"/>
          <w:sz w:val="22"/>
          <w:szCs w:val="22"/>
        </w:rPr>
        <w:t xml:space="preserve">Complete every item on this list before your first session. Tick each box as you complete it.</w:t>
      </w:r>
    </w:p>
    <w:p>
      <w:pPr>
        <w:pStyle w:val="Heading2"/>
        <w:spacing w:after="100" w:before="220"/>
      </w:pPr>
      <w:r>
        <w:rPr>
          <w:rFonts w:ascii="Arial" w:cs="Arial" w:eastAsia="Arial" w:hAnsi="Arial"/>
          <w:b/>
          <w:bCs/>
          <w:color w:val="1B4F8A"/>
          <w:sz w:val="24"/>
          <w:szCs w:val="24"/>
        </w:rPr>
        <w:t xml:space="preserve">Technology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D6E8F8" w:val="clear"/>
            <w:tcMar>
              <w:top w:type="dxa" w:w="70"/>
              <w:left w:type="dxa" w:w="120"/>
              <w:bottom w:type="dxa" w:w="70"/>
              <w:right w:type="dxa" w:w="80"/>
            </w:tcMar>
          </w:tcPr>
          <w:p>
            <w:r>
              <w:rPr>
                <w:rFonts w:ascii="Arial" w:cs="Arial" w:eastAsia="Arial" w:hAnsi="Arial"/>
                <w:color w:val="0A0E1A"/>
                <w:sz w:val="20"/>
                <w:szCs w:val="20"/>
              </w:rPr>
              <w:t xml:space="preserve">Laptop charged and charger packed</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Chrome or Firefox installed and updated to the latest version</w:t>
            </w:r>
          </w:p>
        </w:tc>
      </w:tr>
      <w:tr>
        <w:tc>
          <w:tcPr>
            <w:tcW w:type="dxa" w:w="44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D6E8F8" w:val="clear"/>
            <w:tcMar>
              <w:top w:type="dxa" w:w="70"/>
              <w:left w:type="dxa" w:w="120"/>
              <w:bottom w:type="dxa" w:w="70"/>
              <w:right w:type="dxa" w:w="80"/>
            </w:tcMar>
          </w:tcPr>
          <w:p>
            <w:r>
              <w:rPr>
                <w:rFonts w:ascii="Arial" w:cs="Arial" w:eastAsia="Arial" w:hAnsi="Arial"/>
                <w:color w:val="0A0E1A"/>
                <w:sz w:val="20"/>
                <w:szCs w:val="20"/>
              </w:rPr>
              <w:t xml:space="preserve">VS Code installed from code.visualstudio.com</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SSH client ready: Windows Terminal / PuTTY on Windows, or Terminal on macOS/Linux</w:t>
            </w:r>
          </w:p>
        </w:tc>
      </w:tr>
      <w:tr>
        <w:tc>
          <w:tcPr>
            <w:tcW w:type="dxa" w:w="44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D6E8F8" w:val="clear"/>
            <w:tcMar>
              <w:top w:type="dxa" w:w="70"/>
              <w:left w:type="dxa" w:w="120"/>
              <w:bottom w:type="dxa" w:w="70"/>
              <w:right w:type="dxa" w:w="80"/>
            </w:tcMar>
          </w:tcPr>
          <w:p>
            <w:r>
              <w:rPr>
                <w:rFonts w:ascii="Arial" w:cs="Arial" w:eastAsia="Arial" w:hAnsi="Arial"/>
                <w:color w:val="0A0E1A"/>
                <w:sz w:val="20"/>
                <w:szCs w:val="20"/>
              </w:rPr>
              <w:t xml:space="preserve">AWS Free Tier account created at aws.amazon.com</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MFA (multi-factor authentication) enabled on the AWS root account</w:t>
            </w:r>
          </w:p>
        </w:tc>
      </w:tr>
      <w:tr>
        <w:tc>
          <w:tcPr>
            <w:tcW w:type="dxa" w:w="44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D6E8F8" w:val="clear"/>
            <w:tcMar>
              <w:top w:type="dxa" w:w="70"/>
              <w:left w:type="dxa" w:w="120"/>
              <w:bottom w:type="dxa" w:w="70"/>
              <w:right w:type="dxa" w:w="80"/>
            </w:tcMar>
          </w:tcPr>
          <w:p>
            <w:r>
              <w:rPr>
                <w:rFonts w:ascii="Arial" w:cs="Arial" w:eastAsia="Arial" w:hAnsi="Arial"/>
                <w:color w:val="0A0E1A"/>
                <w:sz w:val="20"/>
                <w:szCs w:val="20"/>
              </w:rPr>
              <w:t xml:space="preserve">AWS Billing Budget alert set at $10/month to your email address</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Confirmed you can log in to the AWS Management Console at console.aws.amazon.com</w:t>
            </w:r>
          </w:p>
        </w:tc>
      </w:tr>
      <w:tr>
        <w:tc>
          <w:tcPr>
            <w:tcW w:type="dxa" w:w="440"/>
            <w:tcBorders>
              <w:top w:val="single" w:color="C0CCE0" w:sz="4"/>
              <w:left w:val="single" w:color="C0CCE0" w:sz="4"/>
              <w:bottom w:val="single" w:color="C0CCE0" w:sz="4"/>
              <w:right w:val="single" w:color="C0CCE0" w:sz="4"/>
            </w:tcBorders>
            <w:shd w:fill="D6E8F8"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D6E8F8" w:val="clear"/>
            <w:tcMar>
              <w:top w:type="dxa" w:w="70"/>
              <w:left w:type="dxa" w:w="120"/>
              <w:bottom w:type="dxa" w:w="70"/>
              <w:right w:type="dxa" w:w="80"/>
            </w:tcMar>
          </w:tcPr>
          <w:p>
            <w:r>
              <w:rPr>
                <w:rFonts w:ascii="Arial" w:cs="Arial" w:eastAsia="Arial" w:hAnsi="Arial"/>
                <w:color w:val="0A0E1A"/>
                <w:sz w:val="20"/>
                <w:szCs w:val="20"/>
              </w:rPr>
              <w:t xml:space="preserve">Region confirmed as af-south-1 (Cape Town) in the console top-right dropdown</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1B4F8A"/>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LMS login confirmed — you can access Module 1 materials</w:t>
            </w:r>
          </w:p>
        </w:tc>
      </w:tr>
    </w:tbl>
    <w:p>
      <w:pPr>
        <w:spacing w:after="240" w:before="0"/>
      </w:pPr>
    </w:p>
    <w:p>
      <w:pPr>
        <w:pStyle w:val="Heading2"/>
        <w:spacing w:after="100" w:before="220"/>
      </w:pPr>
      <w:r>
        <w:rPr>
          <w:rFonts w:ascii="Arial" w:cs="Arial" w:eastAsia="Arial" w:hAnsi="Arial"/>
          <w:b/>
          <w:bCs/>
          <w:color w:val="0F6E56"/>
          <w:sz w:val="24"/>
          <w:szCs w:val="24"/>
        </w:rPr>
        <w:t xml:space="preserve">Mindset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2"/>
                <w:szCs w:val="22"/>
              </w:rPr>
              <w:t xml:space="preserve">☐</w:t>
            </w:r>
          </w:p>
        </w:tc>
        <w:tc>
          <w:tcPr>
            <w:tcW w:type="dxa" w:w="8920"/>
            <w:tcBorders>
              <w:top w:val="single" w:color="C0CCE0" w:sz="4"/>
              <w:left w:val="single" w:color="C0CCE0" w:sz="4"/>
              <w:bottom w:val="single" w:color="C0CCE0" w:sz="4"/>
              <w:right w:val="single" w:color="C0CCE0" w:sz="4"/>
            </w:tcBorders>
            <w:shd w:fill="D8F2E9" w:val="clear"/>
            <w:tcMar>
              <w:top w:type="dxa" w:w="70"/>
              <w:left w:type="dxa" w:w="120"/>
              <w:bottom w:type="dxa" w:w="70"/>
              <w:right w:type="dxa" w:w="80"/>
            </w:tcMar>
          </w:tcPr>
          <w:p>
            <w:r>
              <w:rPr>
                <w:rFonts w:ascii="Arial" w:cs="Arial" w:eastAsia="Arial" w:hAnsi="Arial"/>
                <w:color w:val="0A0E1A"/>
                <w:sz w:val="20"/>
                <w:szCs w:val="20"/>
              </w:rPr>
              <w:t xml:space="preserve">Read this entire welcome pack — you know what the course covers, how it is assessed, and what to bring</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0F6E56"/>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Accepted that you will encounter errors — they are not failures, they are the learning mechanism</w:t>
            </w:r>
          </w:p>
        </w:tc>
      </w:tr>
      <w:tr>
        <w:tc>
          <w:tcPr>
            <w:tcW w:type="dxa" w:w="44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2"/>
                <w:szCs w:val="22"/>
              </w:rPr>
              <w:t xml:space="preserve">☐</w:t>
            </w:r>
          </w:p>
        </w:tc>
        <w:tc>
          <w:tcPr>
            <w:tcW w:type="dxa" w:w="8920"/>
            <w:tcBorders>
              <w:top w:val="single" w:color="C0CCE0" w:sz="4"/>
              <w:left w:val="single" w:color="C0CCE0" w:sz="4"/>
              <w:bottom w:val="single" w:color="C0CCE0" w:sz="4"/>
              <w:right w:val="single" w:color="C0CCE0" w:sz="4"/>
            </w:tcBorders>
            <w:shd w:fill="D8F2E9" w:val="clear"/>
            <w:tcMar>
              <w:top w:type="dxa" w:w="70"/>
              <w:left w:type="dxa" w:w="120"/>
              <w:bottom w:type="dxa" w:w="70"/>
              <w:right w:type="dxa" w:w="80"/>
            </w:tcMar>
          </w:tcPr>
          <w:p>
            <w:r>
              <w:rPr>
                <w:rFonts w:ascii="Arial" w:cs="Arial" w:eastAsia="Arial" w:hAnsi="Arial"/>
                <w:color w:val="0A0E1A"/>
                <w:sz w:val="20"/>
                <w:szCs w:val="20"/>
              </w:rPr>
              <w:t xml:space="preserve">Ready to ask questions in front of the group — the question you are afraid to ask is helping someone else too</w:t>
            </w:r>
          </w:p>
        </w:tc>
      </w:tr>
      <w:tr>
        <w:tc>
          <w:tcPr>
            <w:tcW w:type="dxa" w:w="440"/>
            <w:tcBorders>
              <w:top w:val="single" w:color="C0CCE0" w:sz="4"/>
              <w:left w:val="single" w:color="C0CCE0" w:sz="4"/>
              <w:bottom w:val="single" w:color="C0CCE0" w:sz="4"/>
              <w:right w:val="single" w:color="C0CCE0" w:sz="4"/>
            </w:tcBorders>
            <w:shd w:fill="F4F6FA" w:val="clear"/>
            <w:tcMar>
              <w:top w:type="dxa" w:w="70"/>
              <w:left w:type="dxa" w:w="80"/>
              <w:bottom w:type="dxa" w:w="70"/>
              <w:right w:type="dxa" w:w="80"/>
            </w:tcMar>
            <w:vAlign w:val="center"/>
          </w:tcPr>
          <w:p>
            <w:pPr>
              <w:jc w:val="center"/>
            </w:pPr>
            <w:r>
              <w:rPr>
                <w:rFonts w:ascii="Arial" w:cs="Arial" w:eastAsia="Arial" w:hAnsi="Arial"/>
                <w:b/>
                <w:bCs/>
                <w:color w:val="0F6E56"/>
                <w:sz w:val="22"/>
                <w:szCs w:val="22"/>
              </w:rPr>
              <w:t xml:space="preserve">☐</w:t>
            </w:r>
          </w:p>
        </w:tc>
        <w:tc>
          <w:tcPr>
            <w:tcW w:type="dxa" w:w="8920"/>
            <w:tcBorders>
              <w:top w:val="single" w:color="C0CCE0" w:sz="4"/>
              <w:left w:val="single" w:color="C0CCE0" w:sz="4"/>
              <w:bottom w:val="single" w:color="C0CCE0" w:sz="4"/>
              <w:right w:val="single" w:color="C0CCE0" w:sz="4"/>
            </w:tcBorders>
            <w:shd w:fill="F4F6FA" w:val="clear"/>
            <w:tcMar>
              <w:top w:type="dxa" w:w="70"/>
              <w:left w:type="dxa" w:w="120"/>
              <w:bottom w:type="dxa" w:w="70"/>
              <w:right w:type="dxa" w:w="80"/>
            </w:tcMar>
          </w:tcPr>
          <w:p>
            <w:r>
              <w:rPr>
                <w:rFonts w:ascii="Arial" w:cs="Arial" w:eastAsia="Arial" w:hAnsi="Arial"/>
                <w:color w:val="0A0E1A"/>
                <w:sz w:val="20"/>
                <w:szCs w:val="20"/>
              </w:rPr>
              <w:t xml:space="preserve">Committed to capturing PoE screenshots from the very first lab session — your certificate depends on it</w:t>
            </w:r>
          </w:p>
        </w:tc>
      </w:tr>
      <w:tr>
        <w:tc>
          <w:tcPr>
            <w:tcW w:type="dxa" w:w="440"/>
            <w:tcBorders>
              <w:top w:val="single" w:color="C0CCE0" w:sz="4"/>
              <w:left w:val="single" w:color="C0CCE0" w:sz="4"/>
              <w:bottom w:val="single" w:color="C0CCE0" w:sz="4"/>
              <w:right w:val="single" w:color="C0CCE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2"/>
                <w:szCs w:val="22"/>
              </w:rPr>
              <w:t xml:space="preserve">☐</w:t>
            </w:r>
          </w:p>
        </w:tc>
        <w:tc>
          <w:tcPr>
            <w:tcW w:type="dxa" w:w="8920"/>
            <w:tcBorders>
              <w:top w:val="single" w:color="C0CCE0" w:sz="4"/>
              <w:left w:val="single" w:color="C0CCE0" w:sz="4"/>
              <w:bottom w:val="single" w:color="C0CCE0" w:sz="4"/>
              <w:right w:val="single" w:color="C0CCE0" w:sz="4"/>
            </w:tcBorders>
            <w:shd w:fill="D8F2E9" w:val="clear"/>
            <w:tcMar>
              <w:top w:type="dxa" w:w="70"/>
              <w:left w:type="dxa" w:w="120"/>
              <w:bottom w:type="dxa" w:w="70"/>
              <w:right w:type="dxa" w:w="80"/>
            </w:tcMar>
          </w:tcPr>
          <w:p>
            <w:r>
              <w:rPr>
                <w:rFonts w:ascii="Arial" w:cs="Arial" w:eastAsia="Arial" w:hAnsi="Arial"/>
                <w:color w:val="0A0E1A"/>
                <w:sz w:val="20"/>
                <w:szCs w:val="20"/>
              </w:rPr>
              <w:t xml:space="preserve">Understood that the Certificate of Competence is earned, not given — it represents real capability</w:t>
            </w:r>
          </w:p>
        </w:tc>
      </w:tr>
    </w:tbl>
    <w:p>
      <w:pPr>
        <w:spacing w:after="360" w:before="0"/>
      </w:pPr>
    </w:p>
    <w:p>
      <w:pPr>
        <w:pBdr>
          <w:bottom w:val="single" w:color="1B4F8A" w:sz="4" w:space="1"/>
        </w:pBdr>
        <w:spacing w:after="80" w:before="80"/>
      </w:pPr>
    </w:p>
    <w:p>
      <w:pPr>
        <w:spacing w:after="120" w:before="0"/>
      </w:pPr>
    </w:p>
    <w:p>
      <w:pPr>
        <w:spacing w:after="100" w:before="200"/>
        <w:jc w:val="center"/>
      </w:pPr>
      <w:r>
        <w:rPr>
          <w:rFonts w:ascii="Arial" w:cs="Arial" w:eastAsia="Arial" w:hAnsi="Arial"/>
          <w:b/>
          <w:bCs/>
          <w:color w:val="1B4F8A"/>
          <w:sz w:val="24"/>
          <w:szCs w:val="24"/>
        </w:rPr>
        <w:t xml:space="preserve">Ginashe Digital Academy  —  Cloud Launchpad</w:t>
      </w:r>
    </w:p>
    <w:p>
      <w:pPr>
        <w:spacing w:after="100" w:before="0"/>
        <w:jc w:val="center"/>
      </w:pPr>
      <w:r>
        <w:rPr>
          <w:rFonts w:ascii="Arial" w:cs="Arial" w:eastAsia="Arial" w:hAnsi="Arial"/>
          <w:color w:val="5A6A7A"/>
          <w:sz w:val="20"/>
          <w:szCs w:val="20"/>
        </w:rPr>
        <w:t xml:space="preserve">Student Welcome Pack  ·  23 April 2026</w:t>
      </w:r>
    </w:p>
    <w:p>
      <w:pPr>
        <w:spacing w:after="80" w:before="0"/>
        <w:jc w:val="center"/>
      </w:pPr>
      <w:r>
        <w:rPr>
          <w:rFonts w:ascii="Arial" w:cs="Arial" w:eastAsia="Arial" w:hAnsi="Arial"/>
          <w:color w:val="5A6A7A"/>
          <w:sz w:val="18"/>
          <w:szCs w:val="18"/>
        </w:rPr>
        <w:t xml:space="preserve">"Making Digital Transformation a Reality — One Learner at a Time"</w:t>
      </w:r>
    </w:p>
    <w:p>
      <w:pPr>
        <w:spacing w:after="120" w:before="0"/>
        <w:jc w:val="center"/>
      </w:pPr>
      <w:r>
        <w:rPr>
          <w:rFonts w:ascii="Arial" w:cs="Arial" w:eastAsia="Arial" w:hAnsi="Arial"/>
          <w:b w:val="false"/>
          <w:bCs w:val="false"/>
          <w:i w:val="false"/>
          <w:iCs w:val="false"/>
          <w:color w:val="5A6A7A"/>
          <w:sz w:val="18"/>
          <w:szCs w:val="18"/>
        </w:rPr>
        <w:t xml:space="preserve">GDA Information Officer contact: info@ginashe.co.za  ·  Ginashe Group, Johannesburg, South Africa</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5A6A7A"/>
        <w:sz w:val="18"/>
        <w:szCs w:val="18"/>
      </w:rPr>
      <w:t xml:space="preserve">Ginashe Digital Academy  |  Cloud Launchpad  |  Student Welcome Pack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80" w:before="0"/>
      <w:jc w:val="right"/>
    </w:pPr>
    <w:r>
      <w:rPr>
        <w:rFonts w:ascii="Arial" w:cs="Arial" w:eastAsia="Arial" w:hAnsi="Arial"/>
        <w:color w:val="5A6A7A"/>
        <w:sz w:val="18"/>
        <w:szCs w:val="18"/>
      </w:rPr>
      <w:t xml:space="preserve">Ginashe Digital Academy  |  Cloud Launchpad  |  Student Welcome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A0E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A0E1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A0E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2026-04-23T11:07:55.749Z</dcterms:created>
  <dcterms:modified xsi:type="dcterms:W3CDTF">2026-04-23T11:07:55.749Z</dcterms:modified>
</cp:coreProperties>
</file>

<file path=docProps/custom.xml><?xml version="1.0" encoding="utf-8"?>
<Properties xmlns="http://schemas.openxmlformats.org/officeDocument/2006/custom-properties" xmlns:vt="http://schemas.openxmlformats.org/officeDocument/2006/docPropsVTypes"/>
</file>