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pBdr>
          <w:bottom w:val="thick" w:color="1B4F8A" w:sz="12" w:space="1"/>
        </w:pBdr>
        <w:spacing w:after="200" w:before="1440"/>
        <w:jc w:val="left"/>
      </w:pPr>
      <w:r>
        <w:rPr>
          <w:rFonts w:ascii="Arial" w:cs="Arial" w:eastAsia="Arial" w:hAnsi="Arial"/>
          <w:b/>
          <w:bCs/>
          <w:color w:val="1B4F8A"/>
          <w:sz w:val="36"/>
          <w:szCs w:val="36"/>
        </w:rPr>
        <w:t xml:space="preserve">GINASHE DIGITAL ACADEMY</w:t>
      </w:r>
    </w:p>
    <w:p>
      <w:pPr>
        <w:spacing w:after="80" w:before="120"/>
        <w:jc w:val="left"/>
      </w:pPr>
      <w:r>
        <w:rPr>
          <w:rFonts w:ascii="Arial" w:cs="Arial" w:eastAsia="Arial" w:hAnsi="Arial"/>
          <w:b w:val="false"/>
          <w:bCs w:val="false"/>
          <w:i w:val="false"/>
          <w:iCs w:val="false"/>
          <w:color w:val="666666"/>
          <w:sz w:val="28"/>
          <w:szCs w:val="28"/>
        </w:rPr>
        <w:t xml:space="preserve">Digital Transformation Through Education</w:t>
      </w:r>
    </w:p>
    <w:p>
      <w:pPr>
        <w:spacing w:after="80" w:before="200"/>
        <w:jc w:val="left"/>
      </w:pPr>
      <w:r>
        <w:rPr>
          <w:rFonts w:ascii="Arial" w:cs="Arial" w:eastAsia="Arial" w:hAnsi="Arial"/>
          <w:b/>
          <w:bCs/>
          <w:i w:val="false"/>
          <w:iCs w:val="false"/>
          <w:color w:val="1A1A2E"/>
          <w:sz w:val="36"/>
          <w:szCs w:val="36"/>
        </w:rPr>
        <w:t xml:space="preserve">Phase 1: Full Curriculum Architecture</w:t>
      </w:r>
    </w:p>
    <w:p>
      <w:pPr>
        <w:spacing w:after="400" w:before="0"/>
        <w:jc w:val="left"/>
      </w:pPr>
      <w:r>
        <w:rPr>
          <w:rFonts w:ascii="Arial" w:cs="Arial" w:eastAsia="Arial" w:hAnsi="Arial"/>
          <w:b w:val="false"/>
          <w:bCs w:val="false"/>
          <w:i w:val="false"/>
          <w:iCs w:val="false"/>
          <w:color w:val="666666"/>
          <w:sz w:val="24"/>
          <w:szCs w:val="24"/>
        </w:rPr>
        <w:t xml:space="preserve">Course Map · 7 Tracks · 28 Courses · NQF Levels 3 – 8</w:t>
      </w:r>
    </w:p>
    <w:p>
      <w:pPr>
        <w:spacing w:after="200" w:before="0"/>
        <w:jc w:val="left"/>
      </w:pPr>
      <w:r>
        <w:rPr>
          <w:rFonts w:ascii="Arial" w:cs="Arial" w:eastAsia="Arial" w:hAnsi="Arial"/>
          <w:b w:val="false"/>
          <w:bCs w:val="false"/>
          <w:i/>
          <w:iCs/>
          <w:color w:val="666666"/>
          <w:sz w:val="22"/>
          <w:szCs w:val="22"/>
        </w:rPr>
        <w:t xml:space="preserve">South Africa &amp; Pan-African Edition</w:t>
      </w:r>
    </w:p>
    <w:p>
      <w:pPr>
        <w:spacing w:after="120" w:before="0"/>
        <w:jc w:val="left"/>
      </w:pPr>
      <w:r>
        <w:rPr>
          <w:rFonts w:ascii="Arial" w:cs="Arial" w:eastAsia="Arial" w:hAnsi="Arial"/>
          <w:b w:val="false"/>
          <w:bCs w:val="false"/>
          <w:i w:val="false"/>
          <w:iCs w:val="false"/>
          <w:color w:val="666666"/>
          <w:sz w:val="20"/>
          <w:szCs w:val="20"/>
        </w:rPr>
        <w:t xml:space="preserve">Prepared by Ginashe Group — 11 April 2026</w:t>
      </w:r>
    </w:p>
    <w:p>
      <w:r>
        <w:br w:type="page"/>
      </w:r>
    </w:p>
    <w:p>
      <w:pPr>
        <w:pStyle w:val="Heading1"/>
        <w:spacing w:after="160" w:before="240"/>
      </w:pPr>
      <w:r>
        <w:rPr>
          <w:rFonts w:ascii="Arial" w:cs="Arial" w:eastAsia="Arial" w:hAnsi="Arial"/>
          <w:b/>
          <w:bCs/>
          <w:color w:val="1A1A2E"/>
          <w:sz w:val="28"/>
          <w:szCs w:val="28"/>
        </w:rPr>
        <w:t xml:space="preserve">1. About Ginashe Digital Academy</w:t>
      </w:r>
    </w:p>
    <w:p>
      <w:pPr>
        <w:spacing w:after="140" w:before="0"/>
        <w:jc w:val="left"/>
      </w:pPr>
      <w:r>
        <w:rPr>
          <w:rFonts w:ascii="Arial" w:cs="Arial" w:eastAsia="Arial" w:hAnsi="Arial"/>
          <w:b w:val="false"/>
          <w:bCs w:val="false"/>
          <w:i w:val="false"/>
          <w:iCs w:val="false"/>
          <w:color w:val="000000"/>
          <w:sz w:val="22"/>
          <w:szCs w:val="22"/>
        </w:rPr>
        <w:t xml:space="preserve">Ginashe Digital Academy (GDA) is a purpose-built learning institution under the Ginashe Group, headquartered in Johannesburg, South Africa. Its mandate is to accelerate digital transformation across South Africa and the broader African continent by equipping learners — from school leavers to C-suite executives — with job-ready digital skills.</w:t>
      </w:r>
    </w:p>
    <w:p>
      <w:pPr>
        <w:spacing w:after="240" w:before="0"/>
        <w:jc w:val="left"/>
      </w:pPr>
      <w:r>
        <w:rPr>
          <w:rFonts w:ascii="Arial" w:cs="Arial" w:eastAsia="Arial" w:hAnsi="Arial"/>
          <w:b w:val="false"/>
          <w:bCs w:val="false"/>
          <w:i w:val="false"/>
          <w:iCs w:val="false"/>
          <w:color w:val="000000"/>
          <w:sz w:val="22"/>
          <w:szCs w:val="22"/>
        </w:rPr>
        <w:t xml:space="preserve">All programmes are designed for alignment with the South African Qualifications Authority (SAQA) National Qualifications Framework (NQF), SETA unit standards, and QCTO qualifications — positioning GDA for formal accreditation and government recognition. The academy is equally structured to meet the skills development requirements of continental frameworks such as those promoted under the African Union's Digital Transformation Strategy.</w:t>
      </w:r>
    </w:p>
    <w:p>
      <w:pPr>
        <w:pStyle w:val="Heading1"/>
        <w:spacing w:after="160" w:before="240"/>
      </w:pPr>
      <w:r>
        <w:rPr>
          <w:rFonts w:ascii="Arial" w:cs="Arial" w:eastAsia="Arial" w:hAnsi="Arial"/>
          <w:b/>
          <w:bCs/>
          <w:color w:val="1A1A2E"/>
          <w:sz w:val="28"/>
          <w:szCs w:val="28"/>
        </w:rPr>
        <w:t xml:space="preserve">2. Curriculum Philosophy</w:t>
      </w:r>
    </w:p>
    <w:p>
      <w:pPr>
        <w:spacing w:after="100" w:before="0"/>
        <w:jc w:val="left"/>
      </w:pPr>
      <w:r>
        <w:rPr>
          <w:rFonts w:ascii="Arial" w:cs="Arial" w:eastAsia="Arial" w:hAnsi="Arial"/>
          <w:b w:val="false"/>
          <w:bCs w:val="false"/>
          <w:i w:val="false"/>
          <w:iCs w:val="false"/>
          <w:color w:val="000000"/>
          <w:sz w:val="22"/>
          <w:szCs w:val="22"/>
        </w:rPr>
        <w:t xml:space="preserve">GDA programmes are built on three foundational principles:</w:t>
      </w:r>
    </w:p>
    <w:p>
      <w:pPr>
        <w:spacing w:after="80" w:before="0"/>
        <w:jc w:val="left"/>
      </w:pPr>
      <w:r>
        <w:rPr>
          <w:rFonts w:ascii="Arial" w:cs="Arial" w:eastAsia="Arial" w:hAnsi="Arial"/>
          <w:b w:val="false"/>
          <w:bCs w:val="false"/>
          <w:i w:val="false"/>
          <w:iCs w:val="false"/>
          <w:color w:val="000000"/>
          <w:sz w:val="22"/>
          <w:szCs w:val="22"/>
        </w:rPr>
        <w:t xml:space="preserve">Earn-while-you-learn pathways — all courses include practical, project-based assessments that map directly to workplace tasks, ensuring learners are employment-ready from day one.</w:t>
      </w:r>
    </w:p>
    <w:p>
      <w:pPr>
        <w:spacing w:after="80" w:before="0"/>
        <w:jc w:val="left"/>
      </w:pPr>
      <w:r>
        <w:rPr>
          <w:rFonts w:ascii="Arial" w:cs="Arial" w:eastAsia="Arial" w:hAnsi="Arial"/>
          <w:b w:val="false"/>
          <w:bCs w:val="false"/>
          <w:i w:val="false"/>
          <w:iCs w:val="false"/>
          <w:color w:val="000000"/>
          <w:sz w:val="22"/>
          <w:szCs w:val="22"/>
        </w:rPr>
        <w:t xml:space="preserve">Stackable qualifications — each course is a building block. Learners enter at the Foundation level and progress to Enterprise level within a track, or move laterally across tracks as their careers evolve.</w:t>
      </w:r>
    </w:p>
    <w:p>
      <w:pPr>
        <w:spacing w:after="240" w:before="0"/>
        <w:jc w:val="left"/>
      </w:pPr>
      <w:r>
        <w:rPr>
          <w:rFonts w:ascii="Arial" w:cs="Arial" w:eastAsia="Arial" w:hAnsi="Arial"/>
          <w:b w:val="false"/>
          <w:bCs w:val="false"/>
          <w:i w:val="false"/>
          <w:iCs w:val="false"/>
          <w:color w:val="000000"/>
          <w:sz w:val="22"/>
          <w:szCs w:val="22"/>
        </w:rPr>
        <w:t xml:space="preserve">African context — case studies, data sets, and capstone projects are drawn from South African and pan-African business realities, ensuring relevance for the local market.</w:t>
      </w:r>
    </w:p>
    <w:p>
      <w:pPr>
        <w:pStyle w:val="Heading1"/>
        <w:spacing w:after="160" w:before="240"/>
      </w:pPr>
      <w:r>
        <w:rPr>
          <w:rFonts w:ascii="Arial" w:cs="Arial" w:eastAsia="Arial" w:hAnsi="Arial"/>
          <w:b/>
          <w:bCs/>
          <w:color w:val="1A1A2E"/>
          <w:sz w:val="28"/>
          <w:szCs w:val="28"/>
        </w:rPr>
        <w:t xml:space="preserve">3. NQF Level Mapping</w:t>
      </w:r>
    </w:p>
    <w:p>
      <w:pPr>
        <w:spacing w:after="120" w:before="0"/>
        <w:jc w:val="left"/>
      </w:pPr>
      <w:r>
        <w:rPr>
          <w:rFonts w:ascii="Arial" w:cs="Arial" w:eastAsia="Arial" w:hAnsi="Arial"/>
          <w:b w:val="false"/>
          <w:bCs w:val="false"/>
          <w:i w:val="false"/>
          <w:iCs w:val="false"/>
          <w:color w:val="000000"/>
          <w:sz w:val="22"/>
          <w:szCs w:val="22"/>
        </w:rPr>
        <w:t xml:space="preserve">The four progression levels map to the South African NQF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200"/>
        <w:gridCol w:w="1400"/>
        <w:gridCol w:w="1960"/>
      </w:tblGrid>
      <w:tr>
        <w:trPr>
          <w:tblHeader/>
        </w:trPr>
        <w:tc>
          <w:tcPr>
            <w:tcW w:type="dxa" w:w="18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Academy Level</w:t>
            </w:r>
          </w:p>
        </w:tc>
        <w:tc>
          <w:tcPr>
            <w:tcW w:type="dxa" w:w="10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NQF Band</w:t>
            </w:r>
          </w:p>
        </w:tc>
        <w:tc>
          <w:tcPr>
            <w:tcW w:type="dxa" w:w="32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Learner</w:t>
            </w:r>
          </w:p>
        </w:tc>
        <w:tc>
          <w:tcPr>
            <w:tcW w:type="dxa" w:w="14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 (est.)</w:t>
            </w:r>
          </w:p>
        </w:tc>
        <w:tc>
          <w:tcPr>
            <w:tcW w:type="dxa" w:w="196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Credential</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000000"/>
                <w:sz w:val="18"/>
                <w:szCs w:val="18"/>
              </w:rPr>
              <w:t xml:space="preserve">Foundation</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000000"/>
                <w:sz w:val="18"/>
                <w:szCs w:val="18"/>
              </w:rPr>
              <w:t xml:space="preserve">L3 – L4</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000000"/>
                <w:sz w:val="18"/>
                <w:szCs w:val="18"/>
              </w:rPr>
              <w:t xml:space="preserve">School leavers, first-time job seekers, general public</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000000"/>
                <w:sz w:val="18"/>
                <w:szCs w:val="18"/>
              </w:rPr>
              <w:t xml:space="preserve">8 – 12 weeks</w:t>
            </w:r>
          </w:p>
        </w:tc>
        <w:tc>
          <w:tcPr>
            <w:tcW w:type="dxa" w:w="1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000000"/>
                <w:sz w:val="18"/>
                <w:szCs w:val="18"/>
              </w:rPr>
              <w:t xml:space="preserve">Certificate of Competence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Associate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L5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Early-career professionals, employed upskilling candidates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12 – 16 weeks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National Certificate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000000"/>
                <w:sz w:val="18"/>
                <w:szCs w:val="18"/>
              </w:rPr>
              <w:t xml:space="preserve">Professional</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000000"/>
                <w:sz w:val="18"/>
                <w:szCs w:val="18"/>
              </w:rPr>
              <w:t xml:space="preserve">L6</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000000"/>
                <w:sz w:val="18"/>
                <w:szCs w:val="18"/>
              </w:rPr>
              <w:t xml:space="preserve">Mid-career specialists, team leads, technical practitioners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000000"/>
                <w:sz w:val="18"/>
                <w:szCs w:val="18"/>
              </w:rPr>
              <w:t xml:space="preserve">16 – 20 weeks</w:t>
            </w:r>
          </w:p>
        </w:tc>
        <w:tc>
          <w:tcPr>
            <w:tcW w:type="dxa" w:w="1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000000"/>
                <w:sz w:val="18"/>
                <w:szCs w:val="18"/>
              </w:rPr>
              <w:t xml:space="preserve">Higher Certificate / Diploma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Enterprise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L7 – L8</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Senior managers, directors, executives, C-suite leaders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20 – 24 weeks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Advanced Diploma / Degree</w:t>
            </w:r>
          </w:p>
        </w:tc>
      </w:tr>
    </w:tbl>
    <w:p>
      <w:pPr>
        <w:spacing w:after="0" w:before="0"/>
      </w:pPr>
    </w:p>
    <w:p>
      <w:r>
        <w:br w:type="page"/>
      </w:r>
    </w:p>
    <w:p>
      <w:pPr>
        <w:sectPr>
          <w:footerReference w:type="default" r:id="rId7"/>
          <w:pgSz w:w="12240" w:h="15840" w:orient="portrait"/>
          <w:pgMar w:top="1440" w:right="1440" w:bottom="1200" w:left="1440" w:header="708" w:footer="708" w:gutter="0"/>
          <w:pgNumType/>
          <w:docGrid w:linePitch="360"/>
        </w:sectPr>
      </w:pPr>
    </w:p>
    <w:p>
      <w:pPr>
        <w:pStyle w:val="Heading1"/>
        <w:spacing w:after="200" w:before="0"/>
      </w:pPr>
      <w:r>
        <w:rPr>
          <w:rFonts w:ascii="Arial" w:cs="Arial" w:eastAsia="Arial" w:hAnsi="Arial"/>
          <w:b/>
          <w:bCs/>
          <w:color w:val="1A1A2E"/>
          <w:sz w:val="28"/>
          <w:szCs w:val="28"/>
        </w:rPr>
        <w:t xml:space="preserve">4. Full Curriculum Map — All 28 Courses</w:t>
      </w:r>
    </w:p>
    <w:p>
      <w:pPr>
        <w:spacing w:after="180" w:before="0"/>
        <w:jc w:val="left"/>
      </w:pPr>
      <w:r>
        <w:rPr>
          <w:rFonts w:ascii="Arial" w:cs="Arial" w:eastAsia="Arial" w:hAnsi="Arial"/>
          <w:b w:val="false"/>
          <w:bCs w:val="false"/>
          <w:i w:val="false"/>
          <w:iCs w:val="false"/>
          <w:color w:val="000000"/>
          <w:sz w:val="22"/>
          <w:szCs w:val="22"/>
        </w:rPr>
        <w:t xml:space="preserve">The table below maps all 28 courses across 7 tracks and 4 NQF progression levels. ★ marks Cloud Launchpad, the first course to be fully developed.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1940"/>
        <w:gridCol w:w="1940"/>
      </w:tblGrid>
      <w:tr>
        <w:trPr>
          <w:tblHeader/>
        </w:trPr>
        <w:tc>
          <w:tcPr>
            <w:tcW w:type="dxa" w:w="1600"/>
            <w:tcBorders>
              <w:top w:val="single" w:color="1A1A2E" w:sz="6"/>
              <w:left w:val="single" w:color="1A1A2E" w:sz="6"/>
              <w:bottom w:val="single" w:color="1A1A2E" w:sz="6"/>
              <w:right w:val="single" w:color="1A1A2E" w:sz="6"/>
            </w:tcBorders>
            <w:shd w:fill="1A1A2E" w:val="clear"/>
            <w:tcMar>
              <w:top w:type="dxa" w:w="100"/>
              <w:left w:type="dxa" w:w="120"/>
              <w:bottom w:type="dxa" w:w="100"/>
              <w:right w:type="dxa" w:w="120"/>
            </w:tcMar>
            <w:vAlign w:val="center"/>
          </w:tcPr>
          <w:p>
            <w:r>
              <w:rPr>
                <w:rFonts w:ascii="Arial" w:cs="Arial" w:eastAsia="Arial" w:hAnsi="Arial"/>
                <w:b/>
                <w:bCs/>
                <w:color w:val="FFFFFF"/>
                <w:sz w:val="22"/>
                <w:szCs w:val="22"/>
              </w:rPr>
              <w:t xml:space="preserve">Track</w:t>
            </w:r>
          </w:p>
          <w:p>
            <w:r>
              <w:rPr>
                <w:rFonts w:ascii="Arial" w:cs="Arial" w:eastAsia="Arial" w:hAnsi="Arial"/>
                <w:color w:val="AAAAAA"/>
                <w:sz w:val="18"/>
                <w:szCs w:val="18"/>
              </w:rPr>
              <w:t xml:space="preserve">Learning Domain</w:t>
            </w:r>
          </w:p>
        </w:tc>
        <w:tc>
          <w:tcPr>
            <w:tcW w:type="dxa" w:w="1940"/>
            <w:tcBorders>
              <w:top w:val="single" w:color="1A1A2E" w:sz="6"/>
              <w:left w:val="single" w:color="1A1A2E" w:sz="6"/>
              <w:bottom w:val="single" w:color="1A1A2E" w:sz="6"/>
              <w:right w:val="single" w:color="1A1A2E" w:sz="6"/>
            </w:tcBorders>
            <w:shd w:fill="1A1A2E" w:val="clear"/>
            <w:tcMar>
              <w:top w:type="dxa" w:w="100"/>
              <w:left w:type="dxa" w:w="120"/>
              <w:bottom w:type="dxa" w:w="100"/>
              <w:right w:type="dxa" w:w="120"/>
            </w:tcMar>
            <w:vAlign w:val="center"/>
          </w:tcPr>
          <w:p>
            <w:r>
              <w:rPr>
                <w:rFonts w:ascii="Arial" w:cs="Arial" w:eastAsia="Arial" w:hAnsi="Arial"/>
                <w:b/>
                <w:bCs/>
                <w:color w:val="FFFFFF"/>
                <w:sz w:val="22"/>
                <w:szCs w:val="22"/>
              </w:rPr>
              <w:t xml:space="preserve">Foundation</w:t>
            </w:r>
          </w:p>
          <w:p>
            <w:r>
              <w:rPr>
                <w:rFonts w:ascii="Arial" w:cs="Arial" w:eastAsia="Arial" w:hAnsi="Arial"/>
                <w:color w:val="AAAAAA"/>
                <w:sz w:val="18"/>
                <w:szCs w:val="18"/>
              </w:rPr>
              <w:t xml:space="preserve">NQF L3–L4</w:t>
            </w:r>
          </w:p>
          <w:p>
            <w:r>
              <w:rPr>
                <w:rFonts w:ascii="Arial" w:cs="Arial" w:eastAsia="Arial" w:hAnsi="Arial"/>
                <w:i/>
                <w:iCs/>
                <w:color w:val="888888"/>
                <w:sz w:val="16"/>
                <w:szCs w:val="16"/>
              </w:rPr>
              <w:t xml:space="preserve">School leavers · Beginners</w:t>
            </w:r>
          </w:p>
        </w:tc>
        <w:tc>
          <w:tcPr>
            <w:tcW w:type="dxa" w:w="1940"/>
            <w:tcBorders>
              <w:top w:val="single" w:color="1A1A2E" w:sz="6"/>
              <w:left w:val="single" w:color="1A1A2E" w:sz="6"/>
              <w:bottom w:val="single" w:color="1A1A2E" w:sz="6"/>
              <w:right w:val="single" w:color="1A1A2E" w:sz="6"/>
            </w:tcBorders>
            <w:shd w:fill="1A1A2E" w:val="clear"/>
            <w:tcMar>
              <w:top w:type="dxa" w:w="100"/>
              <w:left w:type="dxa" w:w="120"/>
              <w:bottom w:type="dxa" w:w="100"/>
              <w:right w:type="dxa" w:w="120"/>
            </w:tcMar>
            <w:vAlign w:val="center"/>
          </w:tcPr>
          <w:p>
            <w:r>
              <w:rPr>
                <w:rFonts w:ascii="Arial" w:cs="Arial" w:eastAsia="Arial" w:hAnsi="Arial"/>
                <w:b/>
                <w:bCs/>
                <w:color w:val="FFFFFF"/>
                <w:sz w:val="22"/>
                <w:szCs w:val="22"/>
              </w:rPr>
              <w:t xml:space="preserve">Associate</w:t>
            </w:r>
          </w:p>
          <w:p>
            <w:r>
              <w:rPr>
                <w:rFonts w:ascii="Arial" w:cs="Arial" w:eastAsia="Arial" w:hAnsi="Arial"/>
                <w:color w:val="AAAAAA"/>
                <w:sz w:val="18"/>
                <w:szCs w:val="18"/>
              </w:rPr>
              <w:t xml:space="preserve">NQF L5</w:t>
            </w:r>
          </w:p>
          <w:p>
            <w:r>
              <w:rPr>
                <w:rFonts w:ascii="Arial" w:cs="Arial" w:eastAsia="Arial" w:hAnsi="Arial"/>
                <w:i/>
                <w:iCs/>
                <w:color w:val="888888"/>
                <w:sz w:val="16"/>
                <w:szCs w:val="16"/>
              </w:rPr>
              <w:t xml:space="preserve">Early career · Upskilling</w:t>
            </w:r>
          </w:p>
        </w:tc>
        <w:tc>
          <w:tcPr>
            <w:tcW w:type="dxa" w:w="1940"/>
            <w:tcBorders>
              <w:top w:val="single" w:color="1A1A2E" w:sz="6"/>
              <w:left w:val="single" w:color="1A1A2E" w:sz="6"/>
              <w:bottom w:val="single" w:color="1A1A2E" w:sz="6"/>
              <w:right w:val="single" w:color="1A1A2E" w:sz="6"/>
            </w:tcBorders>
            <w:shd w:fill="1A1A2E" w:val="clear"/>
            <w:tcMar>
              <w:top w:type="dxa" w:w="100"/>
              <w:left w:type="dxa" w:w="120"/>
              <w:bottom w:type="dxa" w:w="100"/>
              <w:right w:type="dxa" w:w="120"/>
            </w:tcMar>
            <w:vAlign w:val="center"/>
          </w:tcPr>
          <w:p>
            <w:r>
              <w:rPr>
                <w:rFonts w:ascii="Arial" w:cs="Arial" w:eastAsia="Arial" w:hAnsi="Arial"/>
                <w:b/>
                <w:bCs/>
                <w:color w:val="FFFFFF"/>
                <w:sz w:val="22"/>
                <w:szCs w:val="22"/>
              </w:rPr>
              <w:t xml:space="preserve">Professional</w:t>
            </w:r>
          </w:p>
          <w:p>
            <w:r>
              <w:rPr>
                <w:rFonts w:ascii="Arial" w:cs="Arial" w:eastAsia="Arial" w:hAnsi="Arial"/>
                <w:color w:val="AAAAAA"/>
                <w:sz w:val="18"/>
                <w:szCs w:val="18"/>
              </w:rPr>
              <w:t xml:space="preserve">NQF L6</w:t>
            </w:r>
          </w:p>
          <w:p>
            <w:r>
              <w:rPr>
                <w:rFonts w:ascii="Arial" w:cs="Arial" w:eastAsia="Arial" w:hAnsi="Arial"/>
                <w:i/>
                <w:iCs/>
                <w:color w:val="888888"/>
                <w:sz w:val="16"/>
                <w:szCs w:val="16"/>
              </w:rPr>
              <w:t xml:space="preserve">Mid-career · Specialists</w:t>
            </w:r>
          </w:p>
        </w:tc>
        <w:tc>
          <w:tcPr>
            <w:tcW w:type="dxa" w:w="1940"/>
            <w:tcBorders>
              <w:top w:val="single" w:color="1A1A2E" w:sz="6"/>
              <w:left w:val="single" w:color="1A1A2E" w:sz="6"/>
              <w:bottom w:val="single" w:color="1A1A2E" w:sz="6"/>
              <w:right w:val="single" w:color="1A1A2E" w:sz="6"/>
            </w:tcBorders>
            <w:shd w:fill="1A1A2E" w:val="clear"/>
            <w:tcMar>
              <w:top w:type="dxa" w:w="100"/>
              <w:left w:type="dxa" w:w="120"/>
              <w:bottom w:type="dxa" w:w="100"/>
              <w:right w:type="dxa" w:w="120"/>
            </w:tcMar>
            <w:vAlign w:val="center"/>
          </w:tcPr>
          <w:p>
            <w:r>
              <w:rPr>
                <w:rFonts w:ascii="Arial" w:cs="Arial" w:eastAsia="Arial" w:hAnsi="Arial"/>
                <w:b/>
                <w:bCs/>
                <w:color w:val="FFFFFF"/>
                <w:sz w:val="22"/>
                <w:szCs w:val="22"/>
              </w:rPr>
              <w:t xml:space="preserve">Enterprise</w:t>
            </w:r>
          </w:p>
          <w:p>
            <w:r>
              <w:rPr>
                <w:rFonts w:ascii="Arial" w:cs="Arial" w:eastAsia="Arial" w:hAnsi="Arial"/>
                <w:color w:val="AAAAAA"/>
                <w:sz w:val="18"/>
                <w:szCs w:val="18"/>
              </w:rPr>
              <w:t xml:space="preserve">NQF L7–L8</w:t>
            </w:r>
          </w:p>
          <w:p>
            <w:r>
              <w:rPr>
                <w:rFonts w:ascii="Arial" w:cs="Arial" w:eastAsia="Arial" w:hAnsi="Arial"/>
                <w:i/>
                <w:iCs/>
                <w:color w:val="888888"/>
                <w:sz w:val="16"/>
                <w:szCs w:val="16"/>
              </w:rPr>
              <w:t xml:space="preserve">Executives · Strategy</w:t>
            </w:r>
          </w:p>
        </w:tc>
      </w:tr>
      <w:tr>
        <w:tc>
          <w:tcPr>
            <w:tcW w:type="dxa" w:w="1600"/>
            <w:tcBorders>
              <w:top w:val="single" w:color="CCCCCC" w:sz="4"/>
              <w:left w:val="single" w:color="CCCCCC" w:sz="4"/>
              <w:bottom w:val="single" w:color="CCCCCC" w:sz="4"/>
              <w:right w:val="single" w:color="CCCCCC" w:sz="4"/>
            </w:tcBorders>
            <w:shd w:fill="D6E8F8" w:val="clear"/>
            <w:tcMar>
              <w:top w:type="dxa" w:w="120"/>
              <w:left w:type="dxa" w:w="120"/>
              <w:bottom w:type="dxa" w:w="120"/>
              <w:right w:type="dxa" w:w="100"/>
            </w:tcMar>
            <w:vAlign w:val="center"/>
          </w:tcPr>
          <w:p>
            <w:r>
              <w:rPr>
                <w:rFonts w:ascii="Arial" w:cs="Arial" w:eastAsia="Arial" w:hAnsi="Arial"/>
                <w:b/>
                <w:bCs/>
                <w:color w:val="0C3668"/>
                <w:sz w:val="20"/>
                <w:szCs w:val="20"/>
              </w:rPr>
              <w:t xml:space="preserve">Cloud Computing</w:t>
            </w:r>
          </w:p>
          <w:p>
            <w:pPr>
              <w:spacing w:after="0" w:before="40"/>
            </w:pPr>
            <w:r>
              <w:rPr>
                <w:rFonts w:ascii="Arial" w:cs="Arial" w:eastAsia="Arial" w:hAnsi="Arial"/>
                <w:i/>
                <w:iCs/>
                <w:color w:val="0C3668"/>
                <w:sz w:val="16"/>
                <w:szCs w:val="16"/>
              </w:rPr>
              <w:t xml:space="preserve">L3 – L4 → L7 – L8</w:t>
            </w:r>
          </w:p>
        </w:tc>
        <w:tc>
          <w:tcPr>
            <w:tcW w:type="dxa" w:w="1940"/>
            <w:tcBorders>
              <w:top w:val="single" w:color="CCCCCC" w:sz="4"/>
              <w:left w:val="single" w:color="CCCCCC" w:sz="4"/>
              <w:bottom w:val="single" w:color="CCCCCC" w:sz="4"/>
              <w:right w:val="single" w:color="CCCCCC" w:sz="4"/>
            </w:tcBorders>
            <w:shd w:fill="D6E8F8" w:val="clear"/>
            <w:tcMar>
              <w:top w:type="dxa" w:w="100"/>
              <w:left w:type="dxa" w:w="120"/>
              <w:bottom w:type="dxa" w:w="100"/>
              <w:right w:type="dxa" w:w="120"/>
            </w:tcMar>
            <w:vAlign w:val="top"/>
          </w:tcPr>
          <w:p>
            <w:pPr>
              <w:spacing w:after="60" w:before="0"/>
            </w:pPr>
            <w:r>
              <w:rPr>
                <w:rFonts w:ascii="Arial" w:cs="Arial" w:eastAsia="Arial" w:hAnsi="Arial"/>
                <w:b/>
                <w:bCs/>
                <w:color w:val="0C3668"/>
                <w:sz w:val="18"/>
                <w:szCs w:val="18"/>
              </w:rPr>
              <w:t xml:space="preserve">Cloud Launchpad ★</w:t>
            </w:r>
          </w:p>
          <w:p>
            <w:pPr>
              <w:spacing w:after="60" w:before="0"/>
            </w:pPr>
            <w:r>
              <w:rPr>
                <w:rFonts w:ascii="Arial" w:cs="Arial" w:eastAsia="Arial" w:hAnsi="Arial"/>
                <w:i/>
                <w:iCs/>
                <w:color w:val="666666"/>
                <w:sz w:val="16"/>
                <w:szCs w:val="16"/>
              </w:rPr>
              <w:t xml:space="preserve">Linux · Networking · Cloud basics</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p>
            <w:pPr>
              <w:spacing w:after="60" w:before="0"/>
            </w:pPr>
            <w:r>
              <w:rPr>
                <w:rFonts w:ascii="Arial" w:cs="Arial" w:eastAsia="Arial" w:hAnsi="Arial"/>
                <w:b/>
                <w:bCs/>
                <w:color w:val="0C3668"/>
                <w:sz w:val="18"/>
                <w:szCs w:val="18"/>
              </w:rPr>
              <w:t xml:space="preserve">Cloud Practitioner Pro</w:t>
            </w:r>
          </w:p>
          <w:p>
            <w:pPr>
              <w:spacing w:after="60" w:before="0"/>
            </w:pPr>
            <w:r>
              <w:rPr>
                <w:rFonts w:ascii="Arial" w:cs="Arial" w:eastAsia="Arial" w:hAnsi="Arial"/>
                <w:i/>
                <w:iCs/>
                <w:color w:val="666666"/>
                <w:sz w:val="16"/>
                <w:szCs w:val="16"/>
              </w:rPr>
              <w:t xml:space="preserve">AWS/Azure certs · IAM · Compute · Storage</w:t>
            </w:r>
          </w:p>
        </w:tc>
        <w:tc>
          <w:tcPr>
            <w:tcW w:type="dxa" w:w="1940"/>
            <w:tcBorders>
              <w:top w:val="single" w:color="CCCCCC" w:sz="4"/>
              <w:left w:val="single" w:color="CCCCCC" w:sz="4"/>
              <w:bottom w:val="single" w:color="CCCCCC" w:sz="4"/>
              <w:right w:val="single" w:color="CCCCCC" w:sz="4"/>
            </w:tcBorders>
            <w:shd w:fill="D6E8F8" w:val="clear"/>
            <w:tcMar>
              <w:top w:type="dxa" w:w="100"/>
              <w:left w:type="dxa" w:w="120"/>
              <w:bottom w:type="dxa" w:w="100"/>
              <w:right w:type="dxa" w:w="120"/>
            </w:tcMar>
            <w:vAlign w:val="top"/>
          </w:tcPr>
          <w:p>
            <w:pPr>
              <w:spacing w:after="60" w:before="0"/>
            </w:pPr>
            <w:r>
              <w:rPr>
                <w:rFonts w:ascii="Arial" w:cs="Arial" w:eastAsia="Arial" w:hAnsi="Arial"/>
                <w:b/>
                <w:bCs/>
                <w:color w:val="0C3668"/>
                <w:sz w:val="18"/>
                <w:szCs w:val="18"/>
              </w:rPr>
              <w:t xml:space="preserve">Cloud Architect</w:t>
            </w:r>
          </w:p>
          <w:p>
            <w:pPr>
              <w:spacing w:after="60" w:before="0"/>
            </w:pPr>
            <w:r>
              <w:rPr>
                <w:rFonts w:ascii="Arial" w:cs="Arial" w:eastAsia="Arial" w:hAnsi="Arial"/>
                <w:i/>
                <w:iCs/>
                <w:color w:val="666666"/>
                <w:sz w:val="16"/>
                <w:szCs w:val="16"/>
              </w:rPr>
              <w:t xml:space="preserve">Solutions design · HA/DR · Cost optimisation</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p>
            <w:pPr>
              <w:spacing w:after="60" w:before="0"/>
            </w:pPr>
            <w:r>
              <w:rPr>
                <w:rFonts w:ascii="Arial" w:cs="Arial" w:eastAsia="Arial" w:hAnsi="Arial"/>
                <w:b/>
                <w:bCs/>
                <w:color w:val="0C3668"/>
                <w:sz w:val="18"/>
                <w:szCs w:val="18"/>
              </w:rPr>
              <w:t xml:space="preserve">Multi-Cloud Enterprise</w:t>
            </w:r>
          </w:p>
          <w:p>
            <w:pPr>
              <w:spacing w:after="60" w:before="0"/>
            </w:pPr>
            <w:r>
              <w:rPr>
                <w:rFonts w:ascii="Arial" w:cs="Arial" w:eastAsia="Arial" w:hAnsi="Arial"/>
                <w:i/>
                <w:iCs/>
                <w:color w:val="666666"/>
                <w:sz w:val="16"/>
                <w:szCs w:val="16"/>
              </w:rPr>
              <w:t xml:space="preserve">Governance · FinOps · Landing zones</w:t>
            </w:r>
          </w:p>
        </w:tc>
      </w:tr>
      <w:tr>
        <w:tc>
          <w:tcPr>
            <w:tcW w:type="dxa" w:w="1600"/>
            <w:tcBorders>
              <w:top w:val="single" w:color="CCCCCC" w:sz="4"/>
              <w:left w:val="single" w:color="CCCCCC" w:sz="4"/>
              <w:bottom w:val="single" w:color="CCCCCC" w:sz="4"/>
              <w:right w:val="single" w:color="CCCCCC" w:sz="4"/>
            </w:tcBorders>
            <w:shd w:fill="E5E3FC" w:val="clear"/>
            <w:tcMar>
              <w:top w:type="dxa" w:w="120"/>
              <w:left w:type="dxa" w:w="120"/>
              <w:bottom w:type="dxa" w:w="120"/>
              <w:right w:type="dxa" w:w="100"/>
            </w:tcMar>
            <w:vAlign w:val="center"/>
          </w:tcPr>
          <w:p>
            <w:r>
              <w:rPr>
                <w:rFonts w:ascii="Arial" w:cs="Arial" w:eastAsia="Arial" w:hAnsi="Arial"/>
                <w:b/>
                <w:bCs/>
                <w:color w:val="2E2580"/>
                <w:sz w:val="20"/>
                <w:szCs w:val="20"/>
              </w:rPr>
              <w:t xml:space="preserve">AI &amp; Machine Learning</w:t>
            </w:r>
          </w:p>
          <w:p>
            <w:pPr>
              <w:spacing w:after="0" w:before="40"/>
            </w:pPr>
            <w:r>
              <w:rPr>
                <w:rFonts w:ascii="Arial" w:cs="Arial" w:eastAsia="Arial" w:hAnsi="Arial"/>
                <w:i/>
                <w:iCs/>
                <w:color w:val="2E2580"/>
                <w:sz w:val="16"/>
                <w:szCs w:val="16"/>
              </w:rPr>
              <w:t xml:space="preserve">L3 – L4 → L7 – L8</w:t>
            </w:r>
          </w:p>
        </w:tc>
        <w:tc>
          <w:tcPr>
            <w:tcW w:type="dxa" w:w="194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vAlign w:val="top"/>
          </w:tcPr>
          <w:p>
            <w:pPr>
              <w:spacing w:after="60" w:before="0"/>
            </w:pPr>
            <w:r>
              <w:rPr>
                <w:rFonts w:ascii="Arial" w:cs="Arial" w:eastAsia="Arial" w:hAnsi="Arial"/>
                <w:b/>
                <w:bCs/>
                <w:color w:val="2E2580"/>
                <w:sz w:val="18"/>
                <w:szCs w:val="18"/>
              </w:rPr>
              <w:t xml:space="preserve">AI Fundamentals</w:t>
            </w:r>
          </w:p>
          <w:p>
            <w:pPr>
              <w:spacing w:after="60" w:before="0"/>
            </w:pPr>
            <w:r>
              <w:rPr>
                <w:rFonts w:ascii="Arial" w:cs="Arial" w:eastAsia="Arial" w:hAnsi="Arial"/>
                <w:i/>
                <w:iCs/>
                <w:color w:val="666666"/>
                <w:sz w:val="16"/>
                <w:szCs w:val="16"/>
              </w:rPr>
              <w:t xml:space="preserve">How AI works · Prompt craft · Ethics</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p>
            <w:pPr>
              <w:spacing w:after="60" w:before="0"/>
            </w:pPr>
            <w:r>
              <w:rPr>
                <w:rFonts w:ascii="Arial" w:cs="Arial" w:eastAsia="Arial" w:hAnsi="Arial"/>
                <w:b/>
                <w:bCs/>
                <w:color w:val="2E2580"/>
                <w:sz w:val="18"/>
                <w:szCs w:val="18"/>
              </w:rPr>
              <w:t xml:space="preserve">ML Essentials</w:t>
            </w:r>
          </w:p>
          <w:p>
            <w:pPr>
              <w:spacing w:after="60" w:before="0"/>
            </w:pPr>
            <w:r>
              <w:rPr>
                <w:rFonts w:ascii="Arial" w:cs="Arial" w:eastAsia="Arial" w:hAnsi="Arial"/>
                <w:i/>
                <w:iCs/>
                <w:color w:val="666666"/>
                <w:sz w:val="16"/>
                <w:szCs w:val="16"/>
              </w:rPr>
              <w:t xml:space="preserve">Python · Scikit-learn · Model evaluation</w:t>
            </w:r>
          </w:p>
        </w:tc>
        <w:tc>
          <w:tcPr>
            <w:tcW w:type="dxa" w:w="194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vAlign w:val="top"/>
          </w:tcPr>
          <w:p>
            <w:pPr>
              <w:spacing w:after="60" w:before="0"/>
            </w:pPr>
            <w:r>
              <w:rPr>
                <w:rFonts w:ascii="Arial" w:cs="Arial" w:eastAsia="Arial" w:hAnsi="Arial"/>
                <w:b/>
                <w:bCs/>
                <w:color w:val="2E2580"/>
                <w:sz w:val="18"/>
                <w:szCs w:val="18"/>
              </w:rPr>
              <w:t xml:space="preserve">Applied AI Engineering</w:t>
            </w:r>
          </w:p>
          <w:p>
            <w:pPr>
              <w:spacing w:after="60" w:before="0"/>
            </w:pPr>
            <w:r>
              <w:rPr>
                <w:rFonts w:ascii="Arial" w:cs="Arial" w:eastAsia="Arial" w:hAnsi="Arial"/>
                <w:i/>
                <w:iCs/>
                <w:color w:val="666666"/>
                <w:sz w:val="16"/>
                <w:szCs w:val="16"/>
              </w:rPr>
              <w:t xml:space="preserve">LLMs · RAG · APIs · MLOps</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p>
            <w:pPr>
              <w:spacing w:after="60" w:before="0"/>
            </w:pPr>
            <w:r>
              <w:rPr>
                <w:rFonts w:ascii="Arial" w:cs="Arial" w:eastAsia="Arial" w:hAnsi="Arial"/>
                <w:b/>
                <w:bCs/>
                <w:color w:val="2E2580"/>
                <w:sz w:val="18"/>
                <w:szCs w:val="18"/>
              </w:rPr>
              <w:t xml:space="preserve">AI Strategy &amp; Enterprise</w:t>
            </w:r>
          </w:p>
          <w:p>
            <w:pPr>
              <w:spacing w:after="60" w:before="0"/>
            </w:pPr>
            <w:r>
              <w:rPr>
                <w:rFonts w:ascii="Arial" w:cs="Arial" w:eastAsia="Arial" w:hAnsi="Arial"/>
                <w:i/>
                <w:iCs/>
                <w:color w:val="666666"/>
                <w:sz w:val="16"/>
                <w:szCs w:val="16"/>
              </w:rPr>
              <w:t xml:space="preserve">AI governance · ROI · Responsible AI</w:t>
            </w:r>
          </w:p>
        </w:tc>
      </w:tr>
      <w:tr>
        <w:tc>
          <w:tcPr>
            <w:tcW w:type="dxa" w:w="1600"/>
            <w:tcBorders>
              <w:top w:val="single" w:color="CCCCCC" w:sz="4"/>
              <w:left w:val="single" w:color="CCCCCC" w:sz="4"/>
              <w:bottom w:val="single" w:color="CCCCCC" w:sz="4"/>
              <w:right w:val="single" w:color="CCCCCC" w:sz="4"/>
            </w:tcBorders>
            <w:shd w:fill="FCE8E1" w:val="clear"/>
            <w:tcMar>
              <w:top w:type="dxa" w:w="120"/>
              <w:left w:type="dxa" w:w="120"/>
              <w:bottom w:type="dxa" w:w="120"/>
              <w:right w:type="dxa" w:w="100"/>
            </w:tcMar>
            <w:vAlign w:val="center"/>
          </w:tcPr>
          <w:p>
            <w:r>
              <w:rPr>
                <w:rFonts w:ascii="Arial" w:cs="Arial" w:eastAsia="Arial" w:hAnsi="Arial"/>
                <w:b/>
                <w:bCs/>
                <w:color w:val="6B1D09"/>
                <w:sz w:val="20"/>
                <w:szCs w:val="20"/>
              </w:rPr>
              <w:t xml:space="preserve">Cybersecurity</w:t>
            </w:r>
          </w:p>
          <w:p>
            <w:pPr>
              <w:spacing w:after="0" w:before="40"/>
            </w:pPr>
            <w:r>
              <w:rPr>
                <w:rFonts w:ascii="Arial" w:cs="Arial" w:eastAsia="Arial" w:hAnsi="Arial"/>
                <w:i/>
                <w:iCs/>
                <w:color w:val="6B1D09"/>
                <w:sz w:val="16"/>
                <w:szCs w:val="16"/>
              </w:rPr>
              <w:t xml:space="preserve">L3 – L4 → L7 – L8</w:t>
            </w:r>
          </w:p>
        </w:tc>
        <w:tc>
          <w:tcPr>
            <w:tcW w:type="dxa" w:w="1940"/>
            <w:tcBorders>
              <w:top w:val="single" w:color="CCCCCC" w:sz="4"/>
              <w:left w:val="single" w:color="CCCCCC" w:sz="4"/>
              <w:bottom w:val="single" w:color="CCCCCC" w:sz="4"/>
              <w:right w:val="single" w:color="CCCCCC" w:sz="4"/>
            </w:tcBorders>
            <w:shd w:fill="FCE8E1" w:val="clear"/>
            <w:tcMar>
              <w:top w:type="dxa" w:w="100"/>
              <w:left w:type="dxa" w:w="120"/>
              <w:bottom w:type="dxa" w:w="100"/>
              <w:right w:type="dxa" w:w="120"/>
            </w:tcMar>
            <w:vAlign w:val="top"/>
          </w:tcPr>
          <w:p>
            <w:pPr>
              <w:spacing w:after="60" w:before="0"/>
            </w:pPr>
            <w:r>
              <w:rPr>
                <w:rFonts w:ascii="Arial" w:cs="Arial" w:eastAsia="Arial" w:hAnsi="Arial"/>
                <w:b/>
                <w:bCs/>
                <w:color w:val="6B1D09"/>
                <w:sz w:val="18"/>
                <w:szCs w:val="18"/>
              </w:rPr>
              <w:t xml:space="preserve">Cyber Essentials</w:t>
            </w:r>
          </w:p>
          <w:p>
            <w:pPr>
              <w:spacing w:after="60" w:before="0"/>
            </w:pPr>
            <w:r>
              <w:rPr>
                <w:rFonts w:ascii="Arial" w:cs="Arial" w:eastAsia="Arial" w:hAnsi="Arial"/>
                <w:i/>
                <w:iCs/>
                <w:color w:val="666666"/>
                <w:sz w:val="16"/>
                <w:szCs w:val="16"/>
              </w:rPr>
              <w:t xml:space="preserve">Threats · Safe practices · Passwords</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p>
            <w:pPr>
              <w:spacing w:after="60" w:before="0"/>
            </w:pPr>
            <w:r>
              <w:rPr>
                <w:rFonts w:ascii="Arial" w:cs="Arial" w:eastAsia="Arial" w:hAnsi="Arial"/>
                <w:b/>
                <w:bCs/>
                <w:color w:val="6B1D09"/>
                <w:sz w:val="18"/>
                <w:szCs w:val="18"/>
              </w:rPr>
              <w:t xml:space="preserve">Ethical Hacking</w:t>
            </w:r>
          </w:p>
          <w:p>
            <w:pPr>
              <w:spacing w:after="60" w:before="0"/>
            </w:pPr>
            <w:r>
              <w:rPr>
                <w:rFonts w:ascii="Arial" w:cs="Arial" w:eastAsia="Arial" w:hAnsi="Arial"/>
                <w:i/>
                <w:iCs/>
                <w:color w:val="666666"/>
                <w:sz w:val="16"/>
                <w:szCs w:val="16"/>
              </w:rPr>
              <w:t xml:space="preserve">Kali Linux · Pen testing · CompTIA S+</w:t>
            </w:r>
          </w:p>
        </w:tc>
        <w:tc>
          <w:tcPr>
            <w:tcW w:type="dxa" w:w="1940"/>
            <w:tcBorders>
              <w:top w:val="single" w:color="CCCCCC" w:sz="4"/>
              <w:left w:val="single" w:color="CCCCCC" w:sz="4"/>
              <w:bottom w:val="single" w:color="CCCCCC" w:sz="4"/>
              <w:right w:val="single" w:color="CCCCCC" w:sz="4"/>
            </w:tcBorders>
            <w:shd w:fill="FCE8E1" w:val="clear"/>
            <w:tcMar>
              <w:top w:type="dxa" w:w="100"/>
              <w:left w:type="dxa" w:w="120"/>
              <w:bottom w:type="dxa" w:w="100"/>
              <w:right w:type="dxa" w:w="120"/>
            </w:tcMar>
            <w:vAlign w:val="top"/>
          </w:tcPr>
          <w:p>
            <w:pPr>
              <w:spacing w:after="60" w:before="0"/>
            </w:pPr>
            <w:r>
              <w:rPr>
                <w:rFonts w:ascii="Arial" w:cs="Arial" w:eastAsia="Arial" w:hAnsi="Arial"/>
                <w:b/>
                <w:bCs/>
                <w:color w:val="6B1D09"/>
                <w:sz w:val="18"/>
                <w:szCs w:val="18"/>
              </w:rPr>
              <w:t xml:space="preserve">Security Operations</w:t>
            </w:r>
          </w:p>
          <w:p>
            <w:pPr>
              <w:spacing w:after="60" w:before="0"/>
            </w:pPr>
            <w:r>
              <w:rPr>
                <w:rFonts w:ascii="Arial" w:cs="Arial" w:eastAsia="Arial" w:hAnsi="Arial"/>
                <w:i/>
                <w:iCs/>
                <w:color w:val="666666"/>
                <w:sz w:val="16"/>
                <w:szCs w:val="16"/>
              </w:rPr>
              <w:t xml:space="preserve">SOC · SIEM · Incident response</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p>
            <w:pPr>
              <w:spacing w:after="60" w:before="0"/>
            </w:pPr>
            <w:r>
              <w:rPr>
                <w:rFonts w:ascii="Arial" w:cs="Arial" w:eastAsia="Arial" w:hAnsi="Arial"/>
                <w:b/>
                <w:bCs/>
                <w:color w:val="6B1D09"/>
                <w:sz w:val="18"/>
                <w:szCs w:val="18"/>
              </w:rPr>
              <w:t xml:space="preserve">CISO Programme</w:t>
            </w:r>
          </w:p>
          <w:p>
            <w:pPr>
              <w:spacing w:after="60" w:before="0"/>
            </w:pPr>
            <w:r>
              <w:rPr>
                <w:rFonts w:ascii="Arial" w:cs="Arial" w:eastAsia="Arial" w:hAnsi="Arial"/>
                <w:i/>
                <w:iCs/>
                <w:color w:val="666666"/>
                <w:sz w:val="16"/>
                <w:szCs w:val="16"/>
              </w:rPr>
              <w:t xml:space="preserve">Risk · Compliance · POPIA · ISO 27001</w:t>
            </w:r>
          </w:p>
        </w:tc>
      </w:tr>
      <w:tr>
        <w:tc>
          <w:tcPr>
            <w:tcW w:type="dxa" w:w="1600"/>
            <w:tcBorders>
              <w:top w:val="single" w:color="CCCCCC" w:sz="4"/>
              <w:left w:val="single" w:color="CCCCCC" w:sz="4"/>
              <w:bottom w:val="single" w:color="CCCCCC" w:sz="4"/>
              <w:right w:val="single" w:color="CCCCCC" w:sz="4"/>
            </w:tcBorders>
            <w:shd w:fill="FDF0D5" w:val="clear"/>
            <w:tcMar>
              <w:top w:type="dxa" w:w="120"/>
              <w:left w:type="dxa" w:w="120"/>
              <w:bottom w:type="dxa" w:w="120"/>
              <w:right w:type="dxa" w:w="100"/>
            </w:tcMar>
            <w:vAlign w:val="center"/>
          </w:tcPr>
          <w:p>
            <w:r>
              <w:rPr>
                <w:rFonts w:ascii="Arial" w:cs="Arial" w:eastAsia="Arial" w:hAnsi="Arial"/>
                <w:b/>
                <w:bCs/>
                <w:color w:val="5A3200"/>
                <w:sz w:val="20"/>
                <w:szCs w:val="20"/>
              </w:rPr>
              <w:t xml:space="preserve">Data &amp; Analytics</w:t>
            </w:r>
          </w:p>
          <w:p>
            <w:pPr>
              <w:spacing w:after="0" w:before="40"/>
            </w:pPr>
            <w:r>
              <w:rPr>
                <w:rFonts w:ascii="Arial" w:cs="Arial" w:eastAsia="Arial" w:hAnsi="Arial"/>
                <w:i/>
                <w:iCs/>
                <w:color w:val="5A3200"/>
                <w:sz w:val="16"/>
                <w:szCs w:val="16"/>
              </w:rPr>
              <w:t xml:space="preserve">L3 – L4 → L7 – L8</w:t>
            </w:r>
          </w:p>
        </w:tc>
        <w:tc>
          <w:tcPr>
            <w:tcW w:type="dxa" w:w="194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vAlign w:val="top"/>
          </w:tcPr>
          <w:p>
            <w:pPr>
              <w:spacing w:after="60" w:before="0"/>
            </w:pPr>
            <w:r>
              <w:rPr>
                <w:rFonts w:ascii="Arial" w:cs="Arial" w:eastAsia="Arial" w:hAnsi="Arial"/>
                <w:b/>
                <w:bCs/>
                <w:color w:val="5A3200"/>
                <w:sz w:val="18"/>
                <w:szCs w:val="18"/>
              </w:rPr>
              <w:t xml:space="preserve">Data Literacy</w:t>
            </w:r>
          </w:p>
          <w:p>
            <w:pPr>
              <w:spacing w:after="60" w:before="0"/>
            </w:pPr>
            <w:r>
              <w:rPr>
                <w:rFonts w:ascii="Arial" w:cs="Arial" w:eastAsia="Arial" w:hAnsi="Arial"/>
                <w:i/>
                <w:iCs/>
                <w:color w:val="666666"/>
                <w:sz w:val="16"/>
                <w:szCs w:val="16"/>
              </w:rPr>
              <w:t xml:space="preserve">Spreadsheets · Charts · Basic SQL</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p>
            <w:pPr>
              <w:spacing w:after="60" w:before="0"/>
            </w:pPr>
            <w:r>
              <w:rPr>
                <w:rFonts w:ascii="Arial" w:cs="Arial" w:eastAsia="Arial" w:hAnsi="Arial"/>
                <w:b/>
                <w:bCs/>
                <w:color w:val="5A3200"/>
                <w:sz w:val="18"/>
                <w:szCs w:val="18"/>
              </w:rPr>
              <w:t xml:space="preserve">Data Analysis &amp; BI</w:t>
            </w:r>
          </w:p>
          <w:p>
            <w:pPr>
              <w:spacing w:after="60" w:before="0"/>
            </w:pPr>
            <w:r>
              <w:rPr>
                <w:rFonts w:ascii="Arial" w:cs="Arial" w:eastAsia="Arial" w:hAnsi="Arial"/>
                <w:i/>
                <w:iCs/>
                <w:color w:val="666666"/>
                <w:sz w:val="16"/>
                <w:szCs w:val="16"/>
              </w:rPr>
              <w:t xml:space="preserve">Power BI · Python · Statistics</w:t>
            </w:r>
          </w:p>
        </w:tc>
        <w:tc>
          <w:tcPr>
            <w:tcW w:type="dxa" w:w="194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vAlign w:val="top"/>
          </w:tcPr>
          <w:p>
            <w:pPr>
              <w:spacing w:after="60" w:before="0"/>
            </w:pPr>
            <w:r>
              <w:rPr>
                <w:rFonts w:ascii="Arial" w:cs="Arial" w:eastAsia="Arial" w:hAnsi="Arial"/>
                <w:b/>
                <w:bCs/>
                <w:color w:val="5A3200"/>
                <w:sz w:val="18"/>
                <w:szCs w:val="18"/>
              </w:rPr>
              <w:t xml:space="preserve">Data Engineering</w:t>
            </w:r>
          </w:p>
          <w:p>
            <w:pPr>
              <w:spacing w:after="60" w:before="0"/>
            </w:pPr>
            <w:r>
              <w:rPr>
                <w:rFonts w:ascii="Arial" w:cs="Arial" w:eastAsia="Arial" w:hAnsi="Arial"/>
                <w:i/>
                <w:iCs/>
                <w:color w:val="666666"/>
                <w:sz w:val="16"/>
                <w:szCs w:val="16"/>
              </w:rPr>
              <w:t xml:space="preserve">Pipelines · dbt · Spark · Cloud DW</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p>
            <w:pPr>
              <w:spacing w:after="60" w:before="0"/>
            </w:pPr>
            <w:r>
              <w:rPr>
                <w:rFonts w:ascii="Arial" w:cs="Arial" w:eastAsia="Arial" w:hAnsi="Arial"/>
                <w:b/>
                <w:bCs/>
                <w:color w:val="5A3200"/>
                <w:sz w:val="18"/>
                <w:szCs w:val="18"/>
              </w:rPr>
              <w:t xml:space="preserve">AI-Driven Analytics</w:t>
            </w:r>
          </w:p>
          <w:p>
            <w:pPr>
              <w:spacing w:after="60" w:before="0"/>
            </w:pPr>
            <w:r>
              <w:rPr>
                <w:rFonts w:ascii="Arial" w:cs="Arial" w:eastAsia="Arial" w:hAnsi="Arial"/>
                <w:i/>
                <w:iCs/>
                <w:color w:val="666666"/>
                <w:sz w:val="16"/>
                <w:szCs w:val="16"/>
              </w:rPr>
              <w:t xml:space="preserve">CDO skills · Data mesh · Strategy</w:t>
            </w:r>
          </w:p>
        </w:tc>
      </w:tr>
      <w:tr>
        <w:tc>
          <w:tcPr>
            <w:tcW w:type="dxa" w:w="1600"/>
            <w:tcBorders>
              <w:top w:val="single" w:color="CCCCCC" w:sz="4"/>
              <w:left w:val="single" w:color="CCCCCC" w:sz="4"/>
              <w:bottom w:val="single" w:color="CCCCCC" w:sz="4"/>
              <w:right w:val="single" w:color="CCCCCC" w:sz="4"/>
            </w:tcBorders>
            <w:shd w:fill="D8F2E9" w:val="clear"/>
            <w:tcMar>
              <w:top w:type="dxa" w:w="120"/>
              <w:left w:type="dxa" w:w="120"/>
              <w:bottom w:type="dxa" w:w="120"/>
              <w:right w:type="dxa" w:w="100"/>
            </w:tcMar>
            <w:vAlign w:val="center"/>
          </w:tcPr>
          <w:p>
            <w:r>
              <w:rPr>
                <w:rFonts w:ascii="Arial" w:cs="Arial" w:eastAsia="Arial" w:hAnsi="Arial"/>
                <w:b/>
                <w:bCs/>
                <w:color w:val="044535"/>
                <w:sz w:val="20"/>
                <w:szCs w:val="20"/>
              </w:rPr>
              <w:t xml:space="preserve">Digital Transformation</w:t>
            </w:r>
          </w:p>
          <w:p>
            <w:pPr>
              <w:spacing w:after="0" w:before="40"/>
            </w:pPr>
            <w:r>
              <w:rPr>
                <w:rFonts w:ascii="Arial" w:cs="Arial" w:eastAsia="Arial" w:hAnsi="Arial"/>
                <w:i/>
                <w:iCs/>
                <w:color w:val="044535"/>
                <w:sz w:val="16"/>
                <w:szCs w:val="16"/>
              </w:rPr>
              <w:t xml:space="preserve">L3 – L4 → L7 – L8</w:t>
            </w:r>
          </w:p>
        </w:tc>
        <w:tc>
          <w:tcPr>
            <w:tcW w:type="dxa" w:w="194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vAlign w:val="top"/>
          </w:tcPr>
          <w:p>
            <w:pPr>
              <w:spacing w:after="60" w:before="0"/>
            </w:pPr>
            <w:r>
              <w:rPr>
                <w:rFonts w:ascii="Arial" w:cs="Arial" w:eastAsia="Arial" w:hAnsi="Arial"/>
                <w:b/>
                <w:bCs/>
                <w:color w:val="044535"/>
                <w:sz w:val="18"/>
                <w:szCs w:val="18"/>
              </w:rPr>
              <w:t xml:space="preserve">Digital Literacy for Work</w:t>
            </w:r>
          </w:p>
          <w:p>
            <w:pPr>
              <w:spacing w:after="60" w:before="0"/>
            </w:pPr>
            <w:r>
              <w:rPr>
                <w:rFonts w:ascii="Arial" w:cs="Arial" w:eastAsia="Arial" w:hAnsi="Arial"/>
                <w:i/>
                <w:iCs/>
                <w:color w:val="666666"/>
                <w:sz w:val="16"/>
                <w:szCs w:val="16"/>
              </w:rPr>
              <w:t xml:space="preserve">M365 · Google Workspace · Comms</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p>
            <w:pPr>
              <w:spacing w:after="60" w:before="0"/>
            </w:pPr>
            <w:r>
              <w:rPr>
                <w:rFonts w:ascii="Arial" w:cs="Arial" w:eastAsia="Arial" w:hAnsi="Arial"/>
                <w:b/>
                <w:bCs/>
                <w:color w:val="044535"/>
                <w:sz w:val="18"/>
                <w:szCs w:val="18"/>
              </w:rPr>
              <w:t xml:space="preserve">Process Digitisation</w:t>
            </w:r>
          </w:p>
          <w:p>
            <w:pPr>
              <w:spacing w:after="60" w:before="0"/>
            </w:pPr>
            <w:r>
              <w:rPr>
                <w:rFonts w:ascii="Arial" w:cs="Arial" w:eastAsia="Arial" w:hAnsi="Arial"/>
                <w:i/>
                <w:iCs/>
                <w:color w:val="666666"/>
                <w:sz w:val="16"/>
                <w:szCs w:val="16"/>
              </w:rPr>
              <w:t xml:space="preserve">No-code/low-code · Automation · BPM</w:t>
            </w:r>
          </w:p>
        </w:tc>
        <w:tc>
          <w:tcPr>
            <w:tcW w:type="dxa" w:w="194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vAlign w:val="top"/>
          </w:tcPr>
          <w:p>
            <w:pPr>
              <w:spacing w:after="60" w:before="0"/>
            </w:pPr>
            <w:r>
              <w:rPr>
                <w:rFonts w:ascii="Arial" w:cs="Arial" w:eastAsia="Arial" w:hAnsi="Arial"/>
                <w:b/>
                <w:bCs/>
                <w:color w:val="044535"/>
                <w:sz w:val="18"/>
                <w:szCs w:val="18"/>
              </w:rPr>
              <w:t xml:space="preserve">Digital Transformation Lead</w:t>
            </w:r>
          </w:p>
          <w:p>
            <w:pPr>
              <w:spacing w:after="60" w:before="0"/>
            </w:pPr>
            <w:r>
              <w:rPr>
                <w:rFonts w:ascii="Arial" w:cs="Arial" w:eastAsia="Arial" w:hAnsi="Arial"/>
                <w:i/>
                <w:iCs/>
                <w:color w:val="666666"/>
                <w:sz w:val="16"/>
                <w:szCs w:val="16"/>
              </w:rPr>
              <w:t xml:space="preserve">Change mgmt · DX roadmap · CX</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p>
            <w:pPr>
              <w:spacing w:after="60" w:before="0"/>
            </w:pPr>
            <w:r>
              <w:rPr>
                <w:rFonts w:ascii="Arial" w:cs="Arial" w:eastAsia="Arial" w:hAnsi="Arial"/>
                <w:b/>
                <w:bCs/>
                <w:color w:val="044535"/>
                <w:sz w:val="18"/>
                <w:szCs w:val="18"/>
              </w:rPr>
              <w:t xml:space="preserve">CDO Programme</w:t>
            </w:r>
          </w:p>
          <w:p>
            <w:pPr>
              <w:spacing w:after="60" w:before="0"/>
            </w:pPr>
            <w:r>
              <w:rPr>
                <w:rFonts w:ascii="Arial" w:cs="Arial" w:eastAsia="Arial" w:hAnsi="Arial"/>
                <w:i/>
                <w:iCs/>
                <w:color w:val="666666"/>
                <w:sz w:val="16"/>
                <w:szCs w:val="16"/>
              </w:rPr>
              <w:t xml:space="preserve">Digital strategy · Innovation · KPIs</w:t>
            </w:r>
          </w:p>
        </w:tc>
      </w:tr>
      <w:tr>
        <w:tc>
          <w:tcPr>
            <w:tcW w:type="dxa" w:w="1600"/>
            <w:tcBorders>
              <w:top w:val="single" w:color="CCCCCC" w:sz="4"/>
              <w:left w:val="single" w:color="CCCCCC" w:sz="4"/>
              <w:bottom w:val="single" w:color="CCCCCC" w:sz="4"/>
              <w:right w:val="single" w:color="CCCCCC" w:sz="4"/>
            </w:tcBorders>
            <w:shd w:fill="E4F2D4" w:val="clear"/>
            <w:tcMar>
              <w:top w:type="dxa" w:w="120"/>
              <w:left w:type="dxa" w:w="120"/>
              <w:bottom w:type="dxa" w:w="120"/>
              <w:right w:type="dxa" w:w="100"/>
            </w:tcMar>
            <w:vAlign w:val="center"/>
          </w:tcPr>
          <w:p>
            <w:r>
              <w:rPr>
                <w:rFonts w:ascii="Arial" w:cs="Arial" w:eastAsia="Arial" w:hAnsi="Arial"/>
                <w:b/>
                <w:bCs/>
                <w:color w:val="1A3D07"/>
                <w:sz w:val="20"/>
                <w:szCs w:val="20"/>
              </w:rPr>
              <w:t xml:space="preserve">Software &amp; DevOps</w:t>
            </w:r>
          </w:p>
          <w:p>
            <w:pPr>
              <w:spacing w:after="0" w:before="40"/>
            </w:pPr>
            <w:r>
              <w:rPr>
                <w:rFonts w:ascii="Arial" w:cs="Arial" w:eastAsia="Arial" w:hAnsi="Arial"/>
                <w:i/>
                <w:iCs/>
                <w:color w:val="1A3D07"/>
                <w:sz w:val="16"/>
                <w:szCs w:val="16"/>
              </w:rPr>
              <w:t xml:space="preserve">L3 – L4 → L7 – L8</w:t>
            </w:r>
          </w:p>
        </w:tc>
        <w:tc>
          <w:tcPr>
            <w:tcW w:type="dxa" w:w="1940"/>
            <w:tcBorders>
              <w:top w:val="single" w:color="CCCCCC" w:sz="4"/>
              <w:left w:val="single" w:color="CCCCCC" w:sz="4"/>
              <w:bottom w:val="single" w:color="CCCCCC" w:sz="4"/>
              <w:right w:val="single" w:color="CCCCCC" w:sz="4"/>
            </w:tcBorders>
            <w:shd w:fill="E4F2D4" w:val="clear"/>
            <w:tcMar>
              <w:top w:type="dxa" w:w="100"/>
              <w:left w:type="dxa" w:w="120"/>
              <w:bottom w:type="dxa" w:w="100"/>
              <w:right w:type="dxa" w:w="120"/>
            </w:tcMar>
            <w:vAlign w:val="top"/>
          </w:tcPr>
          <w:p>
            <w:pPr>
              <w:spacing w:after="60" w:before="0"/>
            </w:pPr>
            <w:r>
              <w:rPr>
                <w:rFonts w:ascii="Arial" w:cs="Arial" w:eastAsia="Arial" w:hAnsi="Arial"/>
                <w:b/>
                <w:bCs/>
                <w:color w:val="1A3D07"/>
                <w:sz w:val="18"/>
                <w:szCs w:val="18"/>
              </w:rPr>
              <w:t xml:space="preserve">Code Launchpad</w:t>
            </w:r>
          </w:p>
          <w:p>
            <w:pPr>
              <w:spacing w:after="60" w:before="0"/>
            </w:pPr>
            <w:r>
              <w:rPr>
                <w:rFonts w:ascii="Arial" w:cs="Arial" w:eastAsia="Arial" w:hAnsi="Arial"/>
                <w:i/>
                <w:iCs/>
                <w:color w:val="666666"/>
                <w:sz w:val="16"/>
                <w:szCs w:val="16"/>
              </w:rPr>
              <w:t xml:space="preserve">HTML/CSS · Python · Git · Web basics</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p>
            <w:pPr>
              <w:spacing w:after="60" w:before="0"/>
            </w:pPr>
            <w:r>
              <w:rPr>
                <w:rFonts w:ascii="Arial" w:cs="Arial" w:eastAsia="Arial" w:hAnsi="Arial"/>
                <w:b/>
                <w:bCs/>
                <w:color w:val="1A3D07"/>
                <w:sz w:val="18"/>
                <w:szCs w:val="18"/>
              </w:rPr>
              <w:t xml:space="preserve">Full-Stack Development</w:t>
            </w:r>
          </w:p>
          <w:p>
            <w:pPr>
              <w:spacing w:after="60" w:before="0"/>
            </w:pPr>
            <w:r>
              <w:rPr>
                <w:rFonts w:ascii="Arial" w:cs="Arial" w:eastAsia="Arial" w:hAnsi="Arial"/>
                <w:i/>
                <w:iCs/>
                <w:color w:val="666666"/>
                <w:sz w:val="16"/>
                <w:szCs w:val="16"/>
              </w:rPr>
              <w:t xml:space="preserve">React · Node.js · APIs · Databases</w:t>
            </w:r>
          </w:p>
        </w:tc>
        <w:tc>
          <w:tcPr>
            <w:tcW w:type="dxa" w:w="1940"/>
            <w:tcBorders>
              <w:top w:val="single" w:color="CCCCCC" w:sz="4"/>
              <w:left w:val="single" w:color="CCCCCC" w:sz="4"/>
              <w:bottom w:val="single" w:color="CCCCCC" w:sz="4"/>
              <w:right w:val="single" w:color="CCCCCC" w:sz="4"/>
            </w:tcBorders>
            <w:shd w:fill="E4F2D4" w:val="clear"/>
            <w:tcMar>
              <w:top w:type="dxa" w:w="100"/>
              <w:left w:type="dxa" w:w="120"/>
              <w:bottom w:type="dxa" w:w="100"/>
              <w:right w:type="dxa" w:w="120"/>
            </w:tcMar>
            <w:vAlign w:val="top"/>
          </w:tcPr>
          <w:p>
            <w:pPr>
              <w:spacing w:after="60" w:before="0"/>
            </w:pPr>
            <w:r>
              <w:rPr>
                <w:rFonts w:ascii="Arial" w:cs="Arial" w:eastAsia="Arial" w:hAnsi="Arial"/>
                <w:b/>
                <w:bCs/>
                <w:color w:val="1A3D07"/>
                <w:sz w:val="18"/>
                <w:szCs w:val="18"/>
              </w:rPr>
              <w:t xml:space="preserve">DevOps &amp; Cloud-Native</w:t>
            </w:r>
          </w:p>
          <w:p>
            <w:pPr>
              <w:spacing w:after="60" w:before="0"/>
            </w:pPr>
            <w:r>
              <w:rPr>
                <w:rFonts w:ascii="Arial" w:cs="Arial" w:eastAsia="Arial" w:hAnsi="Arial"/>
                <w:i/>
                <w:iCs/>
                <w:color w:val="666666"/>
                <w:sz w:val="16"/>
                <w:szCs w:val="16"/>
              </w:rPr>
              <w:t xml:space="preserve">Docker · Kubernetes · CI/CD · Terraform</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p>
            <w:pPr>
              <w:spacing w:after="60" w:before="0"/>
            </w:pPr>
            <w:r>
              <w:rPr>
                <w:rFonts w:ascii="Arial" w:cs="Arial" w:eastAsia="Arial" w:hAnsi="Arial"/>
                <w:b/>
                <w:bCs/>
                <w:color w:val="1A3D07"/>
                <w:sz w:val="18"/>
                <w:szCs w:val="18"/>
              </w:rPr>
              <w:t xml:space="preserve">Platform Engineering</w:t>
            </w:r>
          </w:p>
          <w:p>
            <w:pPr>
              <w:spacing w:after="60" w:before="0"/>
            </w:pPr>
            <w:r>
              <w:rPr>
                <w:rFonts w:ascii="Arial" w:cs="Arial" w:eastAsia="Arial" w:hAnsi="Arial"/>
                <w:i/>
                <w:iCs/>
                <w:color w:val="666666"/>
                <w:sz w:val="16"/>
                <w:szCs w:val="16"/>
              </w:rPr>
              <w:t xml:space="preserve">SRE · Internal platforms · FinOps</w:t>
            </w:r>
          </w:p>
        </w:tc>
      </w:tr>
      <w:tr>
        <w:tc>
          <w:tcPr>
            <w:tcW w:type="dxa" w:w="1600"/>
            <w:tcBorders>
              <w:top w:val="single" w:color="CCCCCC" w:sz="4"/>
              <w:left w:val="single" w:color="CCCCCC" w:sz="4"/>
              <w:bottom w:val="single" w:color="CCCCCC" w:sz="4"/>
              <w:right w:val="single" w:color="CCCCCC" w:sz="4"/>
            </w:tcBorders>
            <w:shd w:fill="F8E1EC" w:val="clear"/>
            <w:tcMar>
              <w:top w:type="dxa" w:w="120"/>
              <w:left w:type="dxa" w:w="120"/>
              <w:bottom w:type="dxa" w:w="120"/>
              <w:right w:type="dxa" w:w="100"/>
            </w:tcMar>
            <w:vAlign w:val="center"/>
          </w:tcPr>
          <w:p>
            <w:r>
              <w:rPr>
                <w:rFonts w:ascii="Arial" w:cs="Arial" w:eastAsia="Arial" w:hAnsi="Arial"/>
                <w:b/>
                <w:bCs/>
                <w:color w:val="4A1528"/>
                <w:sz w:val="20"/>
                <w:szCs w:val="20"/>
              </w:rPr>
              <w:t xml:space="preserve">Digital Business</w:t>
            </w:r>
          </w:p>
          <w:p>
            <w:pPr>
              <w:spacing w:after="0" w:before="40"/>
            </w:pPr>
            <w:r>
              <w:rPr>
                <w:rFonts w:ascii="Arial" w:cs="Arial" w:eastAsia="Arial" w:hAnsi="Arial"/>
                <w:i/>
                <w:iCs/>
                <w:color w:val="4A1528"/>
                <w:sz w:val="16"/>
                <w:szCs w:val="16"/>
              </w:rPr>
              <w:t xml:space="preserve">L3 – L4 → L7 – L8</w:t>
            </w:r>
          </w:p>
        </w:tc>
        <w:tc>
          <w:tcPr>
            <w:tcW w:type="dxa" w:w="1940"/>
            <w:tcBorders>
              <w:top w:val="single" w:color="CCCCCC" w:sz="4"/>
              <w:left w:val="single" w:color="CCCCCC" w:sz="4"/>
              <w:bottom w:val="single" w:color="CCCCCC" w:sz="4"/>
              <w:right w:val="single" w:color="CCCCCC" w:sz="4"/>
            </w:tcBorders>
            <w:shd w:fill="F8E1EC" w:val="clear"/>
            <w:tcMar>
              <w:top w:type="dxa" w:w="100"/>
              <w:left w:type="dxa" w:w="120"/>
              <w:bottom w:type="dxa" w:w="100"/>
              <w:right w:type="dxa" w:w="120"/>
            </w:tcMar>
            <w:vAlign w:val="top"/>
          </w:tcPr>
          <w:p>
            <w:pPr>
              <w:spacing w:after="60" w:before="0"/>
            </w:pPr>
            <w:r>
              <w:rPr>
                <w:rFonts w:ascii="Arial" w:cs="Arial" w:eastAsia="Arial" w:hAnsi="Arial"/>
                <w:b/>
                <w:bCs/>
                <w:color w:val="4A1528"/>
                <w:sz w:val="18"/>
                <w:szCs w:val="18"/>
              </w:rPr>
              <w:t xml:space="preserve">Digital Entrepreneurship 101</w:t>
            </w:r>
          </w:p>
          <w:p>
            <w:pPr>
              <w:spacing w:after="60" w:before="0"/>
            </w:pPr>
            <w:r>
              <w:rPr>
                <w:rFonts w:ascii="Arial" w:cs="Arial" w:eastAsia="Arial" w:hAnsi="Arial"/>
                <w:i/>
                <w:iCs/>
                <w:color w:val="666666"/>
                <w:sz w:val="16"/>
                <w:szCs w:val="16"/>
              </w:rPr>
              <w:t xml:space="preserve">Business model · Online presence · SEO</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p>
            <w:pPr>
              <w:spacing w:after="60" w:before="0"/>
            </w:pPr>
            <w:r>
              <w:rPr>
                <w:rFonts w:ascii="Arial" w:cs="Arial" w:eastAsia="Arial" w:hAnsi="Arial"/>
                <w:b/>
                <w:bCs/>
                <w:color w:val="4A1528"/>
                <w:sz w:val="18"/>
                <w:szCs w:val="18"/>
              </w:rPr>
              <w:t xml:space="preserve">E-Commerce &amp; Marketing</w:t>
            </w:r>
          </w:p>
          <w:p>
            <w:pPr>
              <w:spacing w:after="60" w:before="0"/>
            </w:pPr>
            <w:r>
              <w:rPr>
                <w:rFonts w:ascii="Arial" w:cs="Arial" w:eastAsia="Arial" w:hAnsi="Arial"/>
                <w:i/>
                <w:iCs/>
                <w:color w:val="666666"/>
                <w:sz w:val="16"/>
                <w:szCs w:val="16"/>
              </w:rPr>
              <w:t xml:space="preserve">Shopify · Ads · Social · Analytics</w:t>
            </w:r>
          </w:p>
        </w:tc>
        <w:tc>
          <w:tcPr>
            <w:tcW w:type="dxa" w:w="1940"/>
            <w:tcBorders>
              <w:top w:val="single" w:color="CCCCCC" w:sz="4"/>
              <w:left w:val="single" w:color="CCCCCC" w:sz="4"/>
              <w:bottom w:val="single" w:color="CCCCCC" w:sz="4"/>
              <w:right w:val="single" w:color="CCCCCC" w:sz="4"/>
            </w:tcBorders>
            <w:shd w:fill="F8E1EC" w:val="clear"/>
            <w:tcMar>
              <w:top w:type="dxa" w:w="100"/>
              <w:left w:type="dxa" w:w="120"/>
              <w:bottom w:type="dxa" w:w="100"/>
              <w:right w:type="dxa" w:w="120"/>
            </w:tcMar>
            <w:vAlign w:val="top"/>
          </w:tcPr>
          <w:p>
            <w:pPr>
              <w:spacing w:after="60" w:before="0"/>
            </w:pPr>
            <w:r>
              <w:rPr>
                <w:rFonts w:ascii="Arial" w:cs="Arial" w:eastAsia="Arial" w:hAnsi="Arial"/>
                <w:b/>
                <w:bCs/>
                <w:color w:val="4A1528"/>
                <w:sz w:val="18"/>
                <w:szCs w:val="18"/>
              </w:rPr>
              <w:t xml:space="preserve">Digital Business Strategy</w:t>
            </w:r>
          </w:p>
          <w:p>
            <w:pPr>
              <w:spacing w:after="60" w:before="0"/>
            </w:pPr>
            <w:r>
              <w:rPr>
                <w:rFonts w:ascii="Arial" w:cs="Arial" w:eastAsia="Arial" w:hAnsi="Arial"/>
                <w:i/>
                <w:iCs/>
                <w:color w:val="666666"/>
                <w:sz w:val="16"/>
                <w:szCs w:val="16"/>
              </w:rPr>
              <w:t xml:space="preserve">Product mgmt · Growth · Monetisation</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p>
            <w:pPr>
              <w:spacing w:after="60" w:before="0"/>
            </w:pPr>
            <w:r>
              <w:rPr>
                <w:rFonts w:ascii="Arial" w:cs="Arial" w:eastAsia="Arial" w:hAnsi="Arial"/>
                <w:b/>
                <w:bCs/>
                <w:color w:val="4A1528"/>
                <w:sz w:val="18"/>
                <w:szCs w:val="18"/>
              </w:rPr>
              <w:t xml:space="preserve">Innovation &amp; Ventures</w:t>
            </w:r>
          </w:p>
          <w:p>
            <w:pPr>
              <w:spacing w:after="60" w:before="0"/>
            </w:pPr>
            <w:r>
              <w:rPr>
                <w:rFonts w:ascii="Arial" w:cs="Arial" w:eastAsia="Arial" w:hAnsi="Arial"/>
                <w:i/>
                <w:iCs/>
                <w:color w:val="666666"/>
                <w:sz w:val="16"/>
                <w:szCs w:val="16"/>
              </w:rPr>
              <w:t xml:space="preserve">Funding · Scaling · African markets</w:t>
            </w:r>
          </w:p>
        </w:tc>
      </w:tr>
    </w:tbl>
    <w:p>
      <w:pPr>
        <w:spacing w:after="0" w:before="0"/>
      </w:pPr>
    </w:p>
    <w:p>
      <w:pPr>
        <w:sectPr>
          <w:footerReference w:type="default" r:id="rId8"/>
          <w:pgSz w:w="15840" w:h="12240" w:orient="landscape"/>
          <w:pgMar w:top="1080" w:right="1080" w:bottom="1000" w:left="1080" w:header="708" w:footer="708" w:gutter="0"/>
          <w:pgNumType/>
          <w:docGrid w:linePitch="360"/>
        </w:sectPr>
      </w:pPr>
    </w:p>
    <w:p>
      <w:r>
        <w:br w:type="page"/>
      </w:r>
    </w:p>
    <w:p>
      <w:pPr>
        <w:pStyle w:val="Heading1"/>
        <w:spacing w:after="200" w:before="240"/>
      </w:pPr>
      <w:r>
        <w:rPr>
          <w:rFonts w:ascii="Arial" w:cs="Arial" w:eastAsia="Arial" w:hAnsi="Arial"/>
          <w:b/>
          <w:bCs/>
          <w:color w:val="1A1A2E"/>
          <w:sz w:val="28"/>
          <w:szCs w:val="28"/>
        </w:rPr>
        <w:t xml:space="preserve">5. Course Catalogue</w:t>
      </w:r>
    </w:p>
    <w:p>
      <w:pPr>
        <w:spacing w:after="240" w:before="0"/>
        <w:jc w:val="left"/>
      </w:pPr>
      <w:r>
        <w:rPr>
          <w:rFonts w:ascii="Arial" w:cs="Arial" w:eastAsia="Arial" w:hAnsi="Arial"/>
          <w:b w:val="false"/>
          <w:bCs w:val="false"/>
          <w:i w:val="false"/>
          <w:iCs w:val="false"/>
          <w:color w:val="000000"/>
          <w:sz w:val="22"/>
          <w:szCs w:val="22"/>
        </w:rPr>
        <w:t xml:space="preserve">Brief descriptions for all 28 courses across the seven tracks are provided below. Detailed lesson plans, assessments and unit standard mappings are developed per course during subsequent phases.</w:t>
      </w:r>
    </w:p>
    <w:p>
      <w:pPr>
        <w:pStyle w:val="Heading2"/>
        <w:pBdr>
          <w:bottom w:val="single" w:color="1B4F8A" w:sz="6" w:space="1"/>
        </w:pBdr>
        <w:spacing w:after="120" w:before="280"/>
      </w:pPr>
      <w:r>
        <w:rPr>
          <w:rFonts w:ascii="Arial" w:cs="Arial" w:eastAsia="Arial" w:hAnsi="Arial"/>
          <w:b/>
          <w:bCs/>
          <w:color w:val="1A1A2E"/>
          <w:sz w:val="24"/>
          <w:szCs w:val="24"/>
        </w:rPr>
        <w:t xml:space="preserve">Track 1: Cloud Computing</w:t>
      </w:r>
    </w:p>
    <w:p>
      <w:pPr>
        <w:spacing w:after="40" w:before="160"/>
      </w:pPr>
      <w:r>
        <w:rPr>
          <w:rFonts w:ascii="Arial" w:cs="Arial" w:eastAsia="Arial" w:hAnsi="Arial"/>
          <w:b/>
          <w:bCs/>
          <w:color w:val="1B4F8A"/>
          <w:sz w:val="20"/>
          <w:szCs w:val="20"/>
        </w:rPr>
        <w:t xml:space="preserve">Foundation: </w:t>
      </w:r>
      <w:r>
        <w:rPr>
          <w:rFonts w:ascii="Arial" w:cs="Arial" w:eastAsia="Arial" w:hAnsi="Arial"/>
          <w:b/>
          <w:bCs/>
          <w:color w:val="1A1A2E"/>
          <w:sz w:val="20"/>
          <w:szCs w:val="20"/>
        </w:rPr>
        <w:t xml:space="preserve">Cloud Launchpad</w:t>
      </w:r>
    </w:p>
    <w:p>
      <w:pPr>
        <w:spacing w:after="100" w:before="0"/>
        <w:jc w:val="left"/>
      </w:pPr>
      <w:r>
        <w:rPr>
          <w:rFonts w:ascii="Arial" w:cs="Arial" w:eastAsia="Arial" w:hAnsi="Arial"/>
          <w:b w:val="false"/>
          <w:bCs w:val="false"/>
          <w:i w:val="false"/>
          <w:iCs w:val="false"/>
          <w:color w:val="666666"/>
          <w:sz w:val="20"/>
          <w:szCs w:val="20"/>
        </w:rPr>
        <w:t xml:space="preserve">AWS/Azure/GCP fundamentals, Linux CLI, IP networking, cloud security intro. SETA-aligned unit standards.</w:t>
      </w:r>
    </w:p>
    <w:p>
      <w:pPr>
        <w:spacing w:after="40" w:before="160"/>
      </w:pPr>
      <w:r>
        <w:rPr>
          <w:rFonts w:ascii="Arial" w:cs="Arial" w:eastAsia="Arial" w:hAnsi="Arial"/>
          <w:b/>
          <w:bCs/>
          <w:color w:val="1B4F8A"/>
          <w:sz w:val="20"/>
          <w:szCs w:val="20"/>
        </w:rPr>
        <w:t xml:space="preserve">Associate: </w:t>
      </w:r>
      <w:r>
        <w:rPr>
          <w:rFonts w:ascii="Arial" w:cs="Arial" w:eastAsia="Arial" w:hAnsi="Arial"/>
          <w:b/>
          <w:bCs/>
          <w:color w:val="1A1A2E"/>
          <w:sz w:val="20"/>
          <w:szCs w:val="20"/>
        </w:rPr>
        <w:t xml:space="preserve">Cloud Practitioner Pro</w:t>
      </w:r>
    </w:p>
    <w:p>
      <w:pPr>
        <w:spacing w:after="100" w:before="0"/>
        <w:jc w:val="left"/>
      </w:pPr>
      <w:r>
        <w:rPr>
          <w:rFonts w:ascii="Arial" w:cs="Arial" w:eastAsia="Arial" w:hAnsi="Arial"/>
          <w:b w:val="false"/>
          <w:bCs w:val="false"/>
          <w:i w:val="false"/>
          <w:iCs w:val="false"/>
          <w:color w:val="666666"/>
          <w:sz w:val="20"/>
          <w:szCs w:val="20"/>
        </w:rPr>
        <w:t xml:space="preserve">Preparation for AWS Cloud Practitioner &amp; AZ-900. Identity management, virtual machines, blob/S3 storage.</w:t>
      </w:r>
    </w:p>
    <w:p>
      <w:pPr>
        <w:spacing w:after="40" w:before="160"/>
      </w:pPr>
      <w:r>
        <w:rPr>
          <w:rFonts w:ascii="Arial" w:cs="Arial" w:eastAsia="Arial" w:hAnsi="Arial"/>
          <w:b/>
          <w:bCs/>
          <w:color w:val="1B4F8A"/>
          <w:sz w:val="20"/>
          <w:szCs w:val="20"/>
        </w:rPr>
        <w:t xml:space="preserve">Professional: </w:t>
      </w:r>
      <w:r>
        <w:rPr>
          <w:rFonts w:ascii="Arial" w:cs="Arial" w:eastAsia="Arial" w:hAnsi="Arial"/>
          <w:b/>
          <w:bCs/>
          <w:color w:val="1A1A2E"/>
          <w:sz w:val="20"/>
          <w:szCs w:val="20"/>
        </w:rPr>
        <w:t xml:space="preserve">Cloud Architect</w:t>
      </w:r>
    </w:p>
    <w:p>
      <w:pPr>
        <w:spacing w:after="100" w:before="0"/>
        <w:jc w:val="left"/>
      </w:pPr>
      <w:r>
        <w:rPr>
          <w:rFonts w:ascii="Arial" w:cs="Arial" w:eastAsia="Arial" w:hAnsi="Arial"/>
          <w:b w:val="false"/>
          <w:bCs w:val="false"/>
          <w:i w:val="false"/>
          <w:iCs w:val="false"/>
          <w:color w:val="666666"/>
          <w:sz w:val="20"/>
          <w:szCs w:val="20"/>
        </w:rPr>
        <w:t xml:space="preserve">Well-Architected Framework, multi-AZ design, disaster recovery, cloud cost governance.</w:t>
      </w:r>
    </w:p>
    <w:p>
      <w:pPr>
        <w:spacing w:after="40" w:before="160"/>
      </w:pPr>
      <w:r>
        <w:rPr>
          <w:rFonts w:ascii="Arial" w:cs="Arial" w:eastAsia="Arial" w:hAnsi="Arial"/>
          <w:b/>
          <w:bCs/>
          <w:color w:val="1B4F8A"/>
          <w:sz w:val="20"/>
          <w:szCs w:val="20"/>
        </w:rPr>
        <w:t xml:space="preserve">Enterprise: </w:t>
      </w:r>
      <w:r>
        <w:rPr>
          <w:rFonts w:ascii="Arial" w:cs="Arial" w:eastAsia="Arial" w:hAnsi="Arial"/>
          <w:b/>
          <w:bCs/>
          <w:color w:val="1A1A2E"/>
          <w:sz w:val="20"/>
          <w:szCs w:val="20"/>
        </w:rPr>
        <w:t xml:space="preserve">Multi-Cloud Enterprise</w:t>
      </w:r>
    </w:p>
    <w:p>
      <w:pPr>
        <w:spacing w:after="100" w:before="0"/>
        <w:jc w:val="left"/>
      </w:pPr>
      <w:r>
        <w:rPr>
          <w:rFonts w:ascii="Arial" w:cs="Arial" w:eastAsia="Arial" w:hAnsi="Arial"/>
          <w:b w:val="false"/>
          <w:bCs w:val="false"/>
          <w:i w:val="false"/>
          <w:iCs w:val="false"/>
          <w:color w:val="666666"/>
          <w:sz w:val="20"/>
          <w:szCs w:val="20"/>
        </w:rPr>
        <w:t xml:space="preserve">Enterprise cloud strategy, landing zone deployment, multi-cloud governance, FinOps practices.</w:t>
      </w:r>
    </w:p>
    <w:p>
      <w:pPr>
        <w:pStyle w:val="Heading2"/>
        <w:pBdr>
          <w:bottom w:val="single" w:color="1B4F8A" w:sz="6" w:space="1"/>
        </w:pBdr>
        <w:spacing w:after="120" w:before="280"/>
      </w:pPr>
      <w:r>
        <w:rPr>
          <w:rFonts w:ascii="Arial" w:cs="Arial" w:eastAsia="Arial" w:hAnsi="Arial"/>
          <w:b/>
          <w:bCs/>
          <w:color w:val="1A1A2E"/>
          <w:sz w:val="24"/>
          <w:szCs w:val="24"/>
        </w:rPr>
        <w:t xml:space="preserve">Track 2: AI &amp; Machine Learning</w:t>
      </w:r>
    </w:p>
    <w:p>
      <w:pPr>
        <w:spacing w:after="40" w:before="160"/>
      </w:pPr>
      <w:r>
        <w:rPr>
          <w:rFonts w:ascii="Arial" w:cs="Arial" w:eastAsia="Arial" w:hAnsi="Arial"/>
          <w:b/>
          <w:bCs/>
          <w:color w:val="1B4F8A"/>
          <w:sz w:val="20"/>
          <w:szCs w:val="20"/>
        </w:rPr>
        <w:t xml:space="preserve">Foundation: </w:t>
      </w:r>
      <w:r>
        <w:rPr>
          <w:rFonts w:ascii="Arial" w:cs="Arial" w:eastAsia="Arial" w:hAnsi="Arial"/>
          <w:b/>
          <w:bCs/>
          <w:color w:val="1A1A2E"/>
          <w:sz w:val="20"/>
          <w:szCs w:val="20"/>
        </w:rPr>
        <w:t xml:space="preserve">AI Fundamentals</w:t>
      </w:r>
    </w:p>
    <w:p>
      <w:pPr>
        <w:spacing w:after="100" w:before="0"/>
        <w:jc w:val="left"/>
      </w:pPr>
      <w:r>
        <w:rPr>
          <w:rFonts w:ascii="Arial" w:cs="Arial" w:eastAsia="Arial" w:hAnsi="Arial"/>
          <w:b w:val="false"/>
          <w:bCs w:val="false"/>
          <w:i w:val="false"/>
          <w:iCs w:val="false"/>
          <w:color w:val="666666"/>
          <w:sz w:val="20"/>
          <w:szCs w:val="20"/>
        </w:rPr>
        <w:t xml:space="preserve">Introduction to AI concepts, generative AI, prompt engineering, AI ethics and responsible use.</w:t>
      </w:r>
    </w:p>
    <w:p>
      <w:pPr>
        <w:spacing w:after="40" w:before="160"/>
      </w:pPr>
      <w:r>
        <w:rPr>
          <w:rFonts w:ascii="Arial" w:cs="Arial" w:eastAsia="Arial" w:hAnsi="Arial"/>
          <w:b/>
          <w:bCs/>
          <w:color w:val="1B4F8A"/>
          <w:sz w:val="20"/>
          <w:szCs w:val="20"/>
        </w:rPr>
        <w:t xml:space="preserve">Associate: </w:t>
      </w:r>
      <w:r>
        <w:rPr>
          <w:rFonts w:ascii="Arial" w:cs="Arial" w:eastAsia="Arial" w:hAnsi="Arial"/>
          <w:b/>
          <w:bCs/>
          <w:color w:val="1A1A2E"/>
          <w:sz w:val="20"/>
          <w:szCs w:val="20"/>
        </w:rPr>
        <w:t xml:space="preserve">ML Essentials</w:t>
      </w:r>
    </w:p>
    <w:p>
      <w:pPr>
        <w:spacing w:after="100" w:before="0"/>
        <w:jc w:val="left"/>
      </w:pPr>
      <w:r>
        <w:rPr>
          <w:rFonts w:ascii="Arial" w:cs="Arial" w:eastAsia="Arial" w:hAnsi="Arial"/>
          <w:b w:val="false"/>
          <w:bCs w:val="false"/>
          <w:i w:val="false"/>
          <w:iCs w:val="false"/>
          <w:color w:val="666666"/>
          <w:sz w:val="20"/>
          <w:szCs w:val="20"/>
        </w:rPr>
        <w:t xml:space="preserve">Supervised/unsupervised learning, feature engineering, model selection, Python ML toolchain.</w:t>
      </w:r>
    </w:p>
    <w:p>
      <w:pPr>
        <w:spacing w:after="40" w:before="160"/>
      </w:pPr>
      <w:r>
        <w:rPr>
          <w:rFonts w:ascii="Arial" w:cs="Arial" w:eastAsia="Arial" w:hAnsi="Arial"/>
          <w:b/>
          <w:bCs/>
          <w:color w:val="1B4F8A"/>
          <w:sz w:val="20"/>
          <w:szCs w:val="20"/>
        </w:rPr>
        <w:t xml:space="preserve">Professional: </w:t>
      </w:r>
      <w:r>
        <w:rPr>
          <w:rFonts w:ascii="Arial" w:cs="Arial" w:eastAsia="Arial" w:hAnsi="Arial"/>
          <w:b/>
          <w:bCs/>
          <w:color w:val="1A1A2E"/>
          <w:sz w:val="20"/>
          <w:szCs w:val="20"/>
        </w:rPr>
        <w:t xml:space="preserve">Applied AI Engineering</w:t>
      </w:r>
    </w:p>
    <w:p>
      <w:pPr>
        <w:spacing w:after="100" w:before="0"/>
        <w:jc w:val="left"/>
      </w:pPr>
      <w:r>
        <w:rPr>
          <w:rFonts w:ascii="Arial" w:cs="Arial" w:eastAsia="Arial" w:hAnsi="Arial"/>
          <w:b w:val="false"/>
          <w:bCs w:val="false"/>
          <w:i w:val="false"/>
          <w:iCs w:val="false"/>
          <w:color w:val="666666"/>
          <w:sz w:val="20"/>
          <w:szCs w:val="20"/>
        </w:rPr>
        <w:t xml:space="preserve">Building LLM-powered applications, retrieval-augmented generation, API integration, model deployment.</w:t>
      </w:r>
    </w:p>
    <w:p>
      <w:pPr>
        <w:spacing w:after="40" w:before="160"/>
      </w:pPr>
      <w:r>
        <w:rPr>
          <w:rFonts w:ascii="Arial" w:cs="Arial" w:eastAsia="Arial" w:hAnsi="Arial"/>
          <w:b/>
          <w:bCs/>
          <w:color w:val="1B4F8A"/>
          <w:sz w:val="20"/>
          <w:szCs w:val="20"/>
        </w:rPr>
        <w:t xml:space="preserve">Enterprise: </w:t>
      </w:r>
      <w:r>
        <w:rPr>
          <w:rFonts w:ascii="Arial" w:cs="Arial" w:eastAsia="Arial" w:hAnsi="Arial"/>
          <w:b/>
          <w:bCs/>
          <w:color w:val="1A1A2E"/>
          <w:sz w:val="20"/>
          <w:szCs w:val="20"/>
        </w:rPr>
        <w:t xml:space="preserve">AI Strategy &amp; Enterprise</w:t>
      </w:r>
    </w:p>
    <w:p>
      <w:pPr>
        <w:spacing w:after="100" w:before="0"/>
        <w:jc w:val="left"/>
      </w:pPr>
      <w:r>
        <w:rPr>
          <w:rFonts w:ascii="Arial" w:cs="Arial" w:eastAsia="Arial" w:hAnsi="Arial"/>
          <w:b w:val="false"/>
          <w:bCs w:val="false"/>
          <w:i w:val="false"/>
          <w:iCs w:val="false"/>
          <w:color w:val="666666"/>
          <w:sz w:val="20"/>
          <w:szCs w:val="20"/>
        </w:rPr>
        <w:t xml:space="preserve">Enterprise AI adoption, risk frameworks, AI KPIs, regulatory compliance, bias mitigation.</w:t>
      </w:r>
    </w:p>
    <w:p>
      <w:pPr>
        <w:pStyle w:val="Heading2"/>
        <w:pBdr>
          <w:bottom w:val="single" w:color="1B4F8A" w:sz="6" w:space="1"/>
        </w:pBdr>
        <w:spacing w:after="120" w:before="280"/>
      </w:pPr>
      <w:r>
        <w:rPr>
          <w:rFonts w:ascii="Arial" w:cs="Arial" w:eastAsia="Arial" w:hAnsi="Arial"/>
          <w:b/>
          <w:bCs/>
          <w:color w:val="1A1A2E"/>
          <w:sz w:val="24"/>
          <w:szCs w:val="24"/>
        </w:rPr>
        <w:t xml:space="preserve">Track 3: Cybersecurity</w:t>
      </w:r>
    </w:p>
    <w:p>
      <w:pPr>
        <w:spacing w:after="40" w:before="160"/>
      </w:pPr>
      <w:r>
        <w:rPr>
          <w:rFonts w:ascii="Arial" w:cs="Arial" w:eastAsia="Arial" w:hAnsi="Arial"/>
          <w:b/>
          <w:bCs/>
          <w:color w:val="1B4F8A"/>
          <w:sz w:val="20"/>
          <w:szCs w:val="20"/>
        </w:rPr>
        <w:t xml:space="preserve">Foundation: </w:t>
      </w:r>
      <w:r>
        <w:rPr>
          <w:rFonts w:ascii="Arial" w:cs="Arial" w:eastAsia="Arial" w:hAnsi="Arial"/>
          <w:b/>
          <w:bCs/>
          <w:color w:val="1A1A2E"/>
          <w:sz w:val="20"/>
          <w:szCs w:val="20"/>
        </w:rPr>
        <w:t xml:space="preserve">Cyber Essentials</w:t>
      </w:r>
    </w:p>
    <w:p>
      <w:pPr>
        <w:spacing w:after="100" w:before="0"/>
        <w:jc w:val="left"/>
      </w:pPr>
      <w:r>
        <w:rPr>
          <w:rFonts w:ascii="Arial" w:cs="Arial" w:eastAsia="Arial" w:hAnsi="Arial"/>
          <w:b w:val="false"/>
          <w:bCs w:val="false"/>
          <w:i w:val="false"/>
          <w:iCs w:val="false"/>
          <w:color w:val="666666"/>
          <w:sz w:val="20"/>
          <w:szCs w:val="20"/>
        </w:rPr>
        <w:t xml:space="preserve">Cyber threat landscape, safe browsing, password hygiene, phishing awareness, home/work security.</w:t>
      </w:r>
    </w:p>
    <w:p>
      <w:pPr>
        <w:spacing w:after="40" w:before="160"/>
      </w:pPr>
      <w:r>
        <w:rPr>
          <w:rFonts w:ascii="Arial" w:cs="Arial" w:eastAsia="Arial" w:hAnsi="Arial"/>
          <w:b/>
          <w:bCs/>
          <w:color w:val="1B4F8A"/>
          <w:sz w:val="20"/>
          <w:szCs w:val="20"/>
        </w:rPr>
        <w:t xml:space="preserve">Associate: </w:t>
      </w:r>
      <w:r>
        <w:rPr>
          <w:rFonts w:ascii="Arial" w:cs="Arial" w:eastAsia="Arial" w:hAnsi="Arial"/>
          <w:b/>
          <w:bCs/>
          <w:color w:val="1A1A2E"/>
          <w:sz w:val="20"/>
          <w:szCs w:val="20"/>
        </w:rPr>
        <w:t xml:space="preserve">Ethical Hacking</w:t>
      </w:r>
    </w:p>
    <w:p>
      <w:pPr>
        <w:spacing w:after="100" w:before="0"/>
        <w:jc w:val="left"/>
      </w:pPr>
      <w:r>
        <w:rPr>
          <w:rFonts w:ascii="Arial" w:cs="Arial" w:eastAsia="Arial" w:hAnsi="Arial"/>
          <w:b w:val="false"/>
          <w:bCs w:val="false"/>
          <w:i w:val="false"/>
          <w:iCs w:val="false"/>
          <w:color w:val="666666"/>
          <w:sz w:val="20"/>
          <w:szCs w:val="20"/>
        </w:rPr>
        <w:t xml:space="preserve">Reconnaissance, vulnerability scanning, exploitation basics, CompTIA Security+ exam prep.</w:t>
      </w:r>
    </w:p>
    <w:p>
      <w:pPr>
        <w:spacing w:after="40" w:before="160"/>
      </w:pPr>
      <w:r>
        <w:rPr>
          <w:rFonts w:ascii="Arial" w:cs="Arial" w:eastAsia="Arial" w:hAnsi="Arial"/>
          <w:b/>
          <w:bCs/>
          <w:color w:val="1B4F8A"/>
          <w:sz w:val="20"/>
          <w:szCs w:val="20"/>
        </w:rPr>
        <w:t xml:space="preserve">Professional: </w:t>
      </w:r>
      <w:r>
        <w:rPr>
          <w:rFonts w:ascii="Arial" w:cs="Arial" w:eastAsia="Arial" w:hAnsi="Arial"/>
          <w:b/>
          <w:bCs/>
          <w:color w:val="1A1A2E"/>
          <w:sz w:val="20"/>
          <w:szCs w:val="20"/>
        </w:rPr>
        <w:t xml:space="preserve">Security Operations</w:t>
      </w:r>
    </w:p>
    <w:p>
      <w:pPr>
        <w:spacing w:after="100" w:before="0"/>
        <w:jc w:val="left"/>
      </w:pPr>
      <w:r>
        <w:rPr>
          <w:rFonts w:ascii="Arial" w:cs="Arial" w:eastAsia="Arial" w:hAnsi="Arial"/>
          <w:b w:val="false"/>
          <w:bCs w:val="false"/>
          <w:i w:val="false"/>
          <w:iCs w:val="false"/>
          <w:color w:val="666666"/>
          <w:sz w:val="20"/>
          <w:szCs w:val="20"/>
        </w:rPr>
        <w:t xml:space="preserve">Security operations centre workflow, SIEM tools, log analysis, incident detection &amp; response.</w:t>
      </w:r>
    </w:p>
    <w:p>
      <w:pPr>
        <w:spacing w:after="40" w:before="160"/>
      </w:pPr>
      <w:r>
        <w:rPr>
          <w:rFonts w:ascii="Arial" w:cs="Arial" w:eastAsia="Arial" w:hAnsi="Arial"/>
          <w:b/>
          <w:bCs/>
          <w:color w:val="1B4F8A"/>
          <w:sz w:val="20"/>
          <w:szCs w:val="20"/>
        </w:rPr>
        <w:t xml:space="preserve">Enterprise: </w:t>
      </w:r>
      <w:r>
        <w:rPr>
          <w:rFonts w:ascii="Arial" w:cs="Arial" w:eastAsia="Arial" w:hAnsi="Arial"/>
          <w:b/>
          <w:bCs/>
          <w:color w:val="1A1A2E"/>
          <w:sz w:val="20"/>
          <w:szCs w:val="20"/>
        </w:rPr>
        <w:t xml:space="preserve">CISO Programme</w:t>
      </w:r>
    </w:p>
    <w:p>
      <w:pPr>
        <w:spacing w:after="100" w:before="0"/>
        <w:jc w:val="left"/>
      </w:pPr>
      <w:r>
        <w:rPr>
          <w:rFonts w:ascii="Arial" w:cs="Arial" w:eastAsia="Arial" w:hAnsi="Arial"/>
          <w:b w:val="false"/>
          <w:bCs w:val="false"/>
          <w:i w:val="false"/>
          <w:iCs w:val="false"/>
          <w:color w:val="666666"/>
          <w:sz w:val="20"/>
          <w:szCs w:val="20"/>
        </w:rPr>
        <w:t xml:space="preserve">Enterprise security strategy, POPIA compliance, ISO 27001 implementation, board reporting.</w:t>
      </w:r>
    </w:p>
    <w:p>
      <w:pPr>
        <w:pStyle w:val="Heading2"/>
        <w:pBdr>
          <w:bottom w:val="single" w:color="1B4F8A" w:sz="6" w:space="1"/>
        </w:pBdr>
        <w:spacing w:after="120" w:before="280"/>
      </w:pPr>
      <w:r>
        <w:rPr>
          <w:rFonts w:ascii="Arial" w:cs="Arial" w:eastAsia="Arial" w:hAnsi="Arial"/>
          <w:b/>
          <w:bCs/>
          <w:color w:val="1A1A2E"/>
          <w:sz w:val="24"/>
          <w:szCs w:val="24"/>
        </w:rPr>
        <w:t xml:space="preserve">Track 4: Data &amp; Analytics</w:t>
      </w:r>
    </w:p>
    <w:p>
      <w:pPr>
        <w:spacing w:after="40" w:before="160"/>
      </w:pPr>
      <w:r>
        <w:rPr>
          <w:rFonts w:ascii="Arial" w:cs="Arial" w:eastAsia="Arial" w:hAnsi="Arial"/>
          <w:b/>
          <w:bCs/>
          <w:color w:val="1B4F8A"/>
          <w:sz w:val="20"/>
          <w:szCs w:val="20"/>
        </w:rPr>
        <w:t xml:space="preserve">Foundation: </w:t>
      </w:r>
      <w:r>
        <w:rPr>
          <w:rFonts w:ascii="Arial" w:cs="Arial" w:eastAsia="Arial" w:hAnsi="Arial"/>
          <w:b/>
          <w:bCs/>
          <w:color w:val="1A1A2E"/>
          <w:sz w:val="20"/>
          <w:szCs w:val="20"/>
        </w:rPr>
        <w:t xml:space="preserve">Data Literacy</w:t>
      </w:r>
    </w:p>
    <w:p>
      <w:pPr>
        <w:spacing w:after="100" w:before="0"/>
        <w:jc w:val="left"/>
      </w:pPr>
      <w:r>
        <w:rPr>
          <w:rFonts w:ascii="Arial" w:cs="Arial" w:eastAsia="Arial" w:hAnsi="Arial"/>
          <w:b w:val="false"/>
          <w:bCs w:val="false"/>
          <w:i w:val="false"/>
          <w:iCs w:val="false"/>
          <w:color w:val="666666"/>
          <w:sz w:val="20"/>
          <w:szCs w:val="20"/>
        </w:rPr>
        <w:t xml:space="preserve">Reading and interpreting data, Excel/Sheets, basic SQL queries, chart design, data storytelling.</w:t>
      </w:r>
    </w:p>
    <w:p>
      <w:pPr>
        <w:spacing w:after="40" w:before="160"/>
      </w:pPr>
      <w:r>
        <w:rPr>
          <w:rFonts w:ascii="Arial" w:cs="Arial" w:eastAsia="Arial" w:hAnsi="Arial"/>
          <w:b/>
          <w:bCs/>
          <w:color w:val="1B4F8A"/>
          <w:sz w:val="20"/>
          <w:szCs w:val="20"/>
        </w:rPr>
        <w:t xml:space="preserve">Associate: </w:t>
      </w:r>
      <w:r>
        <w:rPr>
          <w:rFonts w:ascii="Arial" w:cs="Arial" w:eastAsia="Arial" w:hAnsi="Arial"/>
          <w:b/>
          <w:bCs/>
          <w:color w:val="1A1A2E"/>
          <w:sz w:val="20"/>
          <w:szCs w:val="20"/>
        </w:rPr>
        <w:t xml:space="preserve">Data Analysis &amp; BI</w:t>
      </w:r>
    </w:p>
    <w:p>
      <w:pPr>
        <w:spacing w:after="100" w:before="0"/>
        <w:jc w:val="left"/>
      </w:pPr>
      <w:r>
        <w:rPr>
          <w:rFonts w:ascii="Arial" w:cs="Arial" w:eastAsia="Arial" w:hAnsi="Arial"/>
          <w:b w:val="false"/>
          <w:bCs w:val="false"/>
          <w:i w:val="false"/>
          <w:iCs w:val="false"/>
          <w:color w:val="666666"/>
          <w:sz w:val="20"/>
          <w:szCs w:val="20"/>
        </w:rPr>
        <w:t xml:space="preserve">Business Intelligence dashboards, Python pandas, descriptive statistics, data visualisation.</w:t>
      </w:r>
    </w:p>
    <w:p>
      <w:pPr>
        <w:spacing w:after="40" w:before="160"/>
      </w:pPr>
      <w:r>
        <w:rPr>
          <w:rFonts w:ascii="Arial" w:cs="Arial" w:eastAsia="Arial" w:hAnsi="Arial"/>
          <w:b/>
          <w:bCs/>
          <w:color w:val="1B4F8A"/>
          <w:sz w:val="20"/>
          <w:szCs w:val="20"/>
        </w:rPr>
        <w:t xml:space="preserve">Professional: </w:t>
      </w:r>
      <w:r>
        <w:rPr>
          <w:rFonts w:ascii="Arial" w:cs="Arial" w:eastAsia="Arial" w:hAnsi="Arial"/>
          <w:b/>
          <w:bCs/>
          <w:color w:val="1A1A2E"/>
          <w:sz w:val="20"/>
          <w:szCs w:val="20"/>
        </w:rPr>
        <w:t xml:space="preserve">Data Engineering</w:t>
      </w:r>
    </w:p>
    <w:p>
      <w:pPr>
        <w:spacing w:after="100" w:before="0"/>
        <w:jc w:val="left"/>
      </w:pPr>
      <w:r>
        <w:rPr>
          <w:rFonts w:ascii="Arial" w:cs="Arial" w:eastAsia="Arial" w:hAnsi="Arial"/>
          <w:b w:val="false"/>
          <w:bCs w:val="false"/>
          <w:i w:val="false"/>
          <w:iCs w:val="false"/>
          <w:color w:val="666666"/>
          <w:sz w:val="20"/>
          <w:szCs w:val="20"/>
        </w:rPr>
        <w:t xml:space="preserve">Building ETL/ELT pipelines, dbt transformations, Apache Spark, Snowflake/BigQuery.</w:t>
      </w:r>
    </w:p>
    <w:p>
      <w:pPr>
        <w:spacing w:after="40" w:before="160"/>
      </w:pPr>
      <w:r>
        <w:rPr>
          <w:rFonts w:ascii="Arial" w:cs="Arial" w:eastAsia="Arial" w:hAnsi="Arial"/>
          <w:b/>
          <w:bCs/>
          <w:color w:val="1B4F8A"/>
          <w:sz w:val="20"/>
          <w:szCs w:val="20"/>
        </w:rPr>
        <w:t xml:space="preserve">Enterprise: </w:t>
      </w:r>
      <w:r>
        <w:rPr>
          <w:rFonts w:ascii="Arial" w:cs="Arial" w:eastAsia="Arial" w:hAnsi="Arial"/>
          <w:b/>
          <w:bCs/>
          <w:color w:val="1A1A2E"/>
          <w:sz w:val="20"/>
          <w:szCs w:val="20"/>
        </w:rPr>
        <w:t xml:space="preserve">AI-Driven Analytics</w:t>
      </w:r>
    </w:p>
    <w:p>
      <w:pPr>
        <w:spacing w:after="100" w:before="0"/>
        <w:jc w:val="left"/>
      </w:pPr>
      <w:r>
        <w:rPr>
          <w:rFonts w:ascii="Arial" w:cs="Arial" w:eastAsia="Arial" w:hAnsi="Arial"/>
          <w:b w:val="false"/>
          <w:bCs w:val="false"/>
          <w:i w:val="false"/>
          <w:iCs w:val="false"/>
          <w:color w:val="666666"/>
          <w:sz w:val="20"/>
          <w:szCs w:val="20"/>
        </w:rPr>
        <w:t xml:space="preserve">Chief Data Officer capability, data mesh architecture, AI-augmented analytics, data governance strategy.</w:t>
      </w:r>
    </w:p>
    <w:p>
      <w:pPr>
        <w:pStyle w:val="Heading2"/>
        <w:pBdr>
          <w:bottom w:val="single" w:color="1B4F8A" w:sz="6" w:space="1"/>
        </w:pBdr>
        <w:spacing w:after="120" w:before="280"/>
      </w:pPr>
      <w:r>
        <w:rPr>
          <w:rFonts w:ascii="Arial" w:cs="Arial" w:eastAsia="Arial" w:hAnsi="Arial"/>
          <w:b/>
          <w:bCs/>
          <w:color w:val="1A1A2E"/>
          <w:sz w:val="24"/>
          <w:szCs w:val="24"/>
        </w:rPr>
        <w:t xml:space="preserve">Track 5: Digital Transformation</w:t>
      </w:r>
    </w:p>
    <w:p>
      <w:pPr>
        <w:spacing w:after="40" w:before="160"/>
      </w:pPr>
      <w:r>
        <w:rPr>
          <w:rFonts w:ascii="Arial" w:cs="Arial" w:eastAsia="Arial" w:hAnsi="Arial"/>
          <w:b/>
          <w:bCs/>
          <w:color w:val="1B4F8A"/>
          <w:sz w:val="20"/>
          <w:szCs w:val="20"/>
        </w:rPr>
        <w:t xml:space="preserve">Foundation: </w:t>
      </w:r>
      <w:r>
        <w:rPr>
          <w:rFonts w:ascii="Arial" w:cs="Arial" w:eastAsia="Arial" w:hAnsi="Arial"/>
          <w:b/>
          <w:bCs/>
          <w:color w:val="1A1A2E"/>
          <w:sz w:val="20"/>
          <w:szCs w:val="20"/>
        </w:rPr>
        <w:t xml:space="preserve">Digital Literacy for Work</w:t>
      </w:r>
    </w:p>
    <w:p>
      <w:pPr>
        <w:spacing w:after="100" w:before="0"/>
        <w:jc w:val="left"/>
      </w:pPr>
      <w:r>
        <w:rPr>
          <w:rFonts w:ascii="Arial" w:cs="Arial" w:eastAsia="Arial" w:hAnsi="Arial"/>
          <w:b w:val="false"/>
          <w:bCs w:val="false"/>
          <w:i w:val="false"/>
          <w:iCs w:val="false"/>
          <w:color w:val="666666"/>
          <w:sz w:val="20"/>
          <w:szCs w:val="20"/>
        </w:rPr>
        <w:t xml:space="preserve">Essential workplace digital tools, Microsoft 365, Google Workspace, digital communication, remote work.</w:t>
      </w:r>
    </w:p>
    <w:p>
      <w:pPr>
        <w:spacing w:after="40" w:before="160"/>
      </w:pPr>
      <w:r>
        <w:rPr>
          <w:rFonts w:ascii="Arial" w:cs="Arial" w:eastAsia="Arial" w:hAnsi="Arial"/>
          <w:b/>
          <w:bCs/>
          <w:color w:val="1B4F8A"/>
          <w:sz w:val="20"/>
          <w:szCs w:val="20"/>
        </w:rPr>
        <w:t xml:space="preserve">Associate: </w:t>
      </w:r>
      <w:r>
        <w:rPr>
          <w:rFonts w:ascii="Arial" w:cs="Arial" w:eastAsia="Arial" w:hAnsi="Arial"/>
          <w:b/>
          <w:bCs/>
          <w:color w:val="1A1A2E"/>
          <w:sz w:val="20"/>
          <w:szCs w:val="20"/>
        </w:rPr>
        <w:t xml:space="preserve">Process Digitisation</w:t>
      </w:r>
    </w:p>
    <w:p>
      <w:pPr>
        <w:spacing w:after="100" w:before="0"/>
        <w:jc w:val="left"/>
      </w:pPr>
      <w:r>
        <w:rPr>
          <w:rFonts w:ascii="Arial" w:cs="Arial" w:eastAsia="Arial" w:hAnsi="Arial"/>
          <w:b w:val="false"/>
          <w:bCs w:val="false"/>
          <w:i w:val="false"/>
          <w:iCs w:val="false"/>
          <w:color w:val="666666"/>
          <w:sz w:val="20"/>
          <w:szCs w:val="20"/>
        </w:rPr>
        <w:t xml:space="preserve">Power Automate, Zapier, process mapping, low-code platforms, business process management.</w:t>
      </w:r>
    </w:p>
    <w:p>
      <w:pPr>
        <w:spacing w:after="40" w:before="160"/>
      </w:pPr>
      <w:r>
        <w:rPr>
          <w:rFonts w:ascii="Arial" w:cs="Arial" w:eastAsia="Arial" w:hAnsi="Arial"/>
          <w:b/>
          <w:bCs/>
          <w:color w:val="1B4F8A"/>
          <w:sz w:val="20"/>
          <w:szCs w:val="20"/>
        </w:rPr>
        <w:t xml:space="preserve">Professional: </w:t>
      </w:r>
      <w:r>
        <w:rPr>
          <w:rFonts w:ascii="Arial" w:cs="Arial" w:eastAsia="Arial" w:hAnsi="Arial"/>
          <w:b/>
          <w:bCs/>
          <w:color w:val="1A1A2E"/>
          <w:sz w:val="20"/>
          <w:szCs w:val="20"/>
        </w:rPr>
        <w:t xml:space="preserve">Digital Transformation Lead</w:t>
      </w:r>
    </w:p>
    <w:p>
      <w:pPr>
        <w:spacing w:after="100" w:before="0"/>
        <w:jc w:val="left"/>
      </w:pPr>
      <w:r>
        <w:rPr>
          <w:rFonts w:ascii="Arial" w:cs="Arial" w:eastAsia="Arial" w:hAnsi="Arial"/>
          <w:b w:val="false"/>
          <w:bCs w:val="false"/>
          <w:i w:val="false"/>
          <w:iCs w:val="false"/>
          <w:color w:val="666666"/>
          <w:sz w:val="20"/>
          <w:szCs w:val="20"/>
        </w:rPr>
        <w:t xml:space="preserve">Leading digital change, customer experience design, digital roadmap planning, stakeholder management.</w:t>
      </w:r>
    </w:p>
    <w:p>
      <w:pPr>
        <w:spacing w:after="40" w:before="160"/>
      </w:pPr>
      <w:r>
        <w:rPr>
          <w:rFonts w:ascii="Arial" w:cs="Arial" w:eastAsia="Arial" w:hAnsi="Arial"/>
          <w:b/>
          <w:bCs/>
          <w:color w:val="1B4F8A"/>
          <w:sz w:val="20"/>
          <w:szCs w:val="20"/>
        </w:rPr>
        <w:t xml:space="preserve">Enterprise: </w:t>
      </w:r>
      <w:r>
        <w:rPr>
          <w:rFonts w:ascii="Arial" w:cs="Arial" w:eastAsia="Arial" w:hAnsi="Arial"/>
          <w:b/>
          <w:bCs/>
          <w:color w:val="1A1A2E"/>
          <w:sz w:val="20"/>
          <w:szCs w:val="20"/>
        </w:rPr>
        <w:t xml:space="preserve">CDO Programme</w:t>
      </w:r>
    </w:p>
    <w:p>
      <w:pPr>
        <w:spacing w:after="100" w:before="0"/>
        <w:jc w:val="left"/>
      </w:pPr>
      <w:r>
        <w:rPr>
          <w:rFonts w:ascii="Arial" w:cs="Arial" w:eastAsia="Arial" w:hAnsi="Arial"/>
          <w:b w:val="false"/>
          <w:bCs w:val="false"/>
          <w:i w:val="false"/>
          <w:iCs w:val="false"/>
          <w:color w:val="666666"/>
          <w:sz w:val="20"/>
          <w:szCs w:val="20"/>
        </w:rPr>
        <w:t xml:space="preserve">Chief Digital Officer curriculum: digital strategy, innovation management, digital KPI frameworks.</w:t>
      </w:r>
    </w:p>
    <w:p>
      <w:pPr>
        <w:pStyle w:val="Heading2"/>
        <w:pBdr>
          <w:bottom w:val="single" w:color="1B4F8A" w:sz="6" w:space="1"/>
        </w:pBdr>
        <w:spacing w:after="120" w:before="280"/>
      </w:pPr>
      <w:r>
        <w:rPr>
          <w:rFonts w:ascii="Arial" w:cs="Arial" w:eastAsia="Arial" w:hAnsi="Arial"/>
          <w:b/>
          <w:bCs/>
          <w:color w:val="1A1A2E"/>
          <w:sz w:val="24"/>
          <w:szCs w:val="24"/>
        </w:rPr>
        <w:t xml:space="preserve">Track 6: Software &amp; DevOps</w:t>
      </w:r>
    </w:p>
    <w:p>
      <w:pPr>
        <w:spacing w:after="40" w:before="160"/>
      </w:pPr>
      <w:r>
        <w:rPr>
          <w:rFonts w:ascii="Arial" w:cs="Arial" w:eastAsia="Arial" w:hAnsi="Arial"/>
          <w:b/>
          <w:bCs/>
          <w:color w:val="1B4F8A"/>
          <w:sz w:val="20"/>
          <w:szCs w:val="20"/>
        </w:rPr>
        <w:t xml:space="preserve">Foundation: </w:t>
      </w:r>
      <w:r>
        <w:rPr>
          <w:rFonts w:ascii="Arial" w:cs="Arial" w:eastAsia="Arial" w:hAnsi="Arial"/>
          <w:b/>
          <w:bCs/>
          <w:color w:val="1A1A2E"/>
          <w:sz w:val="20"/>
          <w:szCs w:val="20"/>
        </w:rPr>
        <w:t xml:space="preserve">Code Launchpad</w:t>
      </w:r>
    </w:p>
    <w:p>
      <w:pPr>
        <w:spacing w:after="100" w:before="0"/>
        <w:jc w:val="left"/>
      </w:pPr>
      <w:r>
        <w:rPr>
          <w:rFonts w:ascii="Arial" w:cs="Arial" w:eastAsia="Arial" w:hAnsi="Arial"/>
          <w:b w:val="false"/>
          <w:bCs w:val="false"/>
          <w:i w:val="false"/>
          <w:iCs w:val="false"/>
          <w:color w:val="666666"/>
          <w:sz w:val="20"/>
          <w:szCs w:val="20"/>
        </w:rPr>
        <w:t xml:space="preserve">Web fundamentals, HTML5/CSS3, intro Python, version control with Git, first web project.</w:t>
      </w:r>
    </w:p>
    <w:p>
      <w:pPr>
        <w:spacing w:after="40" w:before="160"/>
      </w:pPr>
      <w:r>
        <w:rPr>
          <w:rFonts w:ascii="Arial" w:cs="Arial" w:eastAsia="Arial" w:hAnsi="Arial"/>
          <w:b/>
          <w:bCs/>
          <w:color w:val="1B4F8A"/>
          <w:sz w:val="20"/>
          <w:szCs w:val="20"/>
        </w:rPr>
        <w:t xml:space="preserve">Associate: </w:t>
      </w:r>
      <w:r>
        <w:rPr>
          <w:rFonts w:ascii="Arial" w:cs="Arial" w:eastAsia="Arial" w:hAnsi="Arial"/>
          <w:b/>
          <w:bCs/>
          <w:color w:val="1A1A2E"/>
          <w:sz w:val="20"/>
          <w:szCs w:val="20"/>
        </w:rPr>
        <w:t xml:space="preserve">Full-Stack Development</w:t>
      </w:r>
    </w:p>
    <w:p>
      <w:pPr>
        <w:spacing w:after="100" w:before="0"/>
        <w:jc w:val="left"/>
      </w:pPr>
      <w:r>
        <w:rPr>
          <w:rFonts w:ascii="Arial" w:cs="Arial" w:eastAsia="Arial" w:hAnsi="Arial"/>
          <w:b w:val="false"/>
          <w:bCs w:val="false"/>
          <w:i w:val="false"/>
          <w:iCs w:val="false"/>
          <w:color w:val="666666"/>
          <w:sz w:val="20"/>
          <w:szCs w:val="20"/>
        </w:rPr>
        <w:t xml:space="preserve">Frontend React, backend Node.js/Express, REST APIs, PostgreSQL, full-stack project delivery.</w:t>
      </w:r>
    </w:p>
    <w:p>
      <w:pPr>
        <w:spacing w:after="40" w:before="160"/>
      </w:pPr>
      <w:r>
        <w:rPr>
          <w:rFonts w:ascii="Arial" w:cs="Arial" w:eastAsia="Arial" w:hAnsi="Arial"/>
          <w:b/>
          <w:bCs/>
          <w:color w:val="1B4F8A"/>
          <w:sz w:val="20"/>
          <w:szCs w:val="20"/>
        </w:rPr>
        <w:t xml:space="preserve">Professional: </w:t>
      </w:r>
      <w:r>
        <w:rPr>
          <w:rFonts w:ascii="Arial" w:cs="Arial" w:eastAsia="Arial" w:hAnsi="Arial"/>
          <w:b/>
          <w:bCs/>
          <w:color w:val="1A1A2E"/>
          <w:sz w:val="20"/>
          <w:szCs w:val="20"/>
        </w:rPr>
        <w:t xml:space="preserve">DevOps &amp; Cloud-Native</w:t>
      </w:r>
    </w:p>
    <w:p>
      <w:pPr>
        <w:spacing w:after="100" w:before="0"/>
        <w:jc w:val="left"/>
      </w:pPr>
      <w:r>
        <w:rPr>
          <w:rFonts w:ascii="Arial" w:cs="Arial" w:eastAsia="Arial" w:hAnsi="Arial"/>
          <w:b w:val="false"/>
          <w:bCs w:val="false"/>
          <w:i w:val="false"/>
          <w:iCs w:val="false"/>
          <w:color w:val="666666"/>
          <w:sz w:val="20"/>
          <w:szCs w:val="20"/>
        </w:rPr>
        <w:t xml:space="preserve">Containerisation, Kubernetes orchestration, GitHub Actions CI/CD, infrastructure-as-code.</w:t>
      </w:r>
    </w:p>
    <w:p>
      <w:pPr>
        <w:spacing w:after="40" w:before="160"/>
      </w:pPr>
      <w:r>
        <w:rPr>
          <w:rFonts w:ascii="Arial" w:cs="Arial" w:eastAsia="Arial" w:hAnsi="Arial"/>
          <w:b/>
          <w:bCs/>
          <w:color w:val="1B4F8A"/>
          <w:sz w:val="20"/>
          <w:szCs w:val="20"/>
        </w:rPr>
        <w:t xml:space="preserve">Enterprise: </w:t>
      </w:r>
      <w:r>
        <w:rPr>
          <w:rFonts w:ascii="Arial" w:cs="Arial" w:eastAsia="Arial" w:hAnsi="Arial"/>
          <w:b/>
          <w:bCs/>
          <w:color w:val="1A1A2E"/>
          <w:sz w:val="20"/>
          <w:szCs w:val="20"/>
        </w:rPr>
        <w:t xml:space="preserve">Platform Engineering</w:t>
      </w:r>
    </w:p>
    <w:p>
      <w:pPr>
        <w:spacing w:after="100" w:before="0"/>
        <w:jc w:val="left"/>
      </w:pPr>
      <w:r>
        <w:rPr>
          <w:rFonts w:ascii="Arial" w:cs="Arial" w:eastAsia="Arial" w:hAnsi="Arial"/>
          <w:b w:val="false"/>
          <w:bCs w:val="false"/>
          <w:i w:val="false"/>
          <w:iCs w:val="false"/>
          <w:color w:val="666666"/>
          <w:sz w:val="20"/>
          <w:szCs w:val="20"/>
        </w:rPr>
        <w:t xml:space="preserve">Site reliability engineering, internal developer platforms, cloud cost governance, platform strategy.</w:t>
      </w:r>
    </w:p>
    <w:p>
      <w:pPr>
        <w:pStyle w:val="Heading2"/>
        <w:pBdr>
          <w:bottom w:val="single" w:color="1B4F8A" w:sz="6" w:space="1"/>
        </w:pBdr>
        <w:spacing w:after="120" w:before="280"/>
      </w:pPr>
      <w:r>
        <w:rPr>
          <w:rFonts w:ascii="Arial" w:cs="Arial" w:eastAsia="Arial" w:hAnsi="Arial"/>
          <w:b/>
          <w:bCs/>
          <w:color w:val="1A1A2E"/>
          <w:sz w:val="24"/>
          <w:szCs w:val="24"/>
        </w:rPr>
        <w:t xml:space="preserve">Track 7: Digital Business</w:t>
      </w:r>
    </w:p>
    <w:p>
      <w:pPr>
        <w:spacing w:after="40" w:before="160"/>
      </w:pPr>
      <w:r>
        <w:rPr>
          <w:rFonts w:ascii="Arial" w:cs="Arial" w:eastAsia="Arial" w:hAnsi="Arial"/>
          <w:b/>
          <w:bCs/>
          <w:color w:val="1B4F8A"/>
          <w:sz w:val="20"/>
          <w:szCs w:val="20"/>
        </w:rPr>
        <w:t xml:space="preserve">Foundation: </w:t>
      </w:r>
      <w:r>
        <w:rPr>
          <w:rFonts w:ascii="Arial" w:cs="Arial" w:eastAsia="Arial" w:hAnsi="Arial"/>
          <w:b/>
          <w:bCs/>
          <w:color w:val="1A1A2E"/>
          <w:sz w:val="20"/>
          <w:szCs w:val="20"/>
        </w:rPr>
        <w:t xml:space="preserve">Digital Entrepreneurship 101</w:t>
      </w:r>
    </w:p>
    <w:p>
      <w:pPr>
        <w:spacing w:after="100" w:before="0"/>
        <w:jc w:val="left"/>
      </w:pPr>
      <w:r>
        <w:rPr>
          <w:rFonts w:ascii="Arial" w:cs="Arial" w:eastAsia="Arial" w:hAnsi="Arial"/>
          <w:b w:val="false"/>
          <w:bCs w:val="false"/>
          <w:i w:val="false"/>
          <w:iCs w:val="false"/>
          <w:color w:val="666666"/>
          <w:sz w:val="20"/>
          <w:szCs w:val="20"/>
        </w:rPr>
        <w:t xml:space="preserve">Lean startup concepts, building an online presence, SEO basics, social media strategy, digital branding.</w:t>
      </w:r>
    </w:p>
    <w:p>
      <w:pPr>
        <w:spacing w:after="40" w:before="160"/>
      </w:pPr>
      <w:r>
        <w:rPr>
          <w:rFonts w:ascii="Arial" w:cs="Arial" w:eastAsia="Arial" w:hAnsi="Arial"/>
          <w:b/>
          <w:bCs/>
          <w:color w:val="1B4F8A"/>
          <w:sz w:val="20"/>
          <w:szCs w:val="20"/>
        </w:rPr>
        <w:t xml:space="preserve">Associate: </w:t>
      </w:r>
      <w:r>
        <w:rPr>
          <w:rFonts w:ascii="Arial" w:cs="Arial" w:eastAsia="Arial" w:hAnsi="Arial"/>
          <w:b/>
          <w:bCs/>
          <w:color w:val="1A1A2E"/>
          <w:sz w:val="20"/>
          <w:szCs w:val="20"/>
        </w:rPr>
        <w:t xml:space="preserve">E-Commerce &amp; Marketing</w:t>
      </w:r>
    </w:p>
    <w:p>
      <w:pPr>
        <w:spacing w:after="100" w:before="0"/>
        <w:jc w:val="left"/>
      </w:pPr>
      <w:r>
        <w:rPr>
          <w:rFonts w:ascii="Arial" w:cs="Arial" w:eastAsia="Arial" w:hAnsi="Arial"/>
          <w:b w:val="false"/>
          <w:bCs w:val="false"/>
          <w:i w:val="false"/>
          <w:iCs w:val="false"/>
          <w:color w:val="666666"/>
          <w:sz w:val="20"/>
          <w:szCs w:val="20"/>
        </w:rPr>
        <w:t xml:space="preserve">E-commerce store setup, paid advertising, social media marketing, Google Analytics, conversion optimisation.</w:t>
      </w:r>
    </w:p>
    <w:p>
      <w:pPr>
        <w:spacing w:after="40" w:before="160"/>
      </w:pPr>
      <w:r>
        <w:rPr>
          <w:rFonts w:ascii="Arial" w:cs="Arial" w:eastAsia="Arial" w:hAnsi="Arial"/>
          <w:b/>
          <w:bCs/>
          <w:color w:val="1B4F8A"/>
          <w:sz w:val="20"/>
          <w:szCs w:val="20"/>
        </w:rPr>
        <w:t xml:space="preserve">Professional: </w:t>
      </w:r>
      <w:r>
        <w:rPr>
          <w:rFonts w:ascii="Arial" w:cs="Arial" w:eastAsia="Arial" w:hAnsi="Arial"/>
          <w:b/>
          <w:bCs/>
          <w:color w:val="1A1A2E"/>
          <w:sz w:val="20"/>
          <w:szCs w:val="20"/>
        </w:rPr>
        <w:t xml:space="preserve">Digital Business Strategy</w:t>
      </w:r>
    </w:p>
    <w:p>
      <w:pPr>
        <w:spacing w:after="100" w:before="0"/>
        <w:jc w:val="left"/>
      </w:pPr>
      <w:r>
        <w:rPr>
          <w:rFonts w:ascii="Arial" w:cs="Arial" w:eastAsia="Arial" w:hAnsi="Arial"/>
          <w:b w:val="false"/>
          <w:bCs w:val="false"/>
          <w:i w:val="false"/>
          <w:iCs w:val="false"/>
          <w:color w:val="666666"/>
          <w:sz w:val="20"/>
          <w:szCs w:val="20"/>
        </w:rPr>
        <w:t xml:space="preserve">Product management principles, growth frameworks, monetisation models, digital venture strategy.</w:t>
      </w:r>
    </w:p>
    <w:p>
      <w:pPr>
        <w:spacing w:after="40" w:before="160"/>
      </w:pPr>
      <w:r>
        <w:rPr>
          <w:rFonts w:ascii="Arial" w:cs="Arial" w:eastAsia="Arial" w:hAnsi="Arial"/>
          <w:b/>
          <w:bCs/>
          <w:color w:val="1B4F8A"/>
          <w:sz w:val="20"/>
          <w:szCs w:val="20"/>
        </w:rPr>
        <w:t xml:space="preserve">Enterprise: </w:t>
      </w:r>
      <w:r>
        <w:rPr>
          <w:rFonts w:ascii="Arial" w:cs="Arial" w:eastAsia="Arial" w:hAnsi="Arial"/>
          <w:b/>
          <w:bCs/>
          <w:color w:val="1A1A2E"/>
          <w:sz w:val="20"/>
          <w:szCs w:val="20"/>
        </w:rPr>
        <w:t xml:space="preserve">Innovation &amp; Ventures</w:t>
      </w:r>
    </w:p>
    <w:p>
      <w:pPr>
        <w:spacing w:after="100" w:before="0"/>
        <w:jc w:val="left"/>
      </w:pPr>
      <w:r>
        <w:rPr>
          <w:rFonts w:ascii="Arial" w:cs="Arial" w:eastAsia="Arial" w:hAnsi="Arial"/>
          <w:b w:val="false"/>
          <w:bCs w:val="false"/>
          <w:i w:val="false"/>
          <w:iCs w:val="false"/>
          <w:color w:val="666666"/>
          <w:sz w:val="20"/>
          <w:szCs w:val="20"/>
        </w:rPr>
        <w:t xml:space="preserve">Venture building, investor readiness, pan-African market entry, scaling digital businesses across Africa.</w:t>
      </w:r>
    </w:p>
    <w:sectPr>
      <w:footerReference w:type="default" r:id="rId9"/>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spacing w:after="0" w:before="80"/>
      <w:jc w:val="center"/>
    </w:pPr>
    <w:r>
      <w:rPr>
        <w:rFonts w:ascii="Arial" w:cs="Arial" w:eastAsia="Arial" w:hAnsi="Arial"/>
        <w:color w:val="666666"/>
        <w:sz w:val="18"/>
        <w:szCs w:val="18"/>
      </w:rPr>
      <w:t xml:space="preserve">Ginashe Digital Academy  |  Ginashe Group, Johannesburg, South Africa  |  Phase 1 Curriculum Map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spacing w:after="0" w:before="80"/>
      <w:jc w:val="center"/>
    </w:pPr>
    <w:r>
      <w:rPr>
        <w:rFonts w:ascii="Arial" w:cs="Arial" w:eastAsia="Arial" w:hAnsi="Arial"/>
        <w:color w:val="666666"/>
        <w:sz w:val="18"/>
        <w:szCs w:val="18"/>
      </w:rPr>
      <w:t xml:space="preserve">Ginashe Digital Academy  |  Ginashe Group, Johannesburg, South Africa  |  Phase 1 Curriculum Map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spacing w:after="0" w:before="80"/>
      <w:jc w:val="center"/>
    </w:pPr>
    <w:r>
      <w:rPr>
        <w:rFonts w:ascii="Arial" w:cs="Arial" w:eastAsia="Arial" w:hAnsi="Arial"/>
        <w:color w:val="666666"/>
        <w:sz w:val="18"/>
        <w:szCs w:val="18"/>
      </w:rPr>
      <w:t xml:space="preserve">Ginashe Digital Academy  |  Ginashe Group, Johannesburg, South Africa  |  Phase 1 Curriculum Map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2026-04-11T16:30:32.014Z</dcterms:created>
  <dcterms:modified xsi:type="dcterms:W3CDTF">2026-04-11T16:30:32.014Z</dcterms:modified>
</cp:coreProperties>
</file>

<file path=docProps/custom.xml><?xml version="1.0" encoding="utf-8"?>
<Properties xmlns="http://schemas.openxmlformats.org/officeDocument/2006/custom-properties" xmlns:vt="http://schemas.openxmlformats.org/officeDocument/2006/docPropsVTypes"/>
</file>