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thick" w:color="1B4F8A" w:sz="12" w:space="1"/>
        </w:pBdr>
        <w:spacing w:after="200" w:before="1440"/>
        <w:jc w:val="left"/>
      </w:pPr>
      <w:r>
        <w:rPr>
          <w:rFonts w:ascii="Arial" w:cs="Arial" w:eastAsia="Arial" w:hAnsi="Arial"/>
          <w:b/>
          <w:bCs/>
          <w:color w:val="1B4F8A"/>
          <w:sz w:val="36"/>
          <w:szCs w:val="36"/>
        </w:rPr>
        <w:t xml:space="preserve">GINASHE DIGITAL ACADEMY</w:t>
      </w:r>
    </w:p>
    <w:p>
      <w:pPr>
        <w:spacing w:after="80" w:before="120"/>
        <w:jc w:val="left"/>
      </w:pPr>
      <w:r>
        <w:rPr>
          <w:rFonts w:ascii="Arial" w:cs="Arial" w:eastAsia="Arial" w:hAnsi="Arial"/>
          <w:b w:val="false"/>
          <w:bCs w:val="false"/>
          <w:i w:val="false"/>
          <w:iCs w:val="false"/>
          <w:color w:val="666666"/>
          <w:sz w:val="26"/>
          <w:szCs w:val="26"/>
        </w:rPr>
        <w:t xml:space="preserve">Cloud Computing Track — Foundation Level</w:t>
      </w:r>
    </w:p>
    <w:p>
      <w:pPr>
        <w:spacing w:after="60" w:before="200"/>
        <w:jc w:val="left"/>
      </w:pPr>
      <w:r>
        <w:rPr>
          <w:rFonts w:ascii="Arial" w:cs="Arial" w:eastAsia="Arial" w:hAnsi="Arial"/>
          <w:b/>
          <w:bCs/>
          <w:i w:val="false"/>
          <w:iCs w:val="false"/>
          <w:color w:val="1A1A2E"/>
          <w:sz w:val="44"/>
          <w:szCs w:val="44"/>
        </w:rPr>
        <w:t xml:space="preserve">Cloud Launchpad</w:t>
      </w:r>
    </w:p>
    <w:p>
      <w:pPr>
        <w:spacing w:after="300" w:before="0"/>
        <w:jc w:val="left"/>
      </w:pPr>
      <w:r>
        <w:rPr>
          <w:rFonts w:ascii="Arial" w:cs="Arial" w:eastAsia="Arial" w:hAnsi="Arial"/>
          <w:b/>
          <w:bCs/>
          <w:i w:val="false"/>
          <w:iCs w:val="false"/>
          <w:color w:val="1A1A2E"/>
          <w:sz w:val="32"/>
          <w:szCs w:val="32"/>
        </w:rPr>
        <w:t xml:space="preserve">Phase 7: Module 5 — Cloud Security</w:t>
      </w:r>
    </w:p>
    <w:p>
      <w:pPr>
        <w:spacing w:after="240" w:before="0"/>
      </w:pPr>
    </w:p>
    <w:p>
      <w:pPr>
        <w:spacing w:after="60" w:before="0"/>
        <w:jc w:val="left"/>
      </w:pPr>
      <w:r>
        <w:rPr>
          <w:rFonts w:ascii="Arial" w:cs="Arial" w:eastAsia="Arial" w:hAnsi="Arial"/>
          <w:b w:val="false"/>
          <w:bCs w:val="false"/>
          <w:i w:val="false"/>
          <w:iCs w:val="false"/>
          <w:color w:val="666666"/>
          <w:sz w:val="22"/>
          <w:szCs w:val="22"/>
        </w:rPr>
        <w:t xml:space="preserve">NQF Level 4  ·  Module 5 of 6</w:t>
      </w:r>
    </w:p>
    <w:p>
      <w:pPr>
        <w:spacing w:after="60" w:before="0"/>
        <w:jc w:val="left"/>
      </w:pPr>
      <w:r>
        <w:rPr>
          <w:rFonts w:ascii="Arial" w:cs="Arial" w:eastAsia="Arial" w:hAnsi="Arial"/>
          <w:b w:val="false"/>
          <w:bCs w:val="false"/>
          <w:i w:val="false"/>
          <w:iCs w:val="false"/>
          <w:color w:val="666666"/>
          <w:sz w:val="22"/>
          <w:szCs w:val="22"/>
        </w:rPr>
        <w:t xml:space="preserve">15 Contact Hours  ·  Weeks 9 – 10  ·  3 Lessons</w:t>
      </w:r>
    </w:p>
    <w:p>
      <w:pPr>
        <w:spacing w:after="60" w:before="0"/>
        <w:jc w:val="left"/>
      </w:pPr>
      <w:r>
        <w:rPr>
          <w:rFonts w:ascii="Arial" w:cs="Arial" w:eastAsia="Arial" w:hAnsi="Arial"/>
          <w:b w:val="false"/>
          <w:bCs w:val="false"/>
          <w:i w:val="false"/>
          <w:iCs w:val="false"/>
          <w:color w:val="666666"/>
          <w:sz w:val="22"/>
          <w:szCs w:val="22"/>
        </w:rPr>
        <w:t xml:space="preserve">SETA Unit Standards: US 116935 · US 259605</w:t>
      </w:r>
    </w:p>
    <w:p>
      <w:pPr>
        <w:spacing w:after="60" w:before="0"/>
        <w:jc w:val="left"/>
      </w:pPr>
      <w:r>
        <w:rPr>
          <w:rFonts w:ascii="Arial" w:cs="Arial" w:eastAsia="Arial" w:hAnsi="Arial"/>
          <w:b w:val="false"/>
          <w:bCs w:val="false"/>
          <w:i w:val="false"/>
          <w:iCs w:val="false"/>
          <w:color w:val="666666"/>
          <w:sz w:val="22"/>
          <w:szCs w:val="22"/>
        </w:rPr>
        <w:t xml:space="preserve">Shared Responsibility · Encryption · POPIA · CloudTrail · Incident Response</w:t>
      </w:r>
    </w:p>
    <w:p>
      <w:pPr>
        <w:spacing w:after="60" w:before="0"/>
        <w:jc w:val="left"/>
      </w:pPr>
      <w:r>
        <w:rPr>
          <w:rFonts w:ascii="Arial" w:cs="Arial" w:eastAsia="Arial" w:hAnsi="Arial"/>
          <w:b w:val="false"/>
          <w:bCs w:val="false"/>
          <w:i w:val="false"/>
          <w:iCs w:val="false"/>
          <w:color w:val="666666"/>
          <w:sz w:val="22"/>
          <w:szCs w:val="22"/>
        </w:rPr>
        <w:t xml:space="preserve">MICT SETA  ·  QCTO Accreditation Pathway</w:t>
      </w:r>
    </w:p>
    <w:p>
      <w:pPr>
        <w:spacing w:after="240" w:before="0"/>
      </w:pPr>
    </w:p>
    <w:p>
      <w:pPr>
        <w:spacing w:after="120" w:before="0"/>
        <w:jc w:val="left"/>
      </w:pPr>
      <w:r>
        <w:rPr>
          <w:rFonts w:ascii="Arial" w:cs="Arial" w:eastAsia="Arial" w:hAnsi="Arial"/>
          <w:b w:val="false"/>
          <w:bCs w:val="false"/>
          <w:i w:val="false"/>
          <w:iCs w:val="false"/>
          <w:color w:val="666666"/>
          <w:sz w:val="20"/>
          <w:szCs w:val="20"/>
        </w:rPr>
        <w:t xml:space="preserve">Prepared by Ginashe Group — 12 April 2026</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B4F8A" w:sz="6"/>
              <w:left w:val="single" w:color="1B4F8A" w:sz="6"/>
              <w:bottom w:val="single" w:color="1B4F8A" w:sz="6"/>
              <w:right w:val="single" w:color="1B4F8A" w:sz="6"/>
            </w:tcBorders>
            <w:shd w:fill="1B4F8A" w:val="clear"/>
            <w:tcMar>
              <w:top w:type="dxa" w:w="160"/>
              <w:left w:type="dxa" w:w="160"/>
              <w:bottom w:type="dxa" w:w="160"/>
              <w:right w:type="dxa" w:w="160"/>
            </w:tcMar>
            <w:vAlign w:val="center"/>
          </w:tcPr>
          <w:p>
            <w:pPr>
              <w:jc w:val="center"/>
            </w:pPr>
            <w:r>
              <w:rPr>
                <w:rFonts w:ascii="Arial" w:cs="Arial" w:eastAsia="Arial" w:hAnsi="Arial"/>
                <w:b/>
                <w:bCs/>
                <w:color w:val="FFFFFF"/>
                <w:sz w:val="48"/>
                <w:szCs w:val="48"/>
              </w:rPr>
              <w:t xml:space="preserve">7</w:t>
            </w:r>
          </w:p>
          <w:p>
            <w:pPr>
              <w:jc w:val="center"/>
            </w:pPr>
            <w:r>
              <w:rPr>
                <w:rFonts w:ascii="Arial" w:cs="Arial" w:eastAsia="Arial" w:hAnsi="Arial"/>
                <w:color w:val="AAAAAA"/>
                <w:sz w:val="18"/>
                <w:szCs w:val="18"/>
              </w:rPr>
              <w:t xml:space="preserve">PHASE</w:t>
            </w:r>
          </w:p>
        </w:tc>
        <w:tc>
          <w:tcPr>
            <w:tcW w:type="dxa" w:w="8160"/>
            <w:tcBorders>
              <w:top w:val="single" w:color="E5E3FC" w:sz="6"/>
              <w:left w:val="single" w:color="E5E3FC" w:sz="6"/>
              <w:bottom w:val="single" w:color="E5E3FC" w:sz="6"/>
              <w:right w:val="single" w:color="E5E3FC" w:sz="6"/>
            </w:tcBorders>
            <w:shd w:fill="E5E3FC" w:val="clear"/>
            <w:tcMar>
              <w:top w:type="dxa" w:w="160"/>
              <w:left w:type="dxa" w:w="200"/>
              <w:bottom w:type="dxa" w:w="160"/>
              <w:right w:type="dxa" w:w="160"/>
            </w:tcMar>
            <w:vAlign w:val="center"/>
          </w:tcPr>
          <w:p>
            <w:r>
              <w:rPr>
                <w:rFonts w:ascii="Arial" w:cs="Arial" w:eastAsia="Arial" w:hAnsi="Arial"/>
                <w:b/>
                <w:bCs/>
                <w:color w:val="1A1A2E"/>
                <w:sz w:val="34"/>
                <w:szCs w:val="34"/>
              </w:rPr>
              <w:t xml:space="preserve">Module 5: Cloud Security</w:t>
            </w:r>
          </w:p>
          <w:p>
            <w:pPr>
              <w:spacing w:after="0" w:before="60"/>
            </w:pPr>
            <w:r>
              <w:rPr>
                <w:rFonts w:ascii="Arial" w:cs="Arial" w:eastAsia="Arial" w:hAnsi="Arial"/>
                <w:i/>
                <w:iCs/>
                <w:color w:val="1A1A2E"/>
                <w:sz w:val="21"/>
                <w:szCs w:val="21"/>
              </w:rPr>
              <w:t xml:space="preserve">Full lesson plan — 3 lessons, 15 hours, Weeks 9–10</w:t>
            </w:r>
          </w:p>
        </w:tc>
      </w:tr>
    </w:tbl>
    <w:p>
      <w:pPr>
        <w:spacing w:after="120" w:before="0"/>
      </w:pPr>
    </w:p>
    <w:p>
      <w:pPr>
        <w:pStyle w:val="Heading1"/>
        <w:pBdr>
          <w:bottom w:val="single" w:color="1B4F8A" w:sz="8" w:space="2"/>
        </w:pBdr>
        <w:spacing w:after="160" w:before="280"/>
      </w:pPr>
      <w:r>
        <w:rPr>
          <w:rFonts w:ascii="Arial" w:cs="Arial" w:eastAsia="Arial" w:hAnsi="Arial"/>
          <w:b/>
          <w:bCs/>
          <w:color w:val="1A1A2E"/>
          <w:sz w:val="28"/>
          <w:szCs w:val="28"/>
        </w:rPr>
        <w:t xml:space="preserve">7.1 Module Overview</w:t>
      </w:r>
    </w:p>
    <w:p>
      <w:pPr>
        <w:spacing w:after="140" w:before="0"/>
        <w:jc w:val="left"/>
      </w:pPr>
      <w:r>
        <w:rPr>
          <w:rFonts w:ascii="Arial" w:cs="Arial" w:eastAsia="Arial" w:hAnsi="Arial"/>
          <w:b w:val="false"/>
          <w:bCs w:val="false"/>
          <w:i w:val="false"/>
          <w:iCs w:val="false"/>
          <w:color w:val="000000"/>
          <w:sz w:val="22"/>
          <w:szCs w:val="22"/>
        </w:rPr>
        <w:t xml:space="preserve">Module 5 locks down the 2-tier application built in Module 4. Security is not a separate concern bolted on after deployment — it is designed in from the first line of architecture. This module gives learners the vocabulary, technical controls, and regulatory knowledge to operate cloud infrastructure responsibly in South Africa, where POPIA obligations apply to any organisation processing personal information. By the end of Week 10, learners will have encrypted their data, hardened their network, enabled audit logging, and produced a professional security hardening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1B4F8A" w:sz="6"/>
              <w:left w:val="single" w:color="1B4F8A" w:sz="6"/>
              <w:bottom w:val="single" w:color="1B4F8A" w:sz="6"/>
              <w:right w:val="single" w:color="1B4F8A" w:sz="6"/>
            </w:tcBorders>
            <w:shd w:fill="1B4F8A" w:val="clear"/>
            <w:tcMar>
              <w:top w:type="dxa" w:w="80"/>
              <w:left w:type="dxa" w:w="100"/>
              <w:bottom w:type="dxa" w:w="80"/>
              <w:right w:type="dxa" w:w="100"/>
            </w:tcMar>
          </w:tcPr>
          <w:p>
            <w:r>
              <w:rPr>
                <w:rFonts w:ascii="Arial" w:cs="Arial" w:eastAsia="Arial" w:hAnsi="Arial"/>
                <w:b/>
                <w:bCs/>
                <w:color w:val="FFFFFF"/>
                <w:sz w:val="20"/>
                <w:szCs w:val="20"/>
              </w:rPr>
              <w:t xml:space="preserve">Module</w:t>
            </w:r>
          </w:p>
        </w:tc>
        <w:tc>
          <w:tcPr>
            <w:tcW w:type="dxa" w:w="1872"/>
            <w:tcBorders>
              <w:top w:val="single" w:color="1B4F8A" w:sz="6"/>
              <w:left w:val="single" w:color="1B4F8A" w:sz="6"/>
              <w:bottom w:val="single" w:color="1B4F8A" w:sz="6"/>
              <w:right w:val="single" w:color="1B4F8A" w:sz="6"/>
            </w:tcBorders>
            <w:shd w:fill="1B4F8A" w:val="clear"/>
            <w:tcMar>
              <w:top w:type="dxa" w:w="80"/>
              <w:left w:type="dxa" w:w="100"/>
              <w:bottom w:type="dxa" w:w="80"/>
              <w:right w:type="dxa" w:w="100"/>
            </w:tcMar>
          </w:tcPr>
          <w:p>
            <w:r>
              <w:rPr>
                <w:rFonts w:ascii="Arial" w:cs="Arial" w:eastAsia="Arial" w:hAnsi="Arial"/>
                <w:b/>
                <w:bCs/>
                <w:color w:val="FFFFFF"/>
                <w:sz w:val="20"/>
                <w:szCs w:val="20"/>
              </w:rPr>
              <w:t xml:space="preserve">Weeks</w:t>
            </w:r>
          </w:p>
        </w:tc>
        <w:tc>
          <w:tcPr>
            <w:tcW w:type="dxa" w:w="1872"/>
            <w:tcBorders>
              <w:top w:val="single" w:color="1B4F8A" w:sz="6"/>
              <w:left w:val="single" w:color="1B4F8A" w:sz="6"/>
              <w:bottom w:val="single" w:color="1B4F8A" w:sz="6"/>
              <w:right w:val="single" w:color="1B4F8A" w:sz="6"/>
            </w:tcBorders>
            <w:shd w:fill="1B4F8A" w:val="clear"/>
            <w:tcMar>
              <w:top w:type="dxa" w:w="80"/>
              <w:left w:type="dxa" w:w="100"/>
              <w:bottom w:type="dxa" w:w="80"/>
              <w:right w:type="dxa" w:w="100"/>
            </w:tcMar>
          </w:tcPr>
          <w:p>
            <w:r>
              <w:rPr>
                <w:rFonts w:ascii="Arial" w:cs="Arial" w:eastAsia="Arial" w:hAnsi="Arial"/>
                <w:b/>
                <w:bCs/>
                <w:color w:val="FFFFFF"/>
                <w:sz w:val="20"/>
                <w:szCs w:val="20"/>
              </w:rPr>
              <w:t xml:space="preserve">Hours</w:t>
            </w:r>
          </w:p>
        </w:tc>
        <w:tc>
          <w:tcPr>
            <w:tcW w:type="dxa" w:w="1872"/>
            <w:tcBorders>
              <w:top w:val="single" w:color="1B4F8A" w:sz="6"/>
              <w:left w:val="single" w:color="1B4F8A" w:sz="6"/>
              <w:bottom w:val="single" w:color="1B4F8A" w:sz="6"/>
              <w:right w:val="single" w:color="1B4F8A" w:sz="6"/>
            </w:tcBorders>
            <w:shd w:fill="1B4F8A" w:val="clear"/>
            <w:tcMar>
              <w:top w:type="dxa" w:w="80"/>
              <w:left w:type="dxa" w:w="100"/>
              <w:bottom w:type="dxa" w:w="80"/>
              <w:right w:type="dxa" w:w="100"/>
            </w:tcMar>
          </w:tcPr>
          <w:p>
            <w:r>
              <w:rPr>
                <w:rFonts w:ascii="Arial" w:cs="Arial" w:eastAsia="Arial" w:hAnsi="Arial"/>
                <w:b/>
                <w:bCs/>
                <w:color w:val="FFFFFF"/>
                <w:sz w:val="20"/>
                <w:szCs w:val="20"/>
              </w:rPr>
              <w:t xml:space="preserve">Lessons</w:t>
            </w:r>
          </w:p>
        </w:tc>
        <w:tc>
          <w:tcPr>
            <w:tcW w:type="dxa" w:w="1872"/>
            <w:tcBorders>
              <w:top w:val="single" w:color="1B4F8A" w:sz="6"/>
              <w:left w:val="single" w:color="1B4F8A" w:sz="6"/>
              <w:bottom w:val="single" w:color="1B4F8A" w:sz="6"/>
              <w:right w:val="single" w:color="1B4F8A" w:sz="6"/>
            </w:tcBorders>
            <w:shd w:fill="1B4F8A" w:val="clear"/>
            <w:tcMar>
              <w:top w:type="dxa" w:w="80"/>
              <w:left w:type="dxa" w:w="100"/>
              <w:bottom w:type="dxa" w:w="80"/>
              <w:right w:type="dxa" w:w="100"/>
            </w:tcMar>
          </w:tcPr>
          <w:p>
            <w:r>
              <w:rPr>
                <w:rFonts w:ascii="Arial" w:cs="Arial" w:eastAsia="Arial" w:hAnsi="Arial"/>
                <w:b/>
                <w:bCs/>
                <w:color w:val="FFFFFF"/>
                <w:sz w:val="20"/>
                <w:szCs w:val="20"/>
              </w:rPr>
              <w:t xml:space="preserve">SETA US</w:t>
            </w:r>
          </w:p>
        </w:tc>
      </w:tr>
      <w:tr>
        <w:tc>
          <w:tcPr>
            <w:tcW w:type="dxa" w:w="1872"/>
            <w:tcBorders>
              <w:top w:val="single" w:color="CCCCCC" w:sz="4"/>
              <w:left w:val="single" w:color="CCCCCC" w:sz="4"/>
              <w:bottom w:val="single" w:color="CCCCCC" w:sz="4"/>
              <w:right w:val="single" w:color="CCCCCC" w:sz="4"/>
            </w:tcBorders>
            <w:shd w:fill="E5E3FC" w:val="clear"/>
            <w:tcMar>
              <w:top w:type="dxa" w:w="80"/>
              <w:left w:type="dxa" w:w="100"/>
              <w:bottom w:type="dxa" w:w="80"/>
              <w:right w:type="dxa" w:w="100"/>
            </w:tcMar>
          </w:tcPr>
          <w:p>
            <w:r>
              <w:rPr>
                <w:rFonts w:ascii="Arial" w:cs="Arial" w:eastAsia="Arial" w:hAnsi="Arial"/>
                <w:b/>
                <w:bCs/>
                <w:color w:val="1A1A2E"/>
                <w:sz w:val="21"/>
                <w:szCs w:val="21"/>
              </w:rPr>
              <w:t xml:space="preserve">Module 5 of 6</w:t>
            </w:r>
          </w:p>
        </w:tc>
        <w:tc>
          <w:tcPr>
            <w:tcW w:type="dxa" w:w="1872"/>
            <w:tcBorders>
              <w:top w:val="single" w:color="CCCCCC" w:sz="4"/>
              <w:left w:val="single" w:color="CCCCCC" w:sz="4"/>
              <w:bottom w:val="single" w:color="CCCCCC" w:sz="4"/>
              <w:right w:val="single" w:color="CCCCCC" w:sz="4"/>
            </w:tcBorders>
            <w:shd w:fill="E5E3FC" w:val="clear"/>
            <w:tcMar>
              <w:top w:type="dxa" w:w="80"/>
              <w:left w:type="dxa" w:w="100"/>
              <w:bottom w:type="dxa" w:w="80"/>
              <w:right w:type="dxa" w:w="100"/>
            </w:tcMar>
          </w:tcPr>
          <w:p>
            <w:r>
              <w:rPr>
                <w:rFonts w:ascii="Arial" w:cs="Arial" w:eastAsia="Arial" w:hAnsi="Arial"/>
                <w:b/>
                <w:bCs/>
                <w:color w:val="1A1A2E"/>
                <w:sz w:val="21"/>
                <w:szCs w:val="21"/>
              </w:rPr>
              <w:t xml:space="preserve">Weeks 9 – 10</w:t>
            </w:r>
          </w:p>
        </w:tc>
        <w:tc>
          <w:tcPr>
            <w:tcW w:type="dxa" w:w="1872"/>
            <w:tcBorders>
              <w:top w:val="single" w:color="CCCCCC" w:sz="4"/>
              <w:left w:val="single" w:color="CCCCCC" w:sz="4"/>
              <w:bottom w:val="single" w:color="CCCCCC" w:sz="4"/>
              <w:right w:val="single" w:color="CCCCCC" w:sz="4"/>
            </w:tcBorders>
            <w:shd w:fill="E5E3FC" w:val="clear"/>
            <w:tcMar>
              <w:top w:type="dxa" w:w="80"/>
              <w:left w:type="dxa" w:w="100"/>
              <w:bottom w:type="dxa" w:w="80"/>
              <w:right w:type="dxa" w:w="100"/>
            </w:tcMar>
          </w:tcPr>
          <w:p>
            <w:r>
              <w:rPr>
                <w:rFonts w:ascii="Arial" w:cs="Arial" w:eastAsia="Arial" w:hAnsi="Arial"/>
                <w:b/>
                <w:bCs/>
                <w:color w:val="1A1A2E"/>
                <w:sz w:val="21"/>
                <w:szCs w:val="21"/>
              </w:rPr>
              <w:t xml:space="preserve">15 hours</w:t>
            </w:r>
          </w:p>
        </w:tc>
        <w:tc>
          <w:tcPr>
            <w:tcW w:type="dxa" w:w="1872"/>
            <w:tcBorders>
              <w:top w:val="single" w:color="CCCCCC" w:sz="4"/>
              <w:left w:val="single" w:color="CCCCCC" w:sz="4"/>
              <w:bottom w:val="single" w:color="CCCCCC" w:sz="4"/>
              <w:right w:val="single" w:color="CCCCCC" w:sz="4"/>
            </w:tcBorders>
            <w:shd w:fill="E5E3FC" w:val="clear"/>
            <w:tcMar>
              <w:top w:type="dxa" w:w="80"/>
              <w:left w:type="dxa" w:w="100"/>
              <w:bottom w:type="dxa" w:w="80"/>
              <w:right w:type="dxa" w:w="100"/>
            </w:tcMar>
          </w:tcPr>
          <w:p>
            <w:r>
              <w:rPr>
                <w:rFonts w:ascii="Arial" w:cs="Arial" w:eastAsia="Arial" w:hAnsi="Arial"/>
                <w:b/>
                <w:bCs/>
                <w:color w:val="1A1A2E"/>
                <w:sz w:val="21"/>
                <w:szCs w:val="21"/>
              </w:rPr>
              <w:t xml:space="preserve">3 lessons</w:t>
            </w:r>
          </w:p>
        </w:tc>
        <w:tc>
          <w:tcPr>
            <w:tcW w:type="dxa" w:w="1872"/>
            <w:tcBorders>
              <w:top w:val="single" w:color="CCCCCC" w:sz="4"/>
              <w:left w:val="single" w:color="CCCCCC" w:sz="4"/>
              <w:bottom w:val="single" w:color="CCCCCC" w:sz="4"/>
              <w:right w:val="single" w:color="CCCCCC" w:sz="4"/>
            </w:tcBorders>
            <w:shd w:fill="E5E3FC" w:val="clear"/>
            <w:tcMar>
              <w:top w:type="dxa" w:w="80"/>
              <w:left w:type="dxa" w:w="100"/>
              <w:bottom w:type="dxa" w:w="80"/>
              <w:right w:type="dxa" w:w="100"/>
            </w:tcMar>
          </w:tcPr>
          <w:p>
            <w:r>
              <w:rPr>
                <w:rFonts w:ascii="Arial" w:cs="Arial" w:eastAsia="Arial" w:hAnsi="Arial"/>
                <w:b/>
                <w:bCs/>
                <w:color w:val="1A1A2E"/>
                <w:sz w:val="21"/>
                <w:szCs w:val="21"/>
              </w:rPr>
              <w:t xml:space="preserve">US 116935 · US 259605</w:t>
            </w:r>
          </w:p>
        </w:tc>
      </w:tr>
    </w:tbl>
    <w:p>
      <w:pPr>
        <w:spacing w:after="120" w:before="0"/>
      </w:pPr>
    </w:p>
    <w:p>
      <w:pPr>
        <w:pStyle w:val="Heading1"/>
        <w:pBdr>
          <w:bottom w:val="single" w:color="1B4F8A" w:sz="8" w:space="2"/>
        </w:pBdr>
        <w:spacing w:after="160" w:before="280"/>
      </w:pPr>
      <w:r>
        <w:rPr>
          <w:rFonts w:ascii="Arial" w:cs="Arial" w:eastAsia="Arial" w:hAnsi="Arial"/>
          <w:b/>
          <w:bCs/>
          <w:color w:val="1A1A2E"/>
          <w:sz w:val="28"/>
          <w:szCs w:val="28"/>
        </w:rPr>
        <w:t xml:space="preserve">7.2 Module Learning Outcomes</w:t>
      </w:r>
    </w:p>
    <w:p>
      <w:pPr>
        <w:spacing w:after="100" w:before="0"/>
        <w:jc w:val="left"/>
      </w:pPr>
      <w:r>
        <w:rPr>
          <w:rFonts w:ascii="Arial" w:cs="Arial" w:eastAsia="Arial" w:hAnsi="Arial"/>
          <w:b w:val="false"/>
          <w:bCs w:val="false"/>
          <w:i w:val="false"/>
          <w:iCs w:val="false"/>
          <w:color w:val="000000"/>
          <w:sz w:val="22"/>
          <w:szCs w:val="22"/>
        </w:rPr>
        <w:t xml:space="preserve">On completion of Module 5 learners will be able to:</w:t>
      </w:r>
    </w:p>
    <w:p>
      <w:pPr>
        <w:pStyle w:val="ListParagraph"/>
        <w:numPr>
          <w:ilvl w:val="0"/>
          <w:numId w:val="2"/>
        </w:numPr>
        <w:spacing w:after="70" w:before="0"/>
      </w:pPr>
      <w:r>
        <w:rPr>
          <w:rFonts w:ascii="Arial" w:cs="Arial" w:eastAsia="Arial" w:hAnsi="Arial"/>
          <w:color w:val="000000"/>
          <w:sz w:val="22"/>
          <w:szCs w:val="22"/>
        </w:rPr>
        <w:t xml:space="preserve">Apply the AWS Shared Responsibility Model to define what AWS secures versus what the customer secures across IaaS, PaaS, and SaaS</w:t>
      </w:r>
    </w:p>
    <w:p>
      <w:pPr>
        <w:pStyle w:val="ListParagraph"/>
        <w:numPr>
          <w:ilvl w:val="0"/>
          <w:numId w:val="2"/>
        </w:numPr>
        <w:spacing w:after="70" w:before="0"/>
      </w:pPr>
      <w:r>
        <w:rPr>
          <w:rFonts w:ascii="Arial" w:cs="Arial" w:eastAsia="Arial" w:hAnsi="Arial"/>
          <w:color w:val="000000"/>
          <w:sz w:val="22"/>
          <w:szCs w:val="22"/>
        </w:rPr>
        <w:t xml:space="preserve">Enable and configure encryption at rest on S3 objects, EBS volumes, and RDS instances using AWS KMS</w:t>
      </w:r>
    </w:p>
    <w:p>
      <w:pPr>
        <w:pStyle w:val="ListParagraph"/>
        <w:numPr>
          <w:ilvl w:val="0"/>
          <w:numId w:val="2"/>
        </w:numPr>
        <w:spacing w:after="70" w:before="0"/>
      </w:pPr>
      <w:r>
        <w:rPr>
          <w:rFonts w:ascii="Arial" w:cs="Arial" w:eastAsia="Arial" w:hAnsi="Arial"/>
          <w:color w:val="000000"/>
          <w:sz w:val="22"/>
          <w:szCs w:val="22"/>
        </w:rPr>
        <w:t xml:space="preserve">Enforce encryption in transit by configuring HTTPS using ACM certificates and an Application Load Balancer</w:t>
      </w:r>
    </w:p>
    <w:p>
      <w:pPr>
        <w:pStyle w:val="ListParagraph"/>
        <w:numPr>
          <w:ilvl w:val="0"/>
          <w:numId w:val="2"/>
        </w:numPr>
        <w:spacing w:after="70" w:before="0"/>
      </w:pPr>
      <w:r>
        <w:rPr>
          <w:rFonts w:ascii="Arial" w:cs="Arial" w:eastAsia="Arial" w:hAnsi="Arial"/>
          <w:color w:val="000000"/>
          <w:sz w:val="22"/>
          <w:szCs w:val="22"/>
        </w:rPr>
        <w:t xml:space="preserve">Apply network security controls — security groups, NACLs, and VPC Flow Logs — to the Module 4 2-tier application</w:t>
      </w:r>
    </w:p>
    <w:p>
      <w:pPr>
        <w:pStyle w:val="ListParagraph"/>
        <w:numPr>
          <w:ilvl w:val="0"/>
          <w:numId w:val="2"/>
        </w:numPr>
        <w:spacing w:after="70" w:before="0"/>
      </w:pPr>
      <w:r>
        <w:rPr>
          <w:rFonts w:ascii="Arial" w:cs="Arial" w:eastAsia="Arial" w:hAnsi="Arial"/>
          <w:color w:val="000000"/>
          <w:sz w:val="22"/>
          <w:szCs w:val="22"/>
        </w:rPr>
        <w:t xml:space="preserve">Enable AWS CloudTrail and interpret a CloudTrail log entry to identify who performed an action, when, and from where</w:t>
      </w:r>
    </w:p>
    <w:p>
      <w:pPr>
        <w:pStyle w:val="ListParagraph"/>
        <w:numPr>
          <w:ilvl w:val="0"/>
          <w:numId w:val="2"/>
        </w:numPr>
        <w:spacing w:after="70" w:before="0"/>
      </w:pPr>
      <w:r>
        <w:rPr>
          <w:rFonts w:ascii="Arial" w:cs="Arial" w:eastAsia="Arial" w:hAnsi="Arial"/>
          <w:color w:val="000000"/>
          <w:sz w:val="22"/>
          <w:szCs w:val="22"/>
        </w:rPr>
        <w:t xml:space="preserve">Configure basic AWS Config rules to detect and flag non-compliant resource configurations</w:t>
      </w:r>
    </w:p>
    <w:p>
      <w:pPr>
        <w:pStyle w:val="ListParagraph"/>
        <w:numPr>
          <w:ilvl w:val="0"/>
          <w:numId w:val="2"/>
        </w:numPr>
        <w:spacing w:after="70" w:before="0"/>
      </w:pPr>
      <w:r>
        <w:rPr>
          <w:rFonts w:ascii="Arial" w:cs="Arial" w:eastAsia="Arial" w:hAnsi="Arial"/>
          <w:color w:val="000000"/>
          <w:sz w:val="22"/>
          <w:szCs w:val="22"/>
        </w:rPr>
        <w:t xml:space="preserve">Map the 8 POPIA conditions to specific AWS security controls and explain the obligations of cloud users under South African law</w:t>
      </w:r>
    </w:p>
    <w:p>
      <w:pPr>
        <w:pStyle w:val="ListParagraph"/>
        <w:numPr>
          <w:ilvl w:val="0"/>
          <w:numId w:val="2"/>
        </w:numPr>
        <w:spacing w:after="70" w:before="0"/>
      </w:pPr>
      <w:r>
        <w:rPr>
          <w:rFonts w:ascii="Arial" w:cs="Arial" w:eastAsia="Arial" w:hAnsi="Arial"/>
          <w:color w:val="000000"/>
          <w:sz w:val="22"/>
          <w:szCs w:val="22"/>
        </w:rPr>
        <w:t xml:space="preserve">Describe the 6 phases of a cloud security incident response lifecycle and apply them to a simulated breach scenario</w:t>
      </w:r>
    </w:p>
    <w:p>
      <w:pPr>
        <w:pStyle w:val="ListParagraph"/>
        <w:numPr>
          <w:ilvl w:val="0"/>
          <w:numId w:val="2"/>
        </w:numPr>
        <w:spacing w:after="70" w:before="0"/>
      </w:pPr>
      <w:r>
        <w:rPr>
          <w:rFonts w:ascii="Arial" w:cs="Arial" w:eastAsia="Arial" w:hAnsi="Arial"/>
          <w:color w:val="000000"/>
          <w:sz w:val="22"/>
          <w:szCs w:val="22"/>
        </w:rPr>
        <w:t xml:space="preserve">Conduct a security posture review using the AWS Well-Architected Security Pillar and produce a professional hardening report</w:t>
      </w:r>
    </w:p>
    <w:p>
      <w:pPr>
        <w:spacing w:after="120" w:before="0"/>
      </w:pPr>
    </w:p>
    <w:p>
      <w:pPr>
        <w:pStyle w:val="Heading1"/>
        <w:pBdr>
          <w:bottom w:val="single" w:color="1B4F8A" w:sz="8" w:space="2"/>
        </w:pBdr>
        <w:spacing w:after="160" w:before="280"/>
      </w:pPr>
      <w:r>
        <w:rPr>
          <w:rFonts w:ascii="Arial" w:cs="Arial" w:eastAsia="Arial" w:hAnsi="Arial"/>
          <w:b/>
          <w:bCs/>
          <w:color w:val="1A1A2E"/>
          <w:sz w:val="28"/>
          <w:szCs w:val="28"/>
        </w:rPr>
        <w:t xml:space="preserve">7.3 POPIA — 8 Conditions Mapped to AWS Security Controls</w:t>
      </w:r>
    </w:p>
    <w:p>
      <w:pPr>
        <w:spacing w:after="120" w:before="0"/>
        <w:jc w:val="left"/>
      </w:pPr>
      <w:r>
        <w:rPr>
          <w:rFonts w:ascii="Arial" w:cs="Arial" w:eastAsia="Arial" w:hAnsi="Arial"/>
          <w:b w:val="false"/>
          <w:bCs w:val="false"/>
          <w:i w:val="false"/>
          <w:iCs w:val="false"/>
          <w:color w:val="000000"/>
          <w:sz w:val="22"/>
          <w:szCs w:val="22"/>
        </w:rPr>
        <w:t xml:space="preserve">South Africa's Protection of Personal Information Act (POPIA) came into full effect on 1 July 2021. The following table maps each of the 8 POPIA conditions to the specific AWS controls that support compliance. Learners receive this as a printed reference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400"/>
        <w:gridCol w:w="3200"/>
        <w:gridCol w:w="4360"/>
      </w:tblGrid>
      <w:tr>
        <w:trPr>
          <w:tblHeader/>
        </w:trPr>
        <w:tc>
          <w:tcPr>
            <w:tcW w:type="dxa" w:w="400"/>
            <w:tcBorders>
              <w:top w:val="single" w:color="3C3489" w:sz="6"/>
              <w:left w:val="single" w:color="3C3489" w:sz="6"/>
              <w:bottom w:val="single" w:color="3C3489" w:sz="6"/>
              <w:right w:val="single" w:color="3C3489" w:sz="6"/>
            </w:tcBorders>
            <w:shd w:fill="3C3489" w:val="clear"/>
            <w:tcMar>
              <w:top w:type="dxa" w:w="80"/>
              <w:left w:type="dxa" w:w="100"/>
              <w:bottom w:type="dxa" w:w="80"/>
              <w:right w:type="dxa" w:w="100"/>
            </w:tcMar>
          </w:tcPr>
          <w:p>
            <w:r>
              <w:rPr>
                <w:rFonts w:ascii="Arial" w:cs="Arial" w:eastAsia="Arial" w:hAnsi="Arial"/>
                <w:b/>
                <w:bCs/>
                <w:color w:val="FFFFFF"/>
                <w:sz w:val="19"/>
                <w:szCs w:val="19"/>
              </w:rPr>
              <w:t xml:space="preserve">#</w:t>
            </w:r>
          </w:p>
        </w:tc>
        <w:tc>
          <w:tcPr>
            <w:tcW w:type="dxa" w:w="1400"/>
            <w:tcBorders>
              <w:top w:val="single" w:color="3C3489" w:sz="6"/>
              <w:left w:val="single" w:color="3C3489" w:sz="6"/>
              <w:bottom w:val="single" w:color="3C3489" w:sz="6"/>
              <w:right w:val="single" w:color="3C3489" w:sz="6"/>
            </w:tcBorders>
            <w:shd w:fill="3C3489" w:val="clear"/>
            <w:tcMar>
              <w:top w:type="dxa" w:w="80"/>
              <w:left w:type="dxa" w:w="100"/>
              <w:bottom w:type="dxa" w:w="80"/>
              <w:right w:type="dxa" w:w="100"/>
            </w:tcMar>
          </w:tcPr>
          <w:p>
            <w:r>
              <w:rPr>
                <w:rFonts w:ascii="Arial" w:cs="Arial" w:eastAsia="Arial" w:hAnsi="Arial"/>
                <w:b/>
                <w:bCs/>
                <w:color w:val="FFFFFF"/>
                <w:sz w:val="19"/>
                <w:szCs w:val="19"/>
              </w:rPr>
              <w:t xml:space="preserve">Condition</w:t>
            </w:r>
          </w:p>
        </w:tc>
        <w:tc>
          <w:tcPr>
            <w:tcW w:type="dxa" w:w="3200"/>
            <w:tcBorders>
              <w:top w:val="single" w:color="3C3489" w:sz="6"/>
              <w:left w:val="single" w:color="3C3489" w:sz="6"/>
              <w:bottom w:val="single" w:color="3C3489" w:sz="6"/>
              <w:right w:val="single" w:color="3C3489" w:sz="6"/>
            </w:tcBorders>
            <w:shd w:fill="3C3489" w:val="clear"/>
            <w:tcMar>
              <w:top w:type="dxa" w:w="80"/>
              <w:left w:type="dxa" w:w="100"/>
              <w:bottom w:type="dxa" w:w="80"/>
              <w:right w:type="dxa" w:w="100"/>
            </w:tcMar>
          </w:tcPr>
          <w:p>
            <w:r>
              <w:rPr>
                <w:rFonts w:ascii="Arial" w:cs="Arial" w:eastAsia="Arial" w:hAnsi="Arial"/>
                <w:b/>
                <w:bCs/>
                <w:color w:val="FFFFFF"/>
                <w:sz w:val="19"/>
                <w:szCs w:val="19"/>
              </w:rPr>
              <w:t xml:space="preserve">POPIA Requirement</w:t>
            </w:r>
          </w:p>
        </w:tc>
        <w:tc>
          <w:tcPr>
            <w:tcW w:type="dxa" w:w="4360"/>
            <w:tcBorders>
              <w:top w:val="single" w:color="3C3489" w:sz="6"/>
              <w:left w:val="single" w:color="3C3489" w:sz="6"/>
              <w:bottom w:val="single" w:color="3C3489" w:sz="6"/>
              <w:right w:val="single" w:color="3C3489" w:sz="6"/>
            </w:tcBorders>
            <w:shd w:fill="3C3489" w:val="clear"/>
            <w:tcMar>
              <w:top w:type="dxa" w:w="80"/>
              <w:left w:type="dxa" w:w="100"/>
              <w:bottom w:type="dxa" w:w="80"/>
              <w:right w:type="dxa" w:w="100"/>
            </w:tcMar>
          </w:tcPr>
          <w:p>
            <w:r>
              <w:rPr>
                <w:rFonts w:ascii="Arial" w:cs="Arial" w:eastAsia="Arial" w:hAnsi="Arial"/>
                <w:b/>
                <w:bCs/>
                <w:color w:val="FFFFFF"/>
                <w:sz w:val="19"/>
                <w:szCs w:val="19"/>
              </w:rPr>
              <w:t xml:space="preserve">AWS Controls</w:t>
            </w:r>
          </w:p>
        </w:tc>
      </w:tr>
      <w:tr>
        <w:tc>
          <w:tcPr>
            <w:tcW w:type="dxa" w:w="400"/>
            <w:tcBorders>
              <w:top w:val="single" w:color="CCCCCC" w:sz="4"/>
              <w:left w:val="single" w:color="CCCCCC" w:sz="4"/>
              <w:bottom w:val="single" w:color="CCCCCC" w:sz="4"/>
              <w:right w:val="single" w:color="CCCCCC" w:sz="4"/>
            </w:tcBorders>
            <w:shd w:fill="E5E3FC" w:val="clear"/>
            <w:tcMar>
              <w:top w:type="dxa" w:w="80"/>
              <w:left w:type="dxa" w:w="100"/>
              <w:bottom w:type="dxa" w:w="80"/>
              <w:right w:type="dxa" w:w="100"/>
            </w:tcMar>
          </w:tcPr>
          <w:p>
            <w:r>
              <w:rPr>
                <w:rFonts w:ascii="Arial" w:cs="Arial" w:eastAsia="Arial" w:hAnsi="Arial"/>
                <w:b/>
                <w:bCs/>
                <w:color w:val="3C3489"/>
                <w:sz w:val="20"/>
                <w:szCs w:val="20"/>
              </w:rPr>
              <w:t xml:space="preserve">1</w:t>
            </w:r>
          </w:p>
        </w:tc>
        <w:tc>
          <w:tcPr>
            <w:tcW w:type="dxa" w:w="1400"/>
            <w:tcBorders>
              <w:top w:val="single" w:color="CCCCCC" w:sz="4"/>
              <w:left w:val="single" w:color="CCCCCC" w:sz="4"/>
              <w:bottom w:val="single" w:color="CCCCCC" w:sz="4"/>
              <w:right w:val="single" w:color="CCCCCC" w:sz="4"/>
            </w:tcBorders>
            <w:shd w:fill="E5E3FC" w:val="clear"/>
            <w:tcMar>
              <w:top w:type="dxa" w:w="80"/>
              <w:left w:type="dxa" w:w="100"/>
              <w:bottom w:type="dxa" w:w="80"/>
              <w:right w:type="dxa" w:w="100"/>
            </w:tcMar>
          </w:tcPr>
          <w:p>
            <w:r>
              <w:rPr>
                <w:rFonts w:ascii="Arial" w:cs="Arial" w:eastAsia="Arial" w:hAnsi="Arial"/>
                <w:b/>
                <w:bCs/>
                <w:color w:val="1A1A2E"/>
                <w:sz w:val="19"/>
                <w:szCs w:val="19"/>
              </w:rPr>
              <w:t xml:space="preserve">Accountability</w:t>
            </w:r>
          </w:p>
        </w:tc>
        <w:tc>
          <w:tcPr>
            <w:tcW w:type="dxa" w:w="32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r>
              <w:rPr>
                <w:rFonts w:ascii="Arial" w:cs="Arial" w:eastAsia="Arial" w:hAnsi="Arial"/>
                <w:color w:val="000000"/>
                <w:sz w:val="19"/>
                <w:szCs w:val="19"/>
              </w:rPr>
              <w:t xml:space="preserve">An appointed Information Officer must ensure POPIA compliance across all data processing activities</w:t>
            </w:r>
          </w:p>
        </w:tc>
        <w:tc>
          <w:tcPr>
            <w:tcW w:type="dxa" w:w="436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r>
              <w:rPr>
                <w:rFonts w:ascii="Arial" w:cs="Arial" w:eastAsia="Arial" w:hAnsi="Arial"/>
                <w:color w:val="1B4F8A"/>
                <w:sz w:val="19"/>
                <w:szCs w:val="19"/>
              </w:rPr>
              <w:t xml:space="preserve">AWS CloudTrail (audit log of all actions) + AWS Config (enforce compliance rules) + AWS Organizations Service Control Policies</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bCs/>
                <w:color w:val="3C3489"/>
                <w:sz w:val="20"/>
                <w:szCs w:val="20"/>
              </w:rPr>
              <w:t xml:space="preserve">2</w:t>
            </w:r>
          </w:p>
        </w:tc>
        <w:tc>
          <w:tcPr>
            <w:tcW w:type="dxa" w:w="1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bCs/>
                <w:color w:val="1A1A2E"/>
                <w:sz w:val="19"/>
                <w:szCs w:val="19"/>
              </w:rPr>
              <w:t xml:space="preserve">Processing limitation</w:t>
            </w:r>
          </w:p>
        </w:tc>
        <w:tc>
          <w:tcPr>
            <w:tcW w:type="dxa" w:w="3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color w:val="000000"/>
                <w:sz w:val="19"/>
                <w:szCs w:val="19"/>
              </w:rPr>
              <w:t xml:space="preserve">Collect only the minimum personal information necessary; process only for stated purposes; retain only as long as needed</w:t>
            </w:r>
          </w:p>
        </w:tc>
        <w:tc>
          <w:tcPr>
            <w:tcW w:type="dxa" w:w="43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color w:val="1B4F8A"/>
                <w:sz w:val="19"/>
                <w:szCs w:val="19"/>
              </w:rPr>
              <w:t xml:space="preserve">IAM least-privilege policies restrict access to PII; S3 lifecycle policies enforce retention limits; DynamoDB TTL auto-expires records</w:t>
            </w:r>
          </w:p>
        </w:tc>
      </w:tr>
      <w:tr>
        <w:tc>
          <w:tcPr>
            <w:tcW w:type="dxa" w:w="400"/>
            <w:tcBorders>
              <w:top w:val="single" w:color="CCCCCC" w:sz="4"/>
              <w:left w:val="single" w:color="CCCCCC" w:sz="4"/>
              <w:bottom w:val="single" w:color="CCCCCC" w:sz="4"/>
              <w:right w:val="single" w:color="CCCCCC" w:sz="4"/>
            </w:tcBorders>
            <w:shd w:fill="E5E3FC" w:val="clear"/>
            <w:tcMar>
              <w:top w:type="dxa" w:w="80"/>
              <w:left w:type="dxa" w:w="100"/>
              <w:bottom w:type="dxa" w:w="80"/>
              <w:right w:type="dxa" w:w="100"/>
            </w:tcMar>
          </w:tcPr>
          <w:p>
            <w:r>
              <w:rPr>
                <w:rFonts w:ascii="Arial" w:cs="Arial" w:eastAsia="Arial" w:hAnsi="Arial"/>
                <w:b/>
                <w:bCs/>
                <w:color w:val="3C3489"/>
                <w:sz w:val="20"/>
                <w:szCs w:val="20"/>
              </w:rPr>
              <w:t xml:space="preserve">3</w:t>
            </w:r>
          </w:p>
        </w:tc>
        <w:tc>
          <w:tcPr>
            <w:tcW w:type="dxa" w:w="1400"/>
            <w:tcBorders>
              <w:top w:val="single" w:color="CCCCCC" w:sz="4"/>
              <w:left w:val="single" w:color="CCCCCC" w:sz="4"/>
              <w:bottom w:val="single" w:color="CCCCCC" w:sz="4"/>
              <w:right w:val="single" w:color="CCCCCC" w:sz="4"/>
            </w:tcBorders>
            <w:shd w:fill="E5E3FC" w:val="clear"/>
            <w:tcMar>
              <w:top w:type="dxa" w:w="80"/>
              <w:left w:type="dxa" w:w="100"/>
              <w:bottom w:type="dxa" w:w="80"/>
              <w:right w:type="dxa" w:w="100"/>
            </w:tcMar>
          </w:tcPr>
          <w:p>
            <w:r>
              <w:rPr>
                <w:rFonts w:ascii="Arial" w:cs="Arial" w:eastAsia="Arial" w:hAnsi="Arial"/>
                <w:b/>
                <w:bCs/>
                <w:color w:val="1A1A2E"/>
                <w:sz w:val="19"/>
                <w:szCs w:val="19"/>
              </w:rPr>
              <w:t xml:space="preserve">Purpose specification</w:t>
            </w:r>
          </w:p>
        </w:tc>
        <w:tc>
          <w:tcPr>
            <w:tcW w:type="dxa" w:w="32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r>
              <w:rPr>
                <w:rFonts w:ascii="Arial" w:cs="Arial" w:eastAsia="Arial" w:hAnsi="Arial"/>
                <w:color w:val="000000"/>
                <w:sz w:val="19"/>
                <w:szCs w:val="19"/>
              </w:rPr>
              <w:t xml:space="preserve">Personal information must be collected for a specific, explicitly defined, and lawful purpose communicated to the data subject</w:t>
            </w:r>
          </w:p>
        </w:tc>
        <w:tc>
          <w:tcPr>
            <w:tcW w:type="dxa" w:w="436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r>
              <w:rPr>
                <w:rFonts w:ascii="Arial" w:cs="Arial" w:eastAsia="Arial" w:hAnsi="Arial"/>
                <w:color w:val="1B4F8A"/>
                <w:sz w:val="19"/>
                <w:szCs w:val="19"/>
              </w:rPr>
              <w:t xml:space="preserve">Data classification tags on AWS resources; S3 bucket naming conventions by data type; documented data flow diagrams</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bCs/>
                <w:color w:val="3C3489"/>
                <w:sz w:val="20"/>
                <w:szCs w:val="20"/>
              </w:rPr>
              <w:t xml:space="preserve">4</w:t>
            </w:r>
          </w:p>
        </w:tc>
        <w:tc>
          <w:tcPr>
            <w:tcW w:type="dxa" w:w="1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bCs/>
                <w:color w:val="1A1A2E"/>
                <w:sz w:val="19"/>
                <w:szCs w:val="19"/>
              </w:rPr>
              <w:t xml:space="preserve">Further processing limitation</w:t>
            </w:r>
          </w:p>
        </w:tc>
        <w:tc>
          <w:tcPr>
            <w:tcW w:type="dxa" w:w="3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color w:val="000000"/>
                <w:sz w:val="19"/>
                <w:szCs w:val="19"/>
              </w:rPr>
              <w:t xml:space="preserve">Further use of personal information must be compatible with the original collection purpose or subject to new consent</w:t>
            </w:r>
          </w:p>
        </w:tc>
        <w:tc>
          <w:tcPr>
            <w:tcW w:type="dxa" w:w="43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color w:val="1B4F8A"/>
                <w:sz w:val="19"/>
                <w:szCs w:val="19"/>
              </w:rPr>
              <w:t xml:space="preserve">S3 bucket policies restrict which services and accounts can read PII data; resource-based policies on DynamoDB tables</w:t>
            </w:r>
          </w:p>
        </w:tc>
      </w:tr>
      <w:tr>
        <w:tc>
          <w:tcPr>
            <w:tcW w:type="dxa" w:w="400"/>
            <w:tcBorders>
              <w:top w:val="single" w:color="CCCCCC" w:sz="4"/>
              <w:left w:val="single" w:color="CCCCCC" w:sz="4"/>
              <w:bottom w:val="single" w:color="CCCCCC" w:sz="4"/>
              <w:right w:val="single" w:color="CCCCCC" w:sz="4"/>
            </w:tcBorders>
            <w:shd w:fill="E5E3FC" w:val="clear"/>
            <w:tcMar>
              <w:top w:type="dxa" w:w="80"/>
              <w:left w:type="dxa" w:w="100"/>
              <w:bottom w:type="dxa" w:w="80"/>
              <w:right w:type="dxa" w:w="100"/>
            </w:tcMar>
          </w:tcPr>
          <w:p>
            <w:r>
              <w:rPr>
                <w:rFonts w:ascii="Arial" w:cs="Arial" w:eastAsia="Arial" w:hAnsi="Arial"/>
                <w:b/>
                <w:bCs/>
                <w:color w:val="3C3489"/>
                <w:sz w:val="20"/>
                <w:szCs w:val="20"/>
              </w:rPr>
              <w:t xml:space="preserve">5</w:t>
            </w:r>
          </w:p>
        </w:tc>
        <w:tc>
          <w:tcPr>
            <w:tcW w:type="dxa" w:w="1400"/>
            <w:tcBorders>
              <w:top w:val="single" w:color="CCCCCC" w:sz="4"/>
              <w:left w:val="single" w:color="CCCCCC" w:sz="4"/>
              <w:bottom w:val="single" w:color="CCCCCC" w:sz="4"/>
              <w:right w:val="single" w:color="CCCCCC" w:sz="4"/>
            </w:tcBorders>
            <w:shd w:fill="E5E3FC" w:val="clear"/>
            <w:tcMar>
              <w:top w:type="dxa" w:w="80"/>
              <w:left w:type="dxa" w:w="100"/>
              <w:bottom w:type="dxa" w:w="80"/>
              <w:right w:type="dxa" w:w="100"/>
            </w:tcMar>
          </w:tcPr>
          <w:p>
            <w:r>
              <w:rPr>
                <w:rFonts w:ascii="Arial" w:cs="Arial" w:eastAsia="Arial" w:hAnsi="Arial"/>
                <w:b/>
                <w:bCs/>
                <w:color w:val="1A1A2E"/>
                <w:sz w:val="19"/>
                <w:szCs w:val="19"/>
              </w:rPr>
              <w:t xml:space="preserve">Information quality</w:t>
            </w:r>
          </w:p>
        </w:tc>
        <w:tc>
          <w:tcPr>
            <w:tcW w:type="dxa" w:w="32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r>
              <w:rPr>
                <w:rFonts w:ascii="Arial" w:cs="Arial" w:eastAsia="Arial" w:hAnsi="Arial"/>
                <w:color w:val="000000"/>
                <w:sz w:val="19"/>
                <w:szCs w:val="19"/>
              </w:rPr>
              <w:t xml:space="preserve">Personal information must be complete, accurate, and kept up to date; data subjects must be able to correct inaccurate information</w:t>
            </w:r>
          </w:p>
        </w:tc>
        <w:tc>
          <w:tcPr>
            <w:tcW w:type="dxa" w:w="436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r>
              <w:rPr>
                <w:rFonts w:ascii="Arial" w:cs="Arial" w:eastAsia="Arial" w:hAnsi="Arial"/>
                <w:color w:val="1B4F8A"/>
                <w:sz w:val="19"/>
                <w:szCs w:val="19"/>
              </w:rPr>
              <w:t xml:space="preserve">RDS automated backups and Multi-AZ ensure data integrity; application-layer validation; audit logs of data modifications</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bCs/>
                <w:color w:val="3C3489"/>
                <w:sz w:val="20"/>
                <w:szCs w:val="20"/>
              </w:rPr>
              <w:t xml:space="preserve">6</w:t>
            </w:r>
          </w:p>
        </w:tc>
        <w:tc>
          <w:tcPr>
            <w:tcW w:type="dxa" w:w="1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bCs/>
                <w:color w:val="1A1A2E"/>
                <w:sz w:val="19"/>
                <w:szCs w:val="19"/>
              </w:rPr>
              <w:t xml:space="preserve">Openness</w:t>
            </w:r>
          </w:p>
        </w:tc>
        <w:tc>
          <w:tcPr>
            <w:tcW w:type="dxa" w:w="3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color w:val="000000"/>
                <w:sz w:val="19"/>
                <w:szCs w:val="19"/>
              </w:rPr>
              <w:t xml:space="preserve">Organisations must maintain a PAIA manual and notify data subjects about data collection purposes and the identity of the responsible party</w:t>
            </w:r>
          </w:p>
        </w:tc>
        <w:tc>
          <w:tcPr>
            <w:tcW w:type="dxa" w:w="43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color w:val="1B4F8A"/>
                <w:sz w:val="19"/>
                <w:szCs w:val="19"/>
              </w:rPr>
              <w:t xml:space="preserve">Privacy policy hosted on S3 static website; documented architecture for auditor review; ACM for HTTPS delivery of privacy notices</w:t>
            </w:r>
          </w:p>
        </w:tc>
      </w:tr>
      <w:tr>
        <w:tc>
          <w:tcPr>
            <w:tcW w:type="dxa" w:w="400"/>
            <w:tcBorders>
              <w:top w:val="single" w:color="CCCCCC" w:sz="4"/>
              <w:left w:val="single" w:color="CCCCCC" w:sz="4"/>
              <w:bottom w:val="single" w:color="CCCCCC" w:sz="4"/>
              <w:right w:val="single" w:color="CCCCCC" w:sz="4"/>
            </w:tcBorders>
            <w:shd w:fill="E5E3FC" w:val="clear"/>
            <w:tcMar>
              <w:top w:type="dxa" w:w="80"/>
              <w:left w:type="dxa" w:w="100"/>
              <w:bottom w:type="dxa" w:w="80"/>
              <w:right w:type="dxa" w:w="100"/>
            </w:tcMar>
          </w:tcPr>
          <w:p>
            <w:r>
              <w:rPr>
                <w:rFonts w:ascii="Arial" w:cs="Arial" w:eastAsia="Arial" w:hAnsi="Arial"/>
                <w:b/>
                <w:bCs/>
                <w:color w:val="3C3489"/>
                <w:sz w:val="20"/>
                <w:szCs w:val="20"/>
              </w:rPr>
              <w:t xml:space="preserve">7</w:t>
            </w:r>
          </w:p>
        </w:tc>
        <w:tc>
          <w:tcPr>
            <w:tcW w:type="dxa" w:w="1400"/>
            <w:tcBorders>
              <w:top w:val="single" w:color="CCCCCC" w:sz="4"/>
              <w:left w:val="single" w:color="CCCCCC" w:sz="4"/>
              <w:bottom w:val="single" w:color="CCCCCC" w:sz="4"/>
              <w:right w:val="single" w:color="CCCCCC" w:sz="4"/>
            </w:tcBorders>
            <w:shd w:fill="E5E3FC" w:val="clear"/>
            <w:tcMar>
              <w:top w:type="dxa" w:w="80"/>
              <w:left w:type="dxa" w:w="100"/>
              <w:bottom w:type="dxa" w:w="80"/>
              <w:right w:type="dxa" w:w="100"/>
            </w:tcMar>
          </w:tcPr>
          <w:p>
            <w:r>
              <w:rPr>
                <w:rFonts w:ascii="Arial" w:cs="Arial" w:eastAsia="Arial" w:hAnsi="Arial"/>
                <w:b/>
                <w:bCs/>
                <w:color w:val="1A1A2E"/>
                <w:sz w:val="19"/>
                <w:szCs w:val="19"/>
              </w:rPr>
              <w:t xml:space="preserve">Security safeguards</w:t>
            </w:r>
          </w:p>
        </w:tc>
        <w:tc>
          <w:tcPr>
            <w:tcW w:type="dxa" w:w="32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r>
              <w:rPr>
                <w:rFonts w:ascii="Arial" w:cs="Arial" w:eastAsia="Arial" w:hAnsi="Arial"/>
                <w:color w:val="000000"/>
                <w:sz w:val="19"/>
                <w:szCs w:val="19"/>
              </w:rPr>
              <w:t xml:space="preserve">Implement reasonable technical and organisational measures to protect personal information from loss, damage, or unauthorised access</w:t>
            </w:r>
          </w:p>
        </w:tc>
        <w:tc>
          <w:tcPr>
            <w:tcW w:type="dxa" w:w="436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r>
              <w:rPr>
                <w:rFonts w:ascii="Arial" w:cs="Arial" w:eastAsia="Arial" w:hAnsi="Arial"/>
                <w:color w:val="1B4F8A"/>
                <w:sz w:val="19"/>
                <w:szCs w:val="19"/>
              </w:rPr>
              <w:t xml:space="preserve">KMS encryption at rest (S3, EBS, RDS); TLS 1.2+ in transit; MFA on all IAM accounts; security groups restricting access; VPC Flow Logs; GuardDuty threat detection</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bCs/>
                <w:color w:val="3C3489"/>
                <w:sz w:val="20"/>
                <w:szCs w:val="20"/>
              </w:rPr>
              <w:t xml:space="preserve">8</w:t>
            </w:r>
          </w:p>
        </w:tc>
        <w:tc>
          <w:tcPr>
            <w:tcW w:type="dxa" w:w="1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bCs/>
                <w:color w:val="1A1A2E"/>
                <w:sz w:val="19"/>
                <w:szCs w:val="19"/>
              </w:rPr>
              <w:t xml:space="preserve">Data subject participation</w:t>
            </w:r>
          </w:p>
        </w:tc>
        <w:tc>
          <w:tcPr>
            <w:tcW w:type="dxa" w:w="3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color w:val="000000"/>
                <w:sz w:val="19"/>
                <w:szCs w:val="19"/>
              </w:rPr>
              <w:t xml:space="preserve">Data subjects have the right to request access to, correction of, and deletion of their personal information</w:t>
            </w:r>
          </w:p>
        </w:tc>
        <w:tc>
          <w:tcPr>
            <w:tcW w:type="dxa" w:w="43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color w:val="1B4F8A"/>
                <w:sz w:val="19"/>
                <w:szCs w:val="19"/>
              </w:rPr>
              <w:t xml:space="preserve">Application-level user data export and delete features; RDS point-in-time restore for correction; S3 Object expiration for deletion</w:t>
            </w:r>
          </w:p>
        </w:tc>
      </w:tr>
    </w:tbl>
    <w:p>
      <w:pPr>
        <w:spacing w:after="0" w:before="80"/>
        <w:jc w:val="left"/>
      </w:pPr>
      <w:r>
        <w:rPr>
          <w:rFonts w:ascii="Arial" w:cs="Arial" w:eastAsia="Arial" w:hAnsi="Arial"/>
          <w:b w:val="false"/>
          <w:bCs w:val="false"/>
          <w:i/>
          <w:iCs/>
          <w:color w:val="993C1D"/>
          <w:sz w:val="20"/>
          <w:szCs w:val="20"/>
        </w:rPr>
        <w:t xml:space="preserve">Penalty for non-compliance: up to R10 million fine or 10 years imprisonment for responsible parties. Breach notification must be submitted to the Information Regulator within 72 hours of discovery.</w:t>
      </w:r>
    </w:p>
    <w:p>
      <w:pPr>
        <w:spacing w:after="240" w:before="0"/>
      </w:pPr>
    </w:p>
    <w:p>
      <w:pPr>
        <w:pStyle w:val="Heading1"/>
        <w:pBdr>
          <w:bottom w:val="single" w:color="1B4F8A" w:sz="8" w:space="2"/>
        </w:pBdr>
        <w:spacing w:after="160" w:before="280"/>
      </w:pPr>
      <w:r>
        <w:rPr>
          <w:rFonts w:ascii="Arial" w:cs="Arial" w:eastAsia="Arial" w:hAnsi="Arial"/>
          <w:b/>
          <w:bCs/>
          <w:color w:val="1A1A2E"/>
          <w:sz w:val="28"/>
          <w:szCs w:val="28"/>
        </w:rPr>
        <w:t xml:space="preserve">7.4 Lesson Plans</w:t>
      </w:r>
    </w:p>
    <w:p>
      <w:pPr>
        <w:pBdr>
          <w:left w:val="thick" w:color="3C3489" w:sz="20" w:space="8"/>
        </w:pBdr>
        <w:spacing w:after="0" w:before="200"/>
      </w:pPr>
      <w:r>
        <w:rPr>
          <w:rFonts w:ascii="Arial" w:cs="Arial" w:eastAsia="Arial" w:hAnsi="Arial"/>
          <w:b/>
          <w:bCs/>
          <w:color w:val="3C3489"/>
          <w:sz w:val="26"/>
          <w:szCs w:val="26"/>
        </w:rPr>
        <w:t xml:space="preserve">  Lesson 1: </w:t>
      </w:r>
      <w:r>
        <w:rPr>
          <w:rFonts w:ascii="Arial" w:cs="Arial" w:eastAsia="Arial" w:hAnsi="Arial"/>
          <w:b/>
          <w:bCs/>
          <w:color w:val="1A1A2E"/>
          <w:sz w:val="26"/>
          <w:szCs w:val="26"/>
        </w:rPr>
        <w:t xml:space="preserve">Shared responsibility, encryption &amp; POPIA</w:t>
      </w:r>
    </w:p>
    <w:p>
      <w:pPr>
        <w:spacing w:after="160" w:before="40"/>
      </w:pPr>
      <w:r>
        <w:rPr>
          <w:rFonts w:ascii="Arial" w:cs="Arial" w:eastAsia="Arial" w:hAnsi="Arial"/>
          <w:i/>
          <w:iCs/>
          <w:color w:val="666666"/>
          <w:sz w:val="20"/>
          <w:szCs w:val="20"/>
        </w:rPr>
        <w:t xml:space="preserve">  Week 9 · Day 1  ·  5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120"/>
        <w:gridCol w:w="4620"/>
      </w:tblGrid>
      <w:tr>
        <w:tc>
          <w:tcPr>
            <w:tcW w:type="dxa" w:w="4620"/>
            <w:tcBorders>
              <w:top w:val="single" w:color="CCCCCC" w:sz="4"/>
              <w:left w:val="single" w:color="CCCCCC" w:sz="4"/>
              <w:bottom w:val="single" w:color="CCCCCC" w:sz="4"/>
              <w:right w:val="single" w:color="CCCCCC" w:sz="4"/>
            </w:tcBorders>
            <w:shd w:fill="E5E3FC" w:val="clear"/>
            <w:tcMar>
              <w:top w:type="dxa" w:w="100"/>
              <w:left w:type="dxa" w:w="120"/>
              <w:bottom w:type="dxa" w:w="100"/>
              <w:right w:type="dxa" w:w="120"/>
            </w:tcMar>
          </w:tcPr>
          <w:p>
            <w:pPr>
              <w:spacing w:after="80" w:before="0"/>
            </w:pPr>
            <w:r>
              <w:rPr>
                <w:rFonts w:ascii="Arial" w:cs="Arial" w:eastAsia="Arial" w:hAnsi="Arial"/>
                <w:b/>
                <w:bCs/>
                <w:color w:val="1A1A2E"/>
                <w:sz w:val="22"/>
                <w:szCs w:val="22"/>
              </w:rPr>
              <w:t xml:space="preserve">Lesson objectives</w:t>
            </w:r>
          </w:p>
          <w:p>
            <w:pPr>
              <w:pStyle w:val="ListParagraph"/>
              <w:numPr>
                <w:ilvl w:val="0"/>
                <w:numId w:val="3"/>
              </w:numPr>
              <w:spacing w:after="50" w:before="0"/>
            </w:pPr>
            <w:r>
              <w:rPr>
                <w:rFonts w:ascii="Arial" w:cs="Arial" w:eastAsia="Arial" w:hAnsi="Arial"/>
                <w:color w:val="000000"/>
                <w:sz w:val="20"/>
                <w:szCs w:val="20"/>
              </w:rPr>
              <w:t xml:space="preserve">Apply the Shared Responsibility Model across IaaS, PaaS, and SaaS service models</w:t>
            </w:r>
          </w:p>
          <w:p>
            <w:pPr>
              <w:pStyle w:val="ListParagraph"/>
              <w:numPr>
                <w:ilvl w:val="0"/>
                <w:numId w:val="3"/>
              </w:numPr>
              <w:spacing w:after="50" w:before="0"/>
            </w:pPr>
            <w:r>
              <w:rPr>
                <w:rFonts w:ascii="Arial" w:cs="Arial" w:eastAsia="Arial" w:hAnsi="Arial"/>
                <w:color w:val="000000"/>
                <w:sz w:val="20"/>
                <w:szCs w:val="20"/>
              </w:rPr>
              <w:t xml:space="preserve">Enable S3 server-side encryption using SSE-S3 and SSE-KMS with a customer-managed KMS key</w:t>
            </w:r>
          </w:p>
          <w:p>
            <w:pPr>
              <w:pStyle w:val="ListParagraph"/>
              <w:numPr>
                <w:ilvl w:val="0"/>
                <w:numId w:val="3"/>
              </w:numPr>
              <w:spacing w:after="50" w:before="0"/>
            </w:pPr>
            <w:r>
              <w:rPr>
                <w:rFonts w:ascii="Arial" w:cs="Arial" w:eastAsia="Arial" w:hAnsi="Arial"/>
                <w:color w:val="000000"/>
                <w:sz w:val="20"/>
                <w:szCs w:val="20"/>
              </w:rPr>
              <w:t xml:space="preserve">Enable EBS volume encryption and understand that RDS encryption must be configured at creation time</w:t>
            </w:r>
          </w:p>
          <w:p>
            <w:pPr>
              <w:pStyle w:val="ListParagraph"/>
              <w:numPr>
                <w:ilvl w:val="0"/>
                <w:numId w:val="3"/>
              </w:numPr>
              <w:spacing w:after="50" w:before="0"/>
            </w:pPr>
            <w:r>
              <w:rPr>
                <w:rFonts w:ascii="Arial" w:cs="Arial" w:eastAsia="Arial" w:hAnsi="Arial"/>
                <w:color w:val="000000"/>
                <w:sz w:val="20"/>
                <w:szCs w:val="20"/>
              </w:rPr>
              <w:t xml:space="preserve">Explain symmetric versus asymmetric encryption and how TLS certificate chains protect data in transit</w:t>
            </w:r>
          </w:p>
          <w:p>
            <w:pPr>
              <w:pStyle w:val="ListParagraph"/>
              <w:numPr>
                <w:ilvl w:val="0"/>
                <w:numId w:val="3"/>
              </w:numPr>
              <w:spacing w:after="50" w:before="0"/>
            </w:pPr>
            <w:r>
              <w:rPr>
                <w:rFonts w:ascii="Arial" w:cs="Arial" w:eastAsia="Arial" w:hAnsi="Arial"/>
                <w:color w:val="000000"/>
                <w:sz w:val="20"/>
                <w:szCs w:val="20"/>
              </w:rPr>
              <w:t xml:space="preserve">Map the 8 POPIA conditions to specific AWS security controls</w:t>
            </w:r>
          </w:p>
        </w:tc>
        <w:tc>
          <w:tcPr>
            <w:tcW w:type="dxa" w:w="120"/>
            <w:tcBorders>
              <w:top w:val="single" w:color="FFFFFF" w:sz="1"/>
              <w:left w:val="single" w:color="FFFFFF" w:sz="1"/>
              <w:bottom w:val="single" w:color="FFFFFF" w:sz="1"/>
              <w:right w:val="single" w:color="FFFFFF" w:sz="1"/>
            </w:tcBorders>
          </w:tcPr>
          <w:p>
            <w:pPr>
              <w:spacing w:after="120" w:before="0"/>
            </w:pPr>
          </w:p>
        </w:tc>
        <w:tc>
          <w:tcPr>
            <w:tcW w:type="dxa" w:w="4620"/>
            <w:tcBorders>
              <w:top w:val="single" w:color="CCCCCC" w:sz="4"/>
              <w:left w:val="single" w:color="CCCCCC" w:sz="4"/>
              <w:bottom w:val="single" w:color="CCCCCC" w:sz="4"/>
              <w:right w:val="single" w:color="CCCCCC" w:sz="4"/>
            </w:tcBorders>
            <w:shd w:fill="D8F2E9" w:val="clear"/>
            <w:tcMar>
              <w:top w:type="dxa" w:w="100"/>
              <w:left w:type="dxa" w:w="120"/>
              <w:bottom w:type="dxa" w:w="100"/>
              <w:right w:type="dxa" w:w="120"/>
            </w:tcMar>
          </w:tcPr>
          <w:p>
            <w:pPr>
              <w:spacing w:after="80" w:before="0"/>
            </w:pPr>
            <w:r>
              <w:rPr>
                <w:rFonts w:ascii="Arial" w:cs="Arial" w:eastAsia="Arial" w:hAnsi="Arial"/>
                <w:b/>
                <w:bCs/>
                <w:color w:val="1A1A2E"/>
                <w:sz w:val="22"/>
                <w:szCs w:val="22"/>
              </w:rPr>
              <w:t xml:space="preserve">Resources &amp; environment</w:t>
            </w:r>
          </w:p>
          <w:p>
            <w:pPr>
              <w:pStyle w:val="ListParagraph"/>
              <w:numPr>
                <w:ilvl w:val="0"/>
                <w:numId w:val="3"/>
              </w:numPr>
              <w:spacing w:after="50" w:before="0"/>
            </w:pPr>
            <w:r>
              <w:rPr>
                <w:rFonts w:ascii="Arial" w:cs="Arial" w:eastAsia="Arial" w:hAnsi="Arial"/>
                <w:color w:val="000000"/>
                <w:sz w:val="20"/>
                <w:szCs w:val="20"/>
              </w:rPr>
              <w:t xml:space="preserve">AWS console — learner accounts (Module 4 S3 bucket and EC2 instance still running)</w:t>
            </w:r>
          </w:p>
          <w:p>
            <w:pPr>
              <w:pStyle w:val="ListParagraph"/>
              <w:numPr>
                <w:ilvl w:val="0"/>
                <w:numId w:val="3"/>
              </w:numPr>
              <w:spacing w:after="50" w:before="0"/>
            </w:pPr>
            <w:r>
              <w:rPr>
                <w:rFonts w:ascii="Arial" w:cs="Arial" w:eastAsia="Arial" w:hAnsi="Arial"/>
                <w:color w:val="000000"/>
                <w:sz w:val="20"/>
                <w:szCs w:val="20"/>
              </w:rPr>
              <w:t xml:space="preserve">Slides: Shared Responsibility Model diagram per service type (IaaS, PaaS, SaaS)</w:t>
            </w:r>
          </w:p>
          <w:p>
            <w:pPr>
              <w:pStyle w:val="ListParagraph"/>
              <w:numPr>
                <w:ilvl w:val="0"/>
                <w:numId w:val="3"/>
              </w:numPr>
              <w:spacing w:after="50" w:before="0"/>
            </w:pPr>
            <w:r>
              <w:rPr>
                <w:rFonts w:ascii="Arial" w:cs="Arial" w:eastAsia="Arial" w:hAnsi="Arial"/>
                <w:color w:val="000000"/>
                <w:sz w:val="20"/>
                <w:szCs w:val="20"/>
              </w:rPr>
              <w:t xml:space="preserve">Handout: POPIA 8 conditions to AWS controls mapping card (printed, one per learner)</w:t>
            </w:r>
          </w:p>
          <w:p>
            <w:pPr>
              <w:pStyle w:val="ListParagraph"/>
              <w:numPr>
                <w:ilvl w:val="0"/>
                <w:numId w:val="3"/>
              </w:numPr>
              <w:spacing w:after="50" w:before="0"/>
            </w:pPr>
            <w:r>
              <w:rPr>
                <w:rFonts w:ascii="Arial" w:cs="Arial" w:eastAsia="Arial" w:hAnsi="Arial"/>
                <w:color w:val="000000"/>
                <w:sz w:val="20"/>
                <w:szCs w:val="20"/>
              </w:rPr>
              <w:t xml:space="preserve">Printed: encryption decision tree worksheet</w:t>
            </w:r>
          </w:p>
          <w:p>
            <w:pPr>
              <w:pStyle w:val="ListParagraph"/>
              <w:numPr>
                <w:ilvl w:val="0"/>
                <w:numId w:val="3"/>
              </w:numPr>
              <w:spacing w:after="50" w:before="0"/>
            </w:pPr>
            <w:r>
              <w:rPr>
                <w:rFonts w:ascii="Arial" w:cs="Arial" w:eastAsia="Arial" w:hAnsi="Arial"/>
                <w:color w:val="000000"/>
                <w:sz w:val="20"/>
                <w:szCs w:val="20"/>
              </w:rPr>
              <w:t xml:space="preserve">Note: KMS CMKs cost $1 per month — remind learners to schedule deletion after the course</w:t>
            </w:r>
          </w:p>
        </w:tc>
      </w:tr>
    </w:tbl>
    <w:p>
      <w:pPr>
        <w:spacing w:after="120" w:before="0"/>
      </w:pPr>
    </w:p>
    <w:p>
      <w:pPr>
        <w:spacing w:after="80" w:before="160"/>
      </w:pPr>
      <w:r>
        <w:rPr>
          <w:rFonts w:ascii="Arial" w:cs="Arial" w:eastAsia="Arial" w:hAnsi="Arial"/>
          <w:b/>
          <w:bCs/>
          <w:color w:val="1A1A2E"/>
          <w:sz w:val="22"/>
          <w:szCs w:val="22"/>
        </w:rPr>
        <w:t xml:space="preserve">Session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7260"/>
      </w:tblGrid>
      <w:tr>
        <w:trPr>
          <w:tblHeader/>
        </w:trPr>
        <w:tc>
          <w:tcPr>
            <w:tcW w:type="dxa" w:w="800"/>
            <w:tcBorders>
              <w:top w:val="single" w:color="1B4F8A" w:sz="6"/>
              <w:left w:val="single" w:color="1B4F8A" w:sz="6"/>
              <w:bottom w:val="single" w:color="1B4F8A" w:sz="6"/>
              <w:right w:val="single" w:color="1B4F8A" w:sz="6"/>
            </w:tcBorders>
            <w:shd w:fill="1B4F8A" w:val="clear"/>
            <w:tcMar>
              <w:top w:type="dxa" w:w="80"/>
              <w:left w:type="dxa" w:w="100"/>
              <w:bottom w:type="dxa" w:w="80"/>
              <w:right w:type="dxa" w:w="100"/>
            </w:tcMar>
          </w:tcPr>
          <w:p>
            <w:r>
              <w:rPr>
                <w:rFonts w:ascii="Arial" w:cs="Arial" w:eastAsia="Arial" w:hAnsi="Arial"/>
                <w:b/>
                <w:bCs/>
                <w:color w:val="FFFFFF"/>
                <w:sz w:val="20"/>
                <w:szCs w:val="20"/>
              </w:rPr>
              <w:t xml:space="preserve">Time</w:t>
            </w:r>
          </w:p>
        </w:tc>
        <w:tc>
          <w:tcPr>
            <w:tcW w:type="dxa" w:w="1300"/>
            <w:tcBorders>
              <w:top w:val="single" w:color="1B4F8A" w:sz="6"/>
              <w:left w:val="single" w:color="1B4F8A" w:sz="6"/>
              <w:bottom w:val="single" w:color="1B4F8A" w:sz="6"/>
              <w:right w:val="single" w:color="1B4F8A" w:sz="6"/>
            </w:tcBorders>
            <w:shd w:fill="1B4F8A" w:val="clear"/>
            <w:tcMar>
              <w:top w:type="dxa" w:w="80"/>
              <w:left w:type="dxa" w:w="100"/>
              <w:bottom w:type="dxa" w:w="80"/>
              <w:right w:type="dxa" w:w="100"/>
            </w:tcMar>
          </w:tcPr>
          <w:p>
            <w:r>
              <w:rPr>
                <w:rFonts w:ascii="Arial" w:cs="Arial" w:eastAsia="Arial" w:hAnsi="Arial"/>
                <w:b/>
                <w:bCs/>
                <w:color w:val="FFFFFF"/>
                <w:sz w:val="20"/>
                <w:szCs w:val="20"/>
              </w:rPr>
              <w:t xml:space="preserve">Type</w:t>
            </w:r>
          </w:p>
        </w:tc>
        <w:tc>
          <w:tcPr>
            <w:tcW w:type="dxa" w:w="7260"/>
            <w:tcBorders>
              <w:top w:val="single" w:color="1B4F8A" w:sz="6"/>
              <w:left w:val="single" w:color="1B4F8A" w:sz="6"/>
              <w:bottom w:val="single" w:color="1B4F8A" w:sz="6"/>
              <w:right w:val="single" w:color="1B4F8A" w:sz="6"/>
            </w:tcBorders>
            <w:shd w:fill="1B4F8A" w:val="clear"/>
            <w:tcMar>
              <w:top w:type="dxa" w:w="80"/>
              <w:left w:type="dxa" w:w="100"/>
              <w:bottom w:type="dxa" w:w="80"/>
              <w:right w:type="dxa" w:w="100"/>
            </w:tcMar>
          </w:tcPr>
          <w:p>
            <w:r>
              <w:rPr>
                <w:rFonts w:ascii="Arial" w:cs="Arial" w:eastAsia="Arial" w:hAnsi="Arial"/>
                <w:b/>
                <w:bCs/>
                <w:color w:val="FFFFFF"/>
                <w:sz w:val="20"/>
                <w:szCs w:val="20"/>
              </w:rPr>
              <w:t xml:space="preserve">Activity &amp; description</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vAlign w:val="top"/>
          </w:tcPr>
          <w:p>
            <w:r>
              <w:rPr>
                <w:rFonts w:ascii="Arial" w:cs="Arial" w:eastAsia="Arial" w:hAnsi="Arial"/>
                <w:b/>
                <w:bCs/>
                <w:color w:val="666666"/>
                <w:sz w:val="19"/>
                <w:szCs w:val="19"/>
              </w:rPr>
              <w:t xml:space="preserve">0:00</w:t>
            </w:r>
          </w:p>
        </w:tc>
        <w:tc>
          <w:tcPr>
            <w:tcW w:type="dxa" w:w="1300"/>
            <w:tcBorders>
              <w:top w:val="single" w:color="CCCCCC" w:sz="4"/>
              <w:left w:val="single" w:color="CCCCCC" w:sz="4"/>
              <w:bottom w:val="single" w:color="CCCCCC" w:sz="4"/>
              <w:right w:val="single" w:color="CCCCCC" w:sz="4"/>
            </w:tcBorders>
            <w:shd w:fill="E5E3FC" w:val="clear"/>
            <w:tcMar>
              <w:top w:type="dxa" w:w="80"/>
              <w:left w:type="dxa" w:w="100"/>
              <w:bottom w:type="dxa" w:w="80"/>
              <w:right w:type="dxa" w:w="100"/>
            </w:tcMar>
            <w:vAlign w:val="top"/>
          </w:tcPr>
          <w:p>
            <w:r>
              <w:rPr>
                <w:rFonts w:ascii="Arial" w:cs="Arial" w:eastAsia="Arial" w:hAnsi="Arial"/>
                <w:b/>
                <w:bCs/>
                <w:color w:val="3C3489"/>
                <w:sz w:val="19"/>
                <w:szCs w:val="19"/>
              </w:rPr>
              <w:t xml:space="preserve">Discussion</w:t>
            </w:r>
          </w:p>
        </w:tc>
        <w:tc>
          <w:tcPr>
            <w:tcW w:type="dxa" w:w="72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r>
              <w:rPr>
                <w:rFonts w:ascii="Arial" w:cs="Arial" w:eastAsia="Arial" w:hAnsi="Arial"/>
                <w:color w:val="000000"/>
                <w:sz w:val="20"/>
                <w:szCs w:val="20"/>
              </w:rPr>
              <w:t xml:space="preserve">The 2017 Equifax breach — whose responsibility? (20 min) — Equifax failed to patch a known critical vulnerability in Apache Struts running on their own application servers, which happened to be hosted on AWS. AWS's physical infrastructure and hypervisor were completely unaffected. Attackers exploited the unpatched application and exfiltrated 147 million customer records over 76 days. The regulatory fine was $575 million. The lesson: AWS secures the cloud — you are responsible for everything inside it. This single breach defines the Shared Responsibility Model for the rest of the lesson.</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rFonts w:ascii="Arial" w:cs="Arial" w:eastAsia="Arial" w:hAnsi="Arial"/>
                <w:b/>
                <w:bCs/>
                <w:color w:val="666666"/>
                <w:sz w:val="19"/>
                <w:szCs w:val="19"/>
              </w:rPr>
              <w:t xml:space="preserve">0:20</w:t>
            </w:r>
          </w:p>
        </w:tc>
        <w:tc>
          <w:tcPr>
            <w:tcW w:type="dxa" w:w="1300"/>
            <w:tcBorders>
              <w:top w:val="single" w:color="CCCCCC" w:sz="4"/>
              <w:left w:val="single" w:color="CCCCCC" w:sz="4"/>
              <w:bottom w:val="single" w:color="CCCCCC" w:sz="4"/>
              <w:right w:val="single" w:color="CCCCCC" w:sz="4"/>
            </w:tcBorders>
            <w:shd w:fill="D6E8F8" w:val="clear"/>
            <w:tcMar>
              <w:top w:type="dxa" w:w="80"/>
              <w:left w:type="dxa" w:w="100"/>
              <w:bottom w:type="dxa" w:w="80"/>
              <w:right w:type="dxa" w:w="100"/>
            </w:tcMar>
            <w:vAlign w:val="top"/>
          </w:tcPr>
          <w:p>
            <w:r>
              <w:rPr>
                <w:rFonts w:ascii="Arial" w:cs="Arial" w:eastAsia="Arial" w:hAnsi="Arial"/>
                <w:b/>
                <w:bCs/>
                <w:color w:val="1B4F8A"/>
                <w:sz w:val="19"/>
                <w:szCs w:val="19"/>
              </w:rPr>
              <w:t xml:space="preserve">Lecture</w:t>
            </w:r>
          </w:p>
        </w:tc>
        <w:tc>
          <w:tcPr>
            <w:tcW w:type="dxa" w:w="7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000000"/>
                <w:sz w:val="20"/>
                <w:szCs w:val="20"/>
              </w:rPr>
              <w:t xml:space="preserve">The AWS Shared Responsibility Model (45 min) — AWS is responsible FOR the cloud: physical data centres including the Cape Town af-south-1 facility, networking hardware, hypervisor software, and managed service software such as RDS engine patches. The customer is responsible IN the cloud: EC2 operating system patching and updates, application code vulnerabilities, data classification and encryption configuration, IAM policy correctness, VPC network access rules, and firewall configuration. How the responsibility boundary shifts per service model: IaaS (EC2) — customer manages the most; PaaS (RDS, Elastic Beanstalk) — AWS manages more of the stack; SaaS (S3, DynamoDB) — AWS manages almost all infrastructure layers. A memorable reframe: the S in AWS does not stand for Security.</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vAlign w:val="top"/>
          </w:tcPr>
          <w:p>
            <w:r>
              <w:rPr>
                <w:rFonts w:ascii="Arial" w:cs="Arial" w:eastAsia="Arial" w:hAnsi="Arial"/>
                <w:b/>
                <w:bCs/>
                <w:color w:val="666666"/>
                <w:sz w:val="19"/>
                <w:szCs w:val="19"/>
              </w:rPr>
              <w:t xml:space="preserve">1:05</w:t>
            </w:r>
          </w:p>
        </w:tc>
        <w:tc>
          <w:tcPr>
            <w:tcW w:type="dxa" w:w="1300"/>
            <w:tcBorders>
              <w:top w:val="single" w:color="CCCCCC" w:sz="4"/>
              <w:left w:val="single" w:color="CCCCCC" w:sz="4"/>
              <w:bottom w:val="single" w:color="CCCCCC" w:sz="4"/>
              <w:right w:val="single" w:color="CCCCCC" w:sz="4"/>
            </w:tcBorders>
            <w:shd w:fill="D6E8F8" w:val="clear"/>
            <w:tcMar>
              <w:top w:type="dxa" w:w="80"/>
              <w:left w:type="dxa" w:w="100"/>
              <w:bottom w:type="dxa" w:w="80"/>
              <w:right w:type="dxa" w:w="100"/>
            </w:tcMar>
            <w:vAlign w:val="top"/>
          </w:tcPr>
          <w:p>
            <w:r>
              <w:rPr>
                <w:rFonts w:ascii="Arial" w:cs="Arial" w:eastAsia="Arial" w:hAnsi="Arial"/>
                <w:b/>
                <w:bCs/>
                <w:color w:val="1B4F8A"/>
                <w:sz w:val="19"/>
                <w:szCs w:val="19"/>
              </w:rPr>
              <w:t xml:space="preserve">Lecture</w:t>
            </w:r>
          </w:p>
        </w:tc>
        <w:tc>
          <w:tcPr>
            <w:tcW w:type="dxa" w:w="72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r>
              <w:rPr>
                <w:rFonts w:ascii="Arial" w:cs="Arial" w:eastAsia="Arial" w:hAnsi="Arial"/>
                <w:color w:val="000000"/>
                <w:sz w:val="20"/>
                <w:szCs w:val="20"/>
              </w:rPr>
              <w:t xml:space="preserve">Encryption fundamentals and AWS KMS (40 min) — Symmetric encryption: the same key both encrypts and decrypts (AES-256 — the standard for data at rest). Asymmetric encryption: a public key encrypts, only the corresponding private key decrypts (RSA — used in TLS handshakes and digital signatures). Encryption at rest protects data when it is stored on a disk or in an object store from physical media theft or unauthorised storage-level access. Encryption in transit protects data as it travels across a network from eavesdropping and man-in-the-middle attacks (TLS 1.2 and 1.3). AWS Key Management Service: a managed service for creating and controlling encryption keys. Customer Master Keys (CMKs): either AWS-managed (free, managed by AWS) or customer-managed ($1/month, full key policy control). KMS integrates natively with S3, EBS, RDS, Secrets Manager, CloudTrail, and Lambda.</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rFonts w:ascii="Arial" w:cs="Arial" w:eastAsia="Arial" w:hAnsi="Arial"/>
                <w:b/>
                <w:bCs/>
                <w:color w:val="666666"/>
                <w:sz w:val="19"/>
                <w:szCs w:val="19"/>
              </w:rPr>
              <w:t xml:space="preserve">1:45</w:t>
            </w:r>
          </w:p>
        </w:tc>
        <w:tc>
          <w:tcPr>
            <w:tcW w:type="dxa" w:w="1300"/>
            <w:tcBorders>
              <w:top w:val="single" w:color="CCCCCC" w:sz="4"/>
              <w:left w:val="single" w:color="CCCCCC" w:sz="4"/>
              <w:bottom w:val="single" w:color="CCCCCC" w:sz="4"/>
              <w:right w:val="single" w:color="CCCCCC" w:sz="4"/>
            </w:tcBorders>
            <w:shd w:fill="D8F2E9" w:val="clear"/>
            <w:tcMar>
              <w:top w:type="dxa" w:w="80"/>
              <w:left w:type="dxa" w:w="100"/>
              <w:bottom w:type="dxa" w:w="80"/>
              <w:right w:type="dxa" w:w="100"/>
            </w:tcMar>
            <w:vAlign w:val="top"/>
          </w:tcPr>
          <w:p>
            <w:r>
              <w:rPr>
                <w:rFonts w:ascii="Arial" w:cs="Arial" w:eastAsia="Arial" w:hAnsi="Arial"/>
                <w:b/>
                <w:bCs/>
                <w:color w:val="0F6E56"/>
                <w:sz w:val="19"/>
                <w:szCs w:val="19"/>
              </w:rPr>
              <w:t xml:space="preserve">Lab</w:t>
            </w:r>
          </w:p>
        </w:tc>
        <w:tc>
          <w:tcPr>
            <w:tcW w:type="dxa" w:w="7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000000"/>
                <w:sz w:val="20"/>
                <w:szCs w:val="20"/>
              </w:rPr>
              <w:t xml:space="preserve">Lab 5a — Enable encryption on S3 and EBS (60 min) — Tasks: (1) on the Module 4 S3 bucket, enable default server-side encryption using SSE-S3 (AES-256 — free); verify new uploads show AES-256 encryption in object properties; (2) create a customer-managed KMS CMK in af-south-1 with the alias gda-lab-key; (3) change the S3 bucket default encryption to SSE-KMS using the new CMK; upload a test file and confirm it shows the KMS key ARN in object properties; (4) in EC2, create a new 5 GB gp3 EBS volume with the encryption checkbox enabled, selecting the gda-lab-key CMK; (5) written task: would an unencrypted S3 bucket containing customer PII violate POPIA Condition 7 (Security safeguards)? Write a 3-sentence justification with reference to the specific POPIA condition and the relevant AWS control. Submit Lab 5a.</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vAlign w:val="top"/>
          </w:tcPr>
          <w:p>
            <w:r>
              <w:rPr>
                <w:rFonts w:ascii="Arial" w:cs="Arial" w:eastAsia="Arial" w:hAnsi="Arial"/>
                <w:b/>
                <w:bCs/>
                <w:color w:val="666666"/>
                <w:sz w:val="19"/>
                <w:szCs w:val="19"/>
              </w:rPr>
              <w:t xml:space="preserve">2:45</w:t>
            </w:r>
          </w:p>
        </w:tc>
        <w:tc>
          <w:tcPr>
            <w:tcW w:type="dxa" w:w="13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vAlign w:val="top"/>
          </w:tcPr>
          <w:p>
            <w:r>
              <w:rPr>
                <w:rFonts w:ascii="Arial" w:cs="Arial" w:eastAsia="Arial" w:hAnsi="Arial"/>
                <w:b/>
                <w:bCs/>
                <w:color w:val="666666"/>
                <w:sz w:val="19"/>
                <w:szCs w:val="19"/>
              </w:rPr>
              <w:t xml:space="preserve">Break</w:t>
            </w:r>
          </w:p>
        </w:tc>
        <w:tc>
          <w:tcPr>
            <w:tcW w:type="dxa" w:w="72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r>
              <w:rPr>
                <w:rFonts w:ascii="Arial" w:cs="Arial" w:eastAsia="Arial" w:hAnsi="Arial"/>
                <w:color w:val="000000"/>
                <w:sz w:val="20"/>
                <w:szCs w:val="20"/>
              </w:rPr>
              <w:t xml:space="preserve">15 minutes</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rFonts w:ascii="Arial" w:cs="Arial" w:eastAsia="Arial" w:hAnsi="Arial"/>
                <w:b/>
                <w:bCs/>
                <w:color w:val="666666"/>
                <w:sz w:val="19"/>
                <w:szCs w:val="19"/>
              </w:rPr>
              <w:t xml:space="preserve">3:00</w:t>
            </w:r>
          </w:p>
        </w:tc>
        <w:tc>
          <w:tcPr>
            <w:tcW w:type="dxa" w:w="1300"/>
            <w:tcBorders>
              <w:top w:val="single" w:color="CCCCCC" w:sz="4"/>
              <w:left w:val="single" w:color="CCCCCC" w:sz="4"/>
              <w:bottom w:val="single" w:color="CCCCCC" w:sz="4"/>
              <w:right w:val="single" w:color="CCCCCC" w:sz="4"/>
            </w:tcBorders>
            <w:shd w:fill="D6E8F8" w:val="clear"/>
            <w:tcMar>
              <w:top w:type="dxa" w:w="80"/>
              <w:left w:type="dxa" w:w="100"/>
              <w:bottom w:type="dxa" w:w="80"/>
              <w:right w:type="dxa" w:w="100"/>
            </w:tcMar>
            <w:vAlign w:val="top"/>
          </w:tcPr>
          <w:p>
            <w:r>
              <w:rPr>
                <w:rFonts w:ascii="Arial" w:cs="Arial" w:eastAsia="Arial" w:hAnsi="Arial"/>
                <w:b/>
                <w:bCs/>
                <w:color w:val="1B4F8A"/>
                <w:sz w:val="19"/>
                <w:szCs w:val="19"/>
              </w:rPr>
              <w:t xml:space="preserve">Lecture</w:t>
            </w:r>
          </w:p>
        </w:tc>
        <w:tc>
          <w:tcPr>
            <w:tcW w:type="dxa" w:w="7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000000"/>
                <w:sz w:val="20"/>
                <w:szCs w:val="20"/>
              </w:rPr>
              <w:t xml:space="preserve">POPIA and cloud data in South Africa (50 min) — POPIA came into full effect on 1 July 2021 and applies to any organisation, public or private, that processes the personal information of South African residents. Personal information includes names, ID numbers, email addresses, location data, biometric data, and any information that can identify a living person. The 8 conditions in detail: Accountability (appoint an Information Officer, maintain records of processing activities — CloudTrail provides the audit trail); Processing limitation (collect only what is necessary, IAM least privilege restricts access to PII data stores); Purpose specification (data classification tags on AWS resources document the intended purpose); Further processing limitation (S3 bucket policies prevent unauthorised secondary use); Information quality (RDS automated backups maintain data integrity); Openness (privacy policy hosted on S3, architecture documentation for regulators); Security safeguards (KMS encryption, TLS 1.2+, MFA, security groups, VPC Flow Logs — the technical implementation pillar of POPIA); Data subject participation (application-level features for data access, correction, and deletion requests). Penalties: up to R10 million fine or 10 years imprisonment. Breach notification to the Information Regulator required within 72 hours.</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vAlign w:val="top"/>
          </w:tcPr>
          <w:p>
            <w:r>
              <w:rPr>
                <w:rFonts w:ascii="Arial" w:cs="Arial" w:eastAsia="Arial" w:hAnsi="Arial"/>
                <w:b/>
                <w:bCs/>
                <w:color w:val="666666"/>
                <w:sz w:val="19"/>
                <w:szCs w:val="19"/>
              </w:rPr>
              <w:t xml:space="preserve">3:50</w:t>
            </w:r>
          </w:p>
        </w:tc>
        <w:tc>
          <w:tcPr>
            <w:tcW w:type="dxa" w:w="1300"/>
            <w:tcBorders>
              <w:top w:val="single" w:color="CCCCCC" w:sz="4"/>
              <w:left w:val="single" w:color="CCCCCC" w:sz="4"/>
              <w:bottom w:val="single" w:color="CCCCCC" w:sz="4"/>
              <w:right w:val="single" w:color="CCCCCC" w:sz="4"/>
            </w:tcBorders>
            <w:shd w:fill="E5E3FC" w:val="clear"/>
            <w:tcMar>
              <w:top w:type="dxa" w:w="80"/>
              <w:left w:type="dxa" w:w="100"/>
              <w:bottom w:type="dxa" w:w="80"/>
              <w:right w:type="dxa" w:w="100"/>
            </w:tcMar>
            <w:vAlign w:val="top"/>
          </w:tcPr>
          <w:p>
            <w:r>
              <w:rPr>
                <w:rFonts w:ascii="Arial" w:cs="Arial" w:eastAsia="Arial" w:hAnsi="Arial"/>
                <w:b/>
                <w:bCs/>
                <w:color w:val="3C3489"/>
                <w:sz w:val="19"/>
                <w:szCs w:val="19"/>
              </w:rPr>
              <w:t xml:space="preserve">Workshop</w:t>
            </w:r>
          </w:p>
        </w:tc>
        <w:tc>
          <w:tcPr>
            <w:tcW w:type="dxa" w:w="72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r>
              <w:rPr>
                <w:rFonts w:ascii="Arial" w:cs="Arial" w:eastAsia="Arial" w:hAnsi="Arial"/>
                <w:color w:val="000000"/>
                <w:sz w:val="20"/>
                <w:szCs w:val="20"/>
              </w:rPr>
              <w:t xml:space="preserve">POPIA compliance audit of the 2-tier application (50 min) — Using the Module 4 2-tier application architecture, learners perform a structured POPIA compliance review. For each of the 8 conditions: is the current architecture compliant? If not, what specific AWS control would bring it into compliance and what is the estimated implementation effort (Low, Medium, or High)? Groups are assigned two conditions each and present their findings. The facilitator consolidates all findings into a shared compliance gap register on a whiteboard — a professional deliverable format that mirrors real information security governance work.</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rFonts w:ascii="Arial" w:cs="Arial" w:eastAsia="Arial" w:hAnsi="Arial"/>
                <w:b/>
                <w:bCs/>
                <w:color w:val="666666"/>
                <w:sz w:val="19"/>
                <w:szCs w:val="19"/>
              </w:rPr>
              <w:t xml:space="preserve">4:40</w:t>
            </w:r>
          </w:p>
        </w:tc>
        <w:tc>
          <w:tcPr>
            <w:tcW w:type="dxa" w:w="1300"/>
            <w:tcBorders>
              <w:top w:val="single" w:color="CCCCCC" w:sz="4"/>
              <w:left w:val="single" w:color="CCCCCC" w:sz="4"/>
              <w:bottom w:val="single" w:color="CCCCCC" w:sz="4"/>
              <w:right w:val="single" w:color="CCCCCC" w:sz="4"/>
            </w:tcBorders>
            <w:shd w:fill="E1F5EE" w:val="clear"/>
            <w:tcMar>
              <w:top w:type="dxa" w:w="80"/>
              <w:left w:type="dxa" w:w="100"/>
              <w:bottom w:type="dxa" w:w="80"/>
              <w:right w:type="dxa" w:w="100"/>
            </w:tcMar>
            <w:vAlign w:val="top"/>
          </w:tcPr>
          <w:p>
            <w:r>
              <w:rPr>
                <w:rFonts w:ascii="Arial" w:cs="Arial" w:eastAsia="Arial" w:hAnsi="Arial"/>
                <w:b/>
                <w:bCs/>
                <w:color w:val="085041"/>
                <w:sz w:val="19"/>
                <w:szCs w:val="19"/>
              </w:rPr>
              <w:t xml:space="preserve">Wrap-up</w:t>
            </w:r>
          </w:p>
        </w:tc>
        <w:tc>
          <w:tcPr>
            <w:tcW w:type="dxa" w:w="7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000000"/>
                <w:sz w:val="20"/>
                <w:szCs w:val="20"/>
              </w:rPr>
              <w:t xml:space="preserve">Encryption decisions flowchart (20 min) — Learners complete a printed decision tree: given a data type (PII such as SA ID numbers, financial transaction records, public marketing content, application log files), choose: should it be encrypted at rest? Which AWS encryption service and storage class? Should it be encrypted in transit? Which protocol and port? The facilitator reviews the most commonly incorrect entries and explains the reasoning.</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120"/>
        <w:gridCol w:w="4620"/>
      </w:tblGrid>
      <w:tr>
        <w:tc>
          <w:tcPr>
            <w:tcW w:type="dxa" w:w="4620"/>
            <w:tcBorders>
              <w:top w:val="single" w:color="CCCCCC" w:sz="4"/>
              <w:left w:val="single" w:color="CCCCCC" w:sz="4"/>
              <w:bottom w:val="single" w:color="CCCCCC" w:sz="4"/>
              <w:right w:val="single" w:color="CCCCCC" w:sz="4"/>
            </w:tcBorders>
            <w:shd w:fill="FDF0D5" w:val="clear"/>
            <w:tcMar>
              <w:top w:type="dxa" w:w="100"/>
              <w:left w:type="dxa" w:w="120"/>
              <w:bottom w:type="dxa" w:w="100"/>
              <w:right w:type="dxa" w:w="120"/>
            </w:tcMar>
          </w:tcPr>
          <w:p>
            <w:pPr>
              <w:spacing w:after="80" w:before="0"/>
            </w:pPr>
            <w:r>
              <w:rPr>
                <w:rFonts w:ascii="Arial" w:cs="Arial" w:eastAsia="Arial" w:hAnsi="Arial"/>
                <w:b/>
                <w:bCs/>
                <w:color w:val="1A1A2E"/>
                <w:sz w:val="22"/>
                <w:szCs w:val="22"/>
              </w:rPr>
              <w:t xml:space="preserve">Formative assessment</w:t>
            </w:r>
          </w:p>
          <w:p>
            <w:pPr>
              <w:pStyle w:val="ListParagraph"/>
              <w:numPr>
                <w:ilvl w:val="0"/>
                <w:numId w:val="3"/>
              </w:numPr>
              <w:spacing w:after="50" w:before="0"/>
            </w:pPr>
            <w:r>
              <w:rPr>
                <w:rFonts w:ascii="Arial" w:cs="Arial" w:eastAsia="Arial" w:hAnsi="Arial"/>
                <w:color w:val="000000"/>
                <w:sz w:val="20"/>
                <w:szCs w:val="20"/>
              </w:rPr>
              <w:t xml:space="preserve">Lab 5a: SSE-KMS encrypted S3 bucket screenshot, KMS CMK created, encrypted EBS volume confirmed, and written POPIA Condition 7 justification — all submitted to LMS</w:t>
            </w:r>
          </w:p>
          <w:p>
            <w:pPr>
              <w:pStyle w:val="ListParagraph"/>
              <w:numPr>
                <w:ilvl w:val="0"/>
                <w:numId w:val="3"/>
              </w:numPr>
              <w:spacing w:after="50" w:before="0"/>
            </w:pPr>
            <w:r>
              <w:rPr>
                <w:rFonts w:ascii="Arial" w:cs="Arial" w:eastAsia="Arial" w:hAnsi="Arial"/>
                <w:color w:val="000000"/>
                <w:sz w:val="20"/>
                <w:szCs w:val="20"/>
              </w:rPr>
              <w:t xml:space="preserve">POPIA compliance gap register: each group's assigned conditions reviewed and consolidated by facilitator</w:t>
            </w:r>
          </w:p>
        </w:tc>
        <w:tc>
          <w:tcPr>
            <w:tcW w:type="dxa" w:w="120"/>
            <w:tcBorders>
              <w:top w:val="single" w:color="FFFFFF" w:sz="1"/>
              <w:left w:val="single" w:color="FFFFFF" w:sz="1"/>
              <w:bottom w:val="single" w:color="FFFFFF" w:sz="1"/>
              <w:right w:val="single" w:color="FFFFFF" w:sz="1"/>
            </w:tcBorders>
          </w:tcPr>
          <w:p>
            <w:pPr>
              <w:spacing w:after="120" w:before="0"/>
            </w:pPr>
          </w:p>
        </w:tc>
        <w:tc>
          <w:tcPr>
            <w:tcW w:type="dxa" w:w="4620"/>
            <w:tcBorders>
              <w:top w:val="single" w:color="CCCCCC" w:sz="4"/>
              <w:left w:val="single" w:color="CCCCCC" w:sz="4"/>
              <w:bottom w:val="single" w:color="CCCCCC" w:sz="4"/>
              <w:right w:val="single" w:color="CCCCCC" w:sz="4"/>
            </w:tcBorders>
            <w:shd w:fill="E5E3FC" w:val="clear"/>
            <w:tcMar>
              <w:top w:type="dxa" w:w="100"/>
              <w:left w:type="dxa" w:w="120"/>
              <w:bottom w:type="dxa" w:w="100"/>
              <w:right w:type="dxa" w:w="120"/>
            </w:tcMar>
          </w:tcPr>
          <w:p>
            <w:pPr>
              <w:spacing w:after="80" w:before="0"/>
            </w:pPr>
            <w:r>
              <w:rPr>
                <w:rFonts w:ascii="Arial" w:cs="Arial" w:eastAsia="Arial" w:hAnsi="Arial"/>
                <w:b/>
                <w:bCs/>
                <w:color w:val="1A1A2E"/>
                <w:sz w:val="22"/>
                <w:szCs w:val="22"/>
              </w:rPr>
              <w:t xml:space="preserve">Facilitator notes</w:t>
            </w:r>
          </w:p>
          <w:p>
            <w:pPr>
              <w:pStyle w:val="ListParagraph"/>
              <w:numPr>
                <w:ilvl w:val="0"/>
                <w:numId w:val="3"/>
              </w:numPr>
              <w:spacing w:after="50" w:before="0"/>
            </w:pPr>
            <w:r>
              <w:rPr>
                <w:rFonts w:ascii="Arial" w:cs="Arial" w:eastAsia="Arial" w:hAnsi="Arial"/>
                <w:color w:val="000000"/>
                <w:sz w:val="20"/>
                <w:szCs w:val="20"/>
              </w:rPr>
              <w:t xml:space="preserve">The Equifax breach is the most effective teaching tool for the Shared Responsibility Model — it demonstrates with financial consequences that AWS being secure does not mean the customer's workload is secure</w:t>
            </w:r>
          </w:p>
          <w:p>
            <w:pPr>
              <w:pStyle w:val="ListParagraph"/>
              <w:numPr>
                <w:ilvl w:val="0"/>
                <w:numId w:val="3"/>
              </w:numPr>
              <w:spacing w:after="50" w:before="0"/>
            </w:pPr>
            <w:r>
              <w:rPr>
                <w:rFonts w:ascii="Arial" w:cs="Arial" w:eastAsia="Arial" w:hAnsi="Arial"/>
                <w:color w:val="000000"/>
                <w:sz w:val="20"/>
                <w:szCs w:val="20"/>
              </w:rPr>
              <w:t xml:space="preserve">POPIA is a legal obligation for SA-based organisations, not a best practice — frame it consistently as a compliance and legal risk matter throughout the lesson</w:t>
            </w:r>
          </w:p>
          <w:p>
            <w:pPr>
              <w:pStyle w:val="ListParagraph"/>
              <w:numPr>
                <w:ilvl w:val="0"/>
                <w:numId w:val="3"/>
              </w:numPr>
              <w:spacing w:after="50" w:before="0"/>
            </w:pPr>
            <w:r>
              <w:rPr>
                <w:rFonts w:ascii="Arial" w:cs="Arial" w:eastAsia="Arial" w:hAnsi="Arial"/>
                <w:color w:val="000000"/>
                <w:sz w:val="20"/>
                <w:szCs w:val="20"/>
              </w:rPr>
              <w:t xml:space="preserve">KMS CMKs cost $1 per month — remind learners to schedule their deletion after the course ends to avoid ongoing charges</w:t>
            </w:r>
          </w:p>
          <w:p>
            <w:pPr>
              <w:pStyle w:val="ListParagraph"/>
              <w:numPr>
                <w:ilvl w:val="0"/>
                <w:numId w:val="3"/>
              </w:numPr>
              <w:spacing w:after="50" w:before="0"/>
            </w:pPr>
            <w:r>
              <w:rPr>
                <w:rFonts w:ascii="Arial" w:cs="Arial" w:eastAsia="Arial" w:hAnsi="Arial"/>
                <w:color w:val="000000"/>
                <w:sz w:val="20"/>
                <w:szCs w:val="20"/>
              </w:rPr>
              <w:t xml:space="preserve">RDS encryption can only be enabled at instance creation time — it cannot be applied to an existing unencrypted RDS instance; this is a critical gotcha in production cloud migrations that learners will encounter in their careers</w:t>
            </w:r>
          </w:p>
        </w:tc>
      </w:tr>
    </w:tbl>
    <w:p>
      <w:pPr>
        <w:spacing w:after="240" w:before="0"/>
      </w:pPr>
    </w:p>
    <w:p>
      <w:pPr>
        <w:pBdr>
          <w:bottom w:val="single" w:color="CCCCCC" w:sz="4" w:space="1"/>
        </w:pBdr>
        <w:spacing w:after="80" w:before="80"/>
      </w:pPr>
    </w:p>
    <w:p>
      <w:pPr>
        <w:spacing w:after="120" w:before="0"/>
      </w:pPr>
    </w:p>
    <w:p>
      <w:pPr>
        <w:pBdr>
          <w:left w:val="thick" w:color="993C1D" w:sz="20" w:space="8"/>
        </w:pBdr>
        <w:spacing w:after="0" w:before="200"/>
      </w:pPr>
      <w:r>
        <w:rPr>
          <w:rFonts w:ascii="Arial" w:cs="Arial" w:eastAsia="Arial" w:hAnsi="Arial"/>
          <w:b/>
          <w:bCs/>
          <w:color w:val="993C1D"/>
          <w:sz w:val="26"/>
          <w:szCs w:val="26"/>
        </w:rPr>
        <w:t xml:space="preserve">  Lesson 2: </w:t>
      </w:r>
      <w:r>
        <w:rPr>
          <w:rFonts w:ascii="Arial" w:cs="Arial" w:eastAsia="Arial" w:hAnsi="Arial"/>
          <w:b/>
          <w:bCs/>
          <w:color w:val="1A1A2E"/>
          <w:sz w:val="26"/>
          <w:szCs w:val="26"/>
        </w:rPr>
        <w:t xml:space="preserve">Network security, CloudTrail &amp; AWS Config</w:t>
      </w:r>
    </w:p>
    <w:p>
      <w:pPr>
        <w:spacing w:after="160" w:before="40"/>
      </w:pPr>
      <w:r>
        <w:rPr>
          <w:rFonts w:ascii="Arial" w:cs="Arial" w:eastAsia="Arial" w:hAnsi="Arial"/>
          <w:i/>
          <w:iCs/>
          <w:color w:val="666666"/>
          <w:sz w:val="20"/>
          <w:szCs w:val="20"/>
        </w:rPr>
        <w:t xml:space="preserve">  Week 9 · Day 2  ·  5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120"/>
        <w:gridCol w:w="4620"/>
      </w:tblGrid>
      <w:tr>
        <w:tc>
          <w:tcPr>
            <w:tcW w:type="dxa" w:w="4620"/>
            <w:tcBorders>
              <w:top w:val="single" w:color="CCCCCC" w:sz="4"/>
              <w:left w:val="single" w:color="CCCCCC" w:sz="4"/>
              <w:bottom w:val="single" w:color="CCCCCC" w:sz="4"/>
              <w:right w:val="single" w:color="CCCCCC" w:sz="4"/>
            </w:tcBorders>
            <w:shd w:fill="FCE8E1" w:val="clear"/>
            <w:tcMar>
              <w:top w:type="dxa" w:w="100"/>
              <w:left w:type="dxa" w:w="120"/>
              <w:bottom w:type="dxa" w:w="100"/>
              <w:right w:type="dxa" w:w="120"/>
            </w:tcMar>
          </w:tcPr>
          <w:p>
            <w:pPr>
              <w:spacing w:after="80" w:before="0"/>
            </w:pPr>
            <w:r>
              <w:rPr>
                <w:rFonts w:ascii="Arial" w:cs="Arial" w:eastAsia="Arial" w:hAnsi="Arial"/>
                <w:b/>
                <w:bCs/>
                <w:color w:val="1A1A2E"/>
                <w:sz w:val="22"/>
                <w:szCs w:val="22"/>
              </w:rPr>
              <w:t xml:space="preserve">Lesson objectives</w:t>
            </w:r>
          </w:p>
          <w:p>
            <w:pPr>
              <w:pStyle w:val="ListParagraph"/>
              <w:numPr>
                <w:ilvl w:val="0"/>
                <w:numId w:val="3"/>
              </w:numPr>
              <w:spacing w:after="50" w:before="0"/>
            </w:pPr>
            <w:r>
              <w:rPr>
                <w:rFonts w:ascii="Arial" w:cs="Arial" w:eastAsia="Arial" w:hAnsi="Arial"/>
                <w:color w:val="000000"/>
                <w:sz w:val="20"/>
                <w:szCs w:val="20"/>
              </w:rPr>
              <w:t xml:space="preserve">Harden security groups on the Module 4 2-tier application to follow the least-privilege principle</w:t>
            </w:r>
          </w:p>
          <w:p>
            <w:pPr>
              <w:pStyle w:val="ListParagraph"/>
              <w:numPr>
                <w:ilvl w:val="0"/>
                <w:numId w:val="3"/>
              </w:numPr>
              <w:spacing w:after="50" w:before="0"/>
            </w:pPr>
            <w:r>
              <w:rPr>
                <w:rFonts w:ascii="Arial" w:cs="Arial" w:eastAsia="Arial" w:hAnsi="Arial"/>
                <w:color w:val="000000"/>
                <w:sz w:val="20"/>
                <w:szCs w:val="20"/>
              </w:rPr>
              <w:t xml:space="preserve">Enable and interpret VPC Flow Logs to identify network traffic patterns and suspicious activity</w:t>
            </w:r>
          </w:p>
          <w:p>
            <w:pPr>
              <w:pStyle w:val="ListParagraph"/>
              <w:numPr>
                <w:ilvl w:val="0"/>
                <w:numId w:val="3"/>
              </w:numPr>
              <w:spacing w:after="50" w:before="0"/>
            </w:pPr>
            <w:r>
              <w:rPr>
                <w:rFonts w:ascii="Arial" w:cs="Arial" w:eastAsia="Arial" w:hAnsi="Arial"/>
                <w:color w:val="000000"/>
                <w:sz w:val="20"/>
                <w:szCs w:val="20"/>
              </w:rPr>
              <w:t xml:space="preserve">Enable AWS CloudTrail and read a CloudTrail event log entry in detail</w:t>
            </w:r>
          </w:p>
          <w:p>
            <w:pPr>
              <w:pStyle w:val="ListParagraph"/>
              <w:numPr>
                <w:ilvl w:val="0"/>
                <w:numId w:val="3"/>
              </w:numPr>
              <w:spacing w:after="50" w:before="0"/>
            </w:pPr>
            <w:r>
              <w:rPr>
                <w:rFonts w:ascii="Arial" w:cs="Arial" w:eastAsia="Arial" w:hAnsi="Arial"/>
                <w:color w:val="000000"/>
                <w:sz w:val="20"/>
                <w:szCs w:val="20"/>
              </w:rPr>
              <w:t xml:space="preserve">Enable an AWS Config managed rule to detect and flag non-compliant security group configurations</w:t>
            </w:r>
          </w:p>
          <w:p>
            <w:pPr>
              <w:pStyle w:val="ListParagraph"/>
              <w:numPr>
                <w:ilvl w:val="0"/>
                <w:numId w:val="3"/>
              </w:numPr>
              <w:spacing w:after="50" w:before="0"/>
            </w:pPr>
            <w:r>
              <w:rPr>
                <w:rFonts w:ascii="Arial" w:cs="Arial" w:eastAsia="Arial" w:hAnsi="Arial"/>
                <w:color w:val="000000"/>
                <w:sz w:val="20"/>
                <w:szCs w:val="20"/>
              </w:rPr>
              <w:t xml:space="preserve">Understand how HTTPS is enforced using ACM certificates and an Application Load Balancer</w:t>
            </w:r>
          </w:p>
        </w:tc>
        <w:tc>
          <w:tcPr>
            <w:tcW w:type="dxa" w:w="120"/>
            <w:tcBorders>
              <w:top w:val="single" w:color="FFFFFF" w:sz="1"/>
              <w:left w:val="single" w:color="FFFFFF" w:sz="1"/>
              <w:bottom w:val="single" w:color="FFFFFF" w:sz="1"/>
              <w:right w:val="single" w:color="FFFFFF" w:sz="1"/>
            </w:tcBorders>
          </w:tcPr>
          <w:p>
            <w:pPr>
              <w:spacing w:after="120" w:before="0"/>
            </w:pPr>
          </w:p>
        </w:tc>
        <w:tc>
          <w:tcPr>
            <w:tcW w:type="dxa" w:w="4620"/>
            <w:tcBorders>
              <w:top w:val="single" w:color="CCCCCC" w:sz="4"/>
              <w:left w:val="single" w:color="CCCCCC" w:sz="4"/>
              <w:bottom w:val="single" w:color="CCCCCC" w:sz="4"/>
              <w:right w:val="single" w:color="CCCCCC" w:sz="4"/>
            </w:tcBorders>
            <w:shd w:fill="D8F2E9" w:val="clear"/>
            <w:tcMar>
              <w:top w:type="dxa" w:w="100"/>
              <w:left w:type="dxa" w:w="120"/>
              <w:bottom w:type="dxa" w:w="100"/>
              <w:right w:type="dxa" w:w="120"/>
            </w:tcMar>
          </w:tcPr>
          <w:p>
            <w:pPr>
              <w:spacing w:after="80" w:before="0"/>
            </w:pPr>
            <w:r>
              <w:rPr>
                <w:rFonts w:ascii="Arial" w:cs="Arial" w:eastAsia="Arial" w:hAnsi="Arial"/>
                <w:b/>
                <w:bCs/>
                <w:color w:val="1A1A2E"/>
                <w:sz w:val="22"/>
                <w:szCs w:val="22"/>
              </w:rPr>
              <w:t xml:space="preserve">Resources &amp; environment</w:t>
            </w:r>
          </w:p>
          <w:p>
            <w:pPr>
              <w:pStyle w:val="ListParagraph"/>
              <w:numPr>
                <w:ilvl w:val="0"/>
                <w:numId w:val="3"/>
              </w:numPr>
              <w:spacing w:after="50" w:before="0"/>
            </w:pPr>
            <w:r>
              <w:rPr>
                <w:rFonts w:ascii="Arial" w:cs="Arial" w:eastAsia="Arial" w:hAnsi="Arial"/>
                <w:color w:val="000000"/>
                <w:sz w:val="20"/>
                <w:szCs w:val="20"/>
              </w:rPr>
              <w:t xml:space="preserve">Module 4 VPC and 2-tier application — EC2 and RDS must be running</w:t>
            </w:r>
          </w:p>
          <w:p>
            <w:pPr>
              <w:pStyle w:val="ListParagraph"/>
              <w:numPr>
                <w:ilvl w:val="0"/>
                <w:numId w:val="3"/>
              </w:numPr>
              <w:spacing w:after="50" w:before="0"/>
            </w:pPr>
            <w:r>
              <w:rPr>
                <w:rFonts w:ascii="Arial" w:cs="Arial" w:eastAsia="Arial" w:hAnsi="Arial"/>
                <w:color w:val="000000"/>
                <w:sz w:val="20"/>
                <w:szCs w:val="20"/>
              </w:rPr>
              <w:t xml:space="preserve">AWS Certificate Manager (ACM) — free for certificates used with ALBs</w:t>
            </w:r>
          </w:p>
          <w:p>
            <w:pPr>
              <w:pStyle w:val="ListParagraph"/>
              <w:numPr>
                <w:ilvl w:val="0"/>
                <w:numId w:val="3"/>
              </w:numPr>
              <w:spacing w:after="50" w:before="0"/>
            </w:pPr>
            <w:r>
              <w:rPr>
                <w:rFonts w:ascii="Arial" w:cs="Arial" w:eastAsia="Arial" w:hAnsi="Arial"/>
                <w:color w:val="000000"/>
                <w:sz w:val="20"/>
                <w:szCs w:val="20"/>
              </w:rPr>
              <w:t xml:space="preserve">CloudWatch Logs for VPC Flow Log output destination</w:t>
            </w:r>
          </w:p>
          <w:p>
            <w:pPr>
              <w:pStyle w:val="ListParagraph"/>
              <w:numPr>
                <w:ilvl w:val="0"/>
                <w:numId w:val="3"/>
              </w:numPr>
              <w:spacing w:after="50" w:before="0"/>
            </w:pPr>
            <w:r>
              <w:rPr>
                <w:rFonts w:ascii="Arial" w:cs="Arial" w:eastAsia="Arial" w:hAnsi="Arial"/>
                <w:color w:val="000000"/>
                <w:sz w:val="20"/>
                <w:szCs w:val="20"/>
              </w:rPr>
              <w:t xml:space="preserve">Slides: VPC Flow Log field diagram with field descriptions</w:t>
            </w:r>
          </w:p>
          <w:p>
            <w:pPr>
              <w:pStyle w:val="ListParagraph"/>
              <w:numPr>
                <w:ilvl w:val="0"/>
                <w:numId w:val="3"/>
              </w:numPr>
              <w:spacing w:after="50" w:before="0"/>
            </w:pPr>
            <w:r>
              <w:rPr>
                <w:rFonts w:ascii="Arial" w:cs="Arial" w:eastAsia="Arial" w:hAnsi="Arial"/>
                <w:color w:val="000000"/>
                <w:sz w:val="20"/>
                <w:szCs w:val="20"/>
              </w:rPr>
              <w:t xml:space="preserve">Printed: CloudTrail log event anatomy worksheet (one per learner)</w:t>
            </w:r>
          </w:p>
          <w:p>
            <w:pPr>
              <w:pStyle w:val="ListParagraph"/>
              <w:numPr>
                <w:ilvl w:val="0"/>
                <w:numId w:val="3"/>
              </w:numPr>
              <w:spacing w:after="50" w:before="0"/>
            </w:pPr>
            <w:r>
              <w:rPr>
                <w:rFonts w:ascii="Arial" w:cs="Arial" w:eastAsia="Arial" w:hAnsi="Arial"/>
                <w:color w:val="000000"/>
                <w:sz w:val="20"/>
                <w:szCs w:val="20"/>
              </w:rPr>
              <w:t xml:space="preserve">Note: start Flow Logs at the beginning of class — they take 5–10 minutes to begin appearing</w:t>
            </w:r>
          </w:p>
        </w:tc>
      </w:tr>
    </w:tbl>
    <w:p>
      <w:pPr>
        <w:spacing w:after="120" w:before="0"/>
      </w:pPr>
    </w:p>
    <w:p>
      <w:pPr>
        <w:spacing w:after="80" w:before="160"/>
      </w:pPr>
      <w:r>
        <w:rPr>
          <w:rFonts w:ascii="Arial" w:cs="Arial" w:eastAsia="Arial" w:hAnsi="Arial"/>
          <w:b/>
          <w:bCs/>
          <w:color w:val="1A1A2E"/>
          <w:sz w:val="22"/>
          <w:szCs w:val="22"/>
        </w:rPr>
        <w:t xml:space="preserve">Session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7260"/>
      </w:tblGrid>
      <w:tr>
        <w:trPr>
          <w:tblHeader/>
        </w:trPr>
        <w:tc>
          <w:tcPr>
            <w:tcW w:type="dxa" w:w="800"/>
            <w:tcBorders>
              <w:top w:val="single" w:color="1B4F8A" w:sz="6"/>
              <w:left w:val="single" w:color="1B4F8A" w:sz="6"/>
              <w:bottom w:val="single" w:color="1B4F8A" w:sz="6"/>
              <w:right w:val="single" w:color="1B4F8A" w:sz="6"/>
            </w:tcBorders>
            <w:shd w:fill="1B4F8A" w:val="clear"/>
            <w:tcMar>
              <w:top w:type="dxa" w:w="80"/>
              <w:left w:type="dxa" w:w="100"/>
              <w:bottom w:type="dxa" w:w="80"/>
              <w:right w:type="dxa" w:w="100"/>
            </w:tcMar>
          </w:tcPr>
          <w:p>
            <w:r>
              <w:rPr>
                <w:rFonts w:ascii="Arial" w:cs="Arial" w:eastAsia="Arial" w:hAnsi="Arial"/>
                <w:b/>
                <w:bCs/>
                <w:color w:val="FFFFFF"/>
                <w:sz w:val="20"/>
                <w:szCs w:val="20"/>
              </w:rPr>
              <w:t xml:space="preserve">Time</w:t>
            </w:r>
          </w:p>
        </w:tc>
        <w:tc>
          <w:tcPr>
            <w:tcW w:type="dxa" w:w="1300"/>
            <w:tcBorders>
              <w:top w:val="single" w:color="1B4F8A" w:sz="6"/>
              <w:left w:val="single" w:color="1B4F8A" w:sz="6"/>
              <w:bottom w:val="single" w:color="1B4F8A" w:sz="6"/>
              <w:right w:val="single" w:color="1B4F8A" w:sz="6"/>
            </w:tcBorders>
            <w:shd w:fill="1B4F8A" w:val="clear"/>
            <w:tcMar>
              <w:top w:type="dxa" w:w="80"/>
              <w:left w:type="dxa" w:w="100"/>
              <w:bottom w:type="dxa" w:w="80"/>
              <w:right w:type="dxa" w:w="100"/>
            </w:tcMar>
          </w:tcPr>
          <w:p>
            <w:r>
              <w:rPr>
                <w:rFonts w:ascii="Arial" w:cs="Arial" w:eastAsia="Arial" w:hAnsi="Arial"/>
                <w:b/>
                <w:bCs/>
                <w:color w:val="FFFFFF"/>
                <w:sz w:val="20"/>
                <w:szCs w:val="20"/>
              </w:rPr>
              <w:t xml:space="preserve">Type</w:t>
            </w:r>
          </w:p>
        </w:tc>
        <w:tc>
          <w:tcPr>
            <w:tcW w:type="dxa" w:w="7260"/>
            <w:tcBorders>
              <w:top w:val="single" w:color="1B4F8A" w:sz="6"/>
              <w:left w:val="single" w:color="1B4F8A" w:sz="6"/>
              <w:bottom w:val="single" w:color="1B4F8A" w:sz="6"/>
              <w:right w:val="single" w:color="1B4F8A" w:sz="6"/>
            </w:tcBorders>
            <w:shd w:fill="1B4F8A" w:val="clear"/>
            <w:tcMar>
              <w:top w:type="dxa" w:w="80"/>
              <w:left w:type="dxa" w:w="100"/>
              <w:bottom w:type="dxa" w:w="80"/>
              <w:right w:type="dxa" w:w="100"/>
            </w:tcMar>
          </w:tcPr>
          <w:p>
            <w:r>
              <w:rPr>
                <w:rFonts w:ascii="Arial" w:cs="Arial" w:eastAsia="Arial" w:hAnsi="Arial"/>
                <w:b/>
                <w:bCs/>
                <w:color w:val="FFFFFF"/>
                <w:sz w:val="20"/>
                <w:szCs w:val="20"/>
              </w:rPr>
              <w:t xml:space="preserve">Activity &amp; description</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vAlign w:val="top"/>
          </w:tcPr>
          <w:p>
            <w:r>
              <w:rPr>
                <w:rFonts w:ascii="Arial" w:cs="Arial" w:eastAsia="Arial" w:hAnsi="Arial"/>
                <w:b/>
                <w:bCs/>
                <w:color w:val="666666"/>
                <w:sz w:val="19"/>
                <w:szCs w:val="19"/>
              </w:rPr>
              <w:t xml:space="preserve">0:00</w:t>
            </w:r>
          </w:p>
        </w:tc>
        <w:tc>
          <w:tcPr>
            <w:tcW w:type="dxa" w:w="1300"/>
            <w:tcBorders>
              <w:top w:val="single" w:color="CCCCCC" w:sz="4"/>
              <w:left w:val="single" w:color="CCCCCC" w:sz="4"/>
              <w:bottom w:val="single" w:color="CCCCCC" w:sz="4"/>
              <w:right w:val="single" w:color="CCCCCC" w:sz="4"/>
            </w:tcBorders>
            <w:shd w:fill="D6E8F8" w:val="clear"/>
            <w:tcMar>
              <w:top w:type="dxa" w:w="80"/>
              <w:left w:type="dxa" w:w="100"/>
              <w:bottom w:type="dxa" w:w="80"/>
              <w:right w:type="dxa" w:w="100"/>
            </w:tcMar>
            <w:vAlign w:val="top"/>
          </w:tcPr>
          <w:p>
            <w:r>
              <w:rPr>
                <w:rFonts w:ascii="Arial" w:cs="Arial" w:eastAsia="Arial" w:hAnsi="Arial"/>
                <w:b/>
                <w:bCs/>
                <w:color w:val="1B4F8A"/>
                <w:sz w:val="19"/>
                <w:szCs w:val="19"/>
              </w:rPr>
              <w:t xml:space="preserve">Lecture</w:t>
            </w:r>
          </w:p>
        </w:tc>
        <w:tc>
          <w:tcPr>
            <w:tcW w:type="dxa" w:w="72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r>
              <w:rPr>
                <w:rFonts w:ascii="Arial" w:cs="Arial" w:eastAsia="Arial" w:hAnsi="Arial"/>
                <w:color w:val="000000"/>
                <w:sz w:val="20"/>
                <w:szCs w:val="20"/>
              </w:rPr>
              <w:t xml:space="preserve">Security group hardening — from wide-open to least privilege (30 min) — The most common cloud misconfiguration: port 22 (SSH) open to 0.0.0.0/0, exposing the server to the entire internet. Within minutes of an EC2 instance launching with this configuration, automated scanners (including Shodan) detect it and begin brute-force attempts. Best practices: restrict SSH inbound to a specific management IP address or CIDR range, or use a bastion host in a separate management subnet; never allow 0.0.0.0/0 on database ports under any circumstances; use security group chaining — the RDS security group references the EC2 security group ID as its source rather than an IP address. Principle of deny-by-default: start with no access and explicitly add only what is required.</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rFonts w:ascii="Arial" w:cs="Arial" w:eastAsia="Arial" w:hAnsi="Arial"/>
                <w:b/>
                <w:bCs/>
                <w:color w:val="666666"/>
                <w:sz w:val="19"/>
                <w:szCs w:val="19"/>
              </w:rPr>
              <w:t xml:space="preserve">0:30</w:t>
            </w:r>
          </w:p>
        </w:tc>
        <w:tc>
          <w:tcPr>
            <w:tcW w:type="dxa" w:w="1300"/>
            <w:tcBorders>
              <w:top w:val="single" w:color="CCCCCC" w:sz="4"/>
              <w:left w:val="single" w:color="CCCCCC" w:sz="4"/>
              <w:bottom w:val="single" w:color="CCCCCC" w:sz="4"/>
              <w:right w:val="single" w:color="CCCCCC" w:sz="4"/>
            </w:tcBorders>
            <w:shd w:fill="D8F2E9" w:val="clear"/>
            <w:tcMar>
              <w:top w:type="dxa" w:w="80"/>
              <w:left w:type="dxa" w:w="100"/>
              <w:bottom w:type="dxa" w:w="80"/>
              <w:right w:type="dxa" w:w="100"/>
            </w:tcMar>
            <w:vAlign w:val="top"/>
          </w:tcPr>
          <w:p>
            <w:r>
              <w:rPr>
                <w:rFonts w:ascii="Arial" w:cs="Arial" w:eastAsia="Arial" w:hAnsi="Arial"/>
                <w:b/>
                <w:bCs/>
                <w:color w:val="0F6E56"/>
                <w:sz w:val="19"/>
                <w:szCs w:val="19"/>
              </w:rPr>
              <w:t xml:space="preserve">Lab</w:t>
            </w:r>
          </w:p>
        </w:tc>
        <w:tc>
          <w:tcPr>
            <w:tcW w:type="dxa" w:w="7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000000"/>
                <w:sz w:val="20"/>
                <w:szCs w:val="20"/>
              </w:rPr>
              <w:t xml:space="preserve">Lab 5b Part 1 — Security group hardening (40 min) — Tasks: (1) review the current inbound and outbound rules on the Module 4 EC2 security group and identify any overly permissive rules (document each finding); (2) restrict SSH inbound on port 22 to the facilitator-specified IP range or the class CIDR only; (3) confirm the RDS security group allows port 3306 inbound from the EC2 security group ID only and not from any IP address range; (4) add an explicit outbound rule to the RDS security group allowing only responses (port 3306) back to the EC2 security group — remove any allow-all outbound rule; (5) test all application functions remain operational after hardening. Submit Lab 5b-1: before and after screenshots of security group rules.</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vAlign w:val="top"/>
          </w:tcPr>
          <w:p>
            <w:r>
              <w:rPr>
                <w:rFonts w:ascii="Arial" w:cs="Arial" w:eastAsia="Arial" w:hAnsi="Arial"/>
                <w:b/>
                <w:bCs/>
                <w:color w:val="666666"/>
                <w:sz w:val="19"/>
                <w:szCs w:val="19"/>
              </w:rPr>
              <w:t xml:space="preserve">1:10</w:t>
            </w:r>
          </w:p>
        </w:tc>
        <w:tc>
          <w:tcPr>
            <w:tcW w:type="dxa" w:w="1300"/>
            <w:tcBorders>
              <w:top w:val="single" w:color="CCCCCC" w:sz="4"/>
              <w:left w:val="single" w:color="CCCCCC" w:sz="4"/>
              <w:bottom w:val="single" w:color="CCCCCC" w:sz="4"/>
              <w:right w:val="single" w:color="CCCCCC" w:sz="4"/>
            </w:tcBorders>
            <w:shd w:fill="D6E8F8" w:val="clear"/>
            <w:tcMar>
              <w:top w:type="dxa" w:w="80"/>
              <w:left w:type="dxa" w:w="100"/>
              <w:bottom w:type="dxa" w:w="80"/>
              <w:right w:type="dxa" w:w="100"/>
            </w:tcMar>
            <w:vAlign w:val="top"/>
          </w:tcPr>
          <w:p>
            <w:r>
              <w:rPr>
                <w:rFonts w:ascii="Arial" w:cs="Arial" w:eastAsia="Arial" w:hAnsi="Arial"/>
                <w:b/>
                <w:bCs/>
                <w:color w:val="1B4F8A"/>
                <w:sz w:val="19"/>
                <w:szCs w:val="19"/>
              </w:rPr>
              <w:t xml:space="preserve">Lecture</w:t>
            </w:r>
          </w:p>
        </w:tc>
        <w:tc>
          <w:tcPr>
            <w:tcW w:type="dxa" w:w="72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r>
              <w:rPr>
                <w:rFonts w:ascii="Arial" w:cs="Arial" w:eastAsia="Arial" w:hAnsi="Arial"/>
                <w:color w:val="000000"/>
                <w:sz w:val="20"/>
                <w:szCs w:val="20"/>
              </w:rPr>
              <w:t xml:space="preserve">VPC Flow Logs — network visibility and forensics (30 min) — What VPC Flow Logs capture: source IP address, destination IP address, source port, destination port, IP protocol number, number of bytes and packets transferred, start and end timestamp, and most importantly the action field — ACCEPT (traffic was allowed) or REJECT (traffic was blocked by a security group or NACL). What Flow Logs do not capture: packet payload content, DNS query details, DHCP traffic, and Windows licence activation traffic. Primary use cases: security forensics (trace the network path of an attack), compliance evidence (demonstrate access controls are working), cost analysis (identify unexpected data transfer between services), and capacity planning. Logs are stored in Amazon CloudWatch Logs or an S3 bucket. Log field format explained field by field with a real example entry.</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rFonts w:ascii="Arial" w:cs="Arial" w:eastAsia="Arial" w:hAnsi="Arial"/>
                <w:b/>
                <w:bCs/>
                <w:color w:val="666666"/>
                <w:sz w:val="19"/>
                <w:szCs w:val="19"/>
              </w:rPr>
              <w:t xml:space="preserve">1:40</w:t>
            </w:r>
          </w:p>
        </w:tc>
        <w:tc>
          <w:tcPr>
            <w:tcW w:type="dxa" w:w="1300"/>
            <w:tcBorders>
              <w:top w:val="single" w:color="CCCCCC" w:sz="4"/>
              <w:left w:val="single" w:color="CCCCCC" w:sz="4"/>
              <w:bottom w:val="single" w:color="CCCCCC" w:sz="4"/>
              <w:right w:val="single" w:color="CCCCCC" w:sz="4"/>
            </w:tcBorders>
            <w:shd w:fill="D6E8F8" w:val="clear"/>
            <w:tcMar>
              <w:top w:type="dxa" w:w="80"/>
              <w:left w:type="dxa" w:w="100"/>
              <w:bottom w:type="dxa" w:w="80"/>
              <w:right w:type="dxa" w:w="100"/>
            </w:tcMar>
            <w:vAlign w:val="top"/>
          </w:tcPr>
          <w:p>
            <w:r>
              <w:rPr>
                <w:rFonts w:ascii="Arial" w:cs="Arial" w:eastAsia="Arial" w:hAnsi="Arial"/>
                <w:b/>
                <w:bCs/>
                <w:color w:val="1B4F8A"/>
                <w:sz w:val="19"/>
                <w:szCs w:val="19"/>
              </w:rPr>
              <w:t xml:space="preserve">Lecture</w:t>
            </w:r>
          </w:p>
        </w:tc>
        <w:tc>
          <w:tcPr>
            <w:tcW w:type="dxa" w:w="7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000000"/>
                <w:sz w:val="20"/>
                <w:szCs w:val="20"/>
              </w:rPr>
              <w:t xml:space="preserve">AWS CloudTrail — the control plane audit log (35 min) — CloudTrail records every API call made against your AWS account regardless of whether it was made via the console, CLI, SDK, or a third-party tool. Each event record contains: who called it (IAM user ARN, role ARN, or root), what action was performed (CreateInstance, DeleteBucket, ModifySecurityGroup), on which resource (full ARN), when it occurred (UTC timestamp with millisecond precision), and from where (source IP address and user agent string). Event types: management events (all control plane actions such as creating or deleting resources — included free in the first trail) and data events (S3 object-level reads and writes, Lambda invocations — charged separately). Trail configuration options: single-region or all-regions, log file delivery to S3 with optional SNS notification, CloudWatch Logs integration for real-time metric filters and alarms. Log File Integrity Validation: SHA-256 hash chain — detects if any log file was modified or deleted after delivery.</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vAlign w:val="top"/>
          </w:tcPr>
          <w:p>
            <w:r>
              <w:rPr>
                <w:rFonts w:ascii="Arial" w:cs="Arial" w:eastAsia="Arial" w:hAnsi="Arial"/>
                <w:b/>
                <w:bCs/>
                <w:color w:val="666666"/>
                <w:sz w:val="19"/>
                <w:szCs w:val="19"/>
              </w:rPr>
              <w:t xml:space="preserve">2:15</w:t>
            </w:r>
          </w:p>
        </w:tc>
        <w:tc>
          <w:tcPr>
            <w:tcW w:type="dxa" w:w="13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vAlign w:val="top"/>
          </w:tcPr>
          <w:p>
            <w:r>
              <w:rPr>
                <w:rFonts w:ascii="Arial" w:cs="Arial" w:eastAsia="Arial" w:hAnsi="Arial"/>
                <w:b/>
                <w:bCs/>
                <w:color w:val="666666"/>
                <w:sz w:val="19"/>
                <w:szCs w:val="19"/>
              </w:rPr>
              <w:t xml:space="preserve">Break</w:t>
            </w:r>
          </w:p>
        </w:tc>
        <w:tc>
          <w:tcPr>
            <w:tcW w:type="dxa" w:w="72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r>
              <w:rPr>
                <w:rFonts w:ascii="Arial" w:cs="Arial" w:eastAsia="Arial" w:hAnsi="Arial"/>
                <w:color w:val="000000"/>
                <w:sz w:val="20"/>
                <w:szCs w:val="20"/>
              </w:rPr>
              <w:t xml:space="preserve">15 minutes</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rFonts w:ascii="Arial" w:cs="Arial" w:eastAsia="Arial" w:hAnsi="Arial"/>
                <w:b/>
                <w:bCs/>
                <w:color w:val="666666"/>
                <w:sz w:val="19"/>
                <w:szCs w:val="19"/>
              </w:rPr>
              <w:t xml:space="preserve">2:30</w:t>
            </w:r>
          </w:p>
        </w:tc>
        <w:tc>
          <w:tcPr>
            <w:tcW w:type="dxa" w:w="1300"/>
            <w:tcBorders>
              <w:top w:val="single" w:color="CCCCCC" w:sz="4"/>
              <w:left w:val="single" w:color="CCCCCC" w:sz="4"/>
              <w:bottom w:val="single" w:color="CCCCCC" w:sz="4"/>
              <w:right w:val="single" w:color="CCCCCC" w:sz="4"/>
            </w:tcBorders>
            <w:shd w:fill="D8F2E9" w:val="clear"/>
            <w:tcMar>
              <w:top w:type="dxa" w:w="80"/>
              <w:left w:type="dxa" w:w="100"/>
              <w:bottom w:type="dxa" w:w="80"/>
              <w:right w:type="dxa" w:w="100"/>
            </w:tcMar>
            <w:vAlign w:val="top"/>
          </w:tcPr>
          <w:p>
            <w:r>
              <w:rPr>
                <w:rFonts w:ascii="Arial" w:cs="Arial" w:eastAsia="Arial" w:hAnsi="Arial"/>
                <w:b/>
                <w:bCs/>
                <w:color w:val="0F6E56"/>
                <w:sz w:val="19"/>
                <w:szCs w:val="19"/>
              </w:rPr>
              <w:t xml:space="preserve">Lab</w:t>
            </w:r>
          </w:p>
        </w:tc>
        <w:tc>
          <w:tcPr>
            <w:tcW w:type="dxa" w:w="7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000000"/>
                <w:sz w:val="20"/>
                <w:szCs w:val="20"/>
              </w:rPr>
              <w:t xml:space="preserve">Lab 5b Part 2 — Enable CloudTrail, VPC Flow Logs, and AWS Config (70 min) — Tasks: (1) enable a CloudTrail trail logging management events in all regions, delivering logs to the lab S3 bucket; (2) perform three console actions: add a resource tag to the EC2 instance, modify a security group rule, and list S3 bucket objects; (3) retrieve the corresponding CloudTrail events from the console and annotate each field: eventName, userIdentity.arn, sourceIPAddress, eventTime, requestParameters, and responseElements; (4) enable VPC Flow Logs on the Module 4 VPC, delivering logs to CloudWatch Logs with a 1-day retention period; (5) generate traffic by SSH-ing into the EC2 instance and browsing the web application; (6) view the Flow Log entries in CloudWatch and identify at least three ACCEPT entries and two REJECT entries, noting the source and destination for each; (7) navigate to AWS Config, enable the service in af-south-1, and activate the managed rule restricted-ssh which flags security groups that allow SSH from 0.0.0.0/0; (8) view the compliance status — confirm any previously open SSH rules are flagged as NON_COMPLIANT. Submit Lab 5b-2.</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vAlign w:val="top"/>
          </w:tcPr>
          <w:p>
            <w:r>
              <w:rPr>
                <w:rFonts w:ascii="Arial" w:cs="Arial" w:eastAsia="Arial" w:hAnsi="Arial"/>
                <w:b/>
                <w:bCs/>
                <w:color w:val="666666"/>
                <w:sz w:val="19"/>
                <w:szCs w:val="19"/>
              </w:rPr>
              <w:t xml:space="preserve">3:40</w:t>
            </w:r>
          </w:p>
        </w:tc>
        <w:tc>
          <w:tcPr>
            <w:tcW w:type="dxa" w:w="1300"/>
            <w:tcBorders>
              <w:top w:val="single" w:color="CCCCCC" w:sz="4"/>
              <w:left w:val="single" w:color="CCCCCC" w:sz="4"/>
              <w:bottom w:val="single" w:color="CCCCCC" w:sz="4"/>
              <w:right w:val="single" w:color="CCCCCC" w:sz="4"/>
            </w:tcBorders>
            <w:shd w:fill="D6E8F8" w:val="clear"/>
            <w:tcMar>
              <w:top w:type="dxa" w:w="80"/>
              <w:left w:type="dxa" w:w="100"/>
              <w:bottom w:type="dxa" w:w="80"/>
              <w:right w:type="dxa" w:w="100"/>
            </w:tcMar>
            <w:vAlign w:val="top"/>
          </w:tcPr>
          <w:p>
            <w:r>
              <w:rPr>
                <w:rFonts w:ascii="Arial" w:cs="Arial" w:eastAsia="Arial" w:hAnsi="Arial"/>
                <w:b/>
                <w:bCs/>
                <w:color w:val="1B4F8A"/>
                <w:sz w:val="19"/>
                <w:szCs w:val="19"/>
              </w:rPr>
              <w:t xml:space="preserve">Lecture</w:t>
            </w:r>
          </w:p>
        </w:tc>
        <w:tc>
          <w:tcPr>
            <w:tcW w:type="dxa" w:w="72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r>
              <w:rPr>
                <w:rFonts w:ascii="Arial" w:cs="Arial" w:eastAsia="Arial" w:hAnsi="Arial"/>
                <w:color w:val="000000"/>
                <w:sz w:val="20"/>
                <w:szCs w:val="20"/>
              </w:rPr>
              <w:t xml:space="preserve">Encryption in transit — HTTPS with ACM and Application Load Balancer (35 min) — Why running HTTP is dangerous for any application that handles user credentials, session tokens, or personal information: all data travels in plaintext and can be intercepted by anyone with network access between the client and server. TLS 1.2 and 1.3: the TLS handshake negotiates a cipher suite, exchanges the server certificate, and establishes a session encryption key that is unique to each connection. AWS Certificate Manager: provision free SSL/TLS certificates for use with AWS services including ALBs, CloudFront, and API Gateway. Certificates are automatically renewed before expiry — no manual renewal required. Application Load Balancer TLS termination: the ALB handles the TLS handshake and forwards plain HTTP to the EC2 backend (SSL offloading reduces CPU load on application servers). ALB listener rules: redirect all HTTP (port 80) traffic permanently to HTTPS (port 443). HTTP Strict Transport Security (HSTS) response header prevents protocol downgrade attacks.</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rFonts w:ascii="Arial" w:cs="Arial" w:eastAsia="Arial" w:hAnsi="Arial"/>
                <w:b/>
                <w:bCs/>
                <w:color w:val="666666"/>
                <w:sz w:val="19"/>
                <w:szCs w:val="19"/>
              </w:rPr>
              <w:t xml:space="preserve">4:15</w:t>
            </w:r>
          </w:p>
        </w:tc>
        <w:tc>
          <w:tcPr>
            <w:tcW w:type="dxa" w:w="1300"/>
            <w:tcBorders>
              <w:top w:val="single" w:color="CCCCCC" w:sz="4"/>
              <w:left w:val="single" w:color="CCCCCC" w:sz="4"/>
              <w:bottom w:val="single" w:color="CCCCCC" w:sz="4"/>
              <w:right w:val="single" w:color="CCCCCC" w:sz="4"/>
            </w:tcBorders>
            <w:shd w:fill="E5E3FC" w:val="clear"/>
            <w:tcMar>
              <w:top w:type="dxa" w:w="80"/>
              <w:left w:type="dxa" w:w="100"/>
              <w:bottom w:type="dxa" w:w="80"/>
              <w:right w:type="dxa" w:w="100"/>
            </w:tcMar>
            <w:vAlign w:val="top"/>
          </w:tcPr>
          <w:p>
            <w:r>
              <w:rPr>
                <w:rFonts w:ascii="Arial" w:cs="Arial" w:eastAsia="Arial" w:hAnsi="Arial"/>
                <w:b/>
                <w:bCs/>
                <w:color w:val="3C3489"/>
                <w:sz w:val="19"/>
                <w:szCs w:val="19"/>
              </w:rPr>
              <w:t xml:space="preserve">Workshop</w:t>
            </w:r>
          </w:p>
        </w:tc>
        <w:tc>
          <w:tcPr>
            <w:tcW w:type="dxa" w:w="7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000000"/>
                <w:sz w:val="20"/>
                <w:szCs w:val="20"/>
              </w:rPr>
              <w:t xml:space="preserve">Security review — score the 2-tier application (30 min) — Using a printed 15-point security checklist based on the AWS Well-Architected Security Pillar, learners working in pairs score the current state of their Module 4 application. Scoring: Implemented (2 points), Partially implemented (1 point), Not yet implemented (0 points). Maximum score: 30 points. Security rating: 0–10 = Critical gaps requiring immediate remediation; 11–20 = Needs improvement before production; 21–30 = Foundational security baseline achieved. Each pair identifies their top 3 highest-impact remediations — those that would most improve their score for the least implementation effort.</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vAlign w:val="top"/>
          </w:tcPr>
          <w:p>
            <w:r>
              <w:rPr>
                <w:rFonts w:ascii="Arial" w:cs="Arial" w:eastAsia="Arial" w:hAnsi="Arial"/>
                <w:b/>
                <w:bCs/>
                <w:color w:val="666666"/>
                <w:sz w:val="19"/>
                <w:szCs w:val="19"/>
              </w:rPr>
              <w:t xml:space="preserve">4:45</w:t>
            </w:r>
          </w:p>
        </w:tc>
        <w:tc>
          <w:tcPr>
            <w:tcW w:type="dxa" w:w="1300"/>
            <w:tcBorders>
              <w:top w:val="single" w:color="CCCCCC" w:sz="4"/>
              <w:left w:val="single" w:color="CCCCCC" w:sz="4"/>
              <w:bottom w:val="single" w:color="CCCCCC" w:sz="4"/>
              <w:right w:val="single" w:color="CCCCCC" w:sz="4"/>
            </w:tcBorders>
            <w:shd w:fill="E1F5EE" w:val="clear"/>
            <w:tcMar>
              <w:top w:type="dxa" w:w="80"/>
              <w:left w:type="dxa" w:w="100"/>
              <w:bottom w:type="dxa" w:w="80"/>
              <w:right w:type="dxa" w:w="100"/>
            </w:tcMar>
            <w:vAlign w:val="top"/>
          </w:tcPr>
          <w:p>
            <w:r>
              <w:rPr>
                <w:rFonts w:ascii="Arial" w:cs="Arial" w:eastAsia="Arial" w:hAnsi="Arial"/>
                <w:b/>
                <w:bCs/>
                <w:color w:val="085041"/>
                <w:sz w:val="19"/>
                <w:szCs w:val="19"/>
              </w:rPr>
              <w:t xml:space="preserve">Wrap-up</w:t>
            </w:r>
          </w:p>
        </w:tc>
        <w:tc>
          <w:tcPr>
            <w:tcW w:type="dxa" w:w="72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r>
              <w:rPr>
                <w:rFonts w:ascii="Arial" w:cs="Arial" w:eastAsia="Arial" w:hAnsi="Arial"/>
                <w:color w:val="000000"/>
                <w:sz w:val="20"/>
                <w:szCs w:val="20"/>
              </w:rPr>
              <w:t xml:space="preserve">AWS security services landscape overview (15 min) — Brief introduction to the broader AWS security ecosystem beyond this module's scope: AWS GuardDuty (continuous threat detection using machine learning on CloudTrail, VPC Flow Logs, and DNS logs), AWS Security Hub (aggregated security findings from multiple services in a single dashboard), AWS WAF (web application firewall for protecting against OWASP Top 10 attacks), AWS Shield Standard (automatic DDoS protection included free for all accounts) and Shield Advanced (enhanced DDoS protection for R3,000+ per month), AWS Macie (uses ML to automatically discover and protect sensitive data including PII in S3 buckets). These are the tools learners will work with in the Cloud Practitioner Pro course.</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120"/>
        <w:gridCol w:w="4620"/>
      </w:tblGrid>
      <w:tr>
        <w:tc>
          <w:tcPr>
            <w:tcW w:type="dxa" w:w="4620"/>
            <w:tcBorders>
              <w:top w:val="single" w:color="CCCCCC" w:sz="4"/>
              <w:left w:val="single" w:color="CCCCCC" w:sz="4"/>
              <w:bottom w:val="single" w:color="CCCCCC" w:sz="4"/>
              <w:right w:val="single" w:color="CCCCCC" w:sz="4"/>
            </w:tcBorders>
            <w:shd w:fill="FDF0D5" w:val="clear"/>
            <w:tcMar>
              <w:top w:type="dxa" w:w="100"/>
              <w:left w:type="dxa" w:w="120"/>
              <w:bottom w:type="dxa" w:w="100"/>
              <w:right w:type="dxa" w:w="120"/>
            </w:tcMar>
          </w:tcPr>
          <w:p>
            <w:pPr>
              <w:spacing w:after="80" w:before="0"/>
            </w:pPr>
            <w:r>
              <w:rPr>
                <w:rFonts w:ascii="Arial" w:cs="Arial" w:eastAsia="Arial" w:hAnsi="Arial"/>
                <w:b/>
                <w:bCs/>
                <w:color w:val="1A1A2E"/>
                <w:sz w:val="22"/>
                <w:szCs w:val="22"/>
              </w:rPr>
              <w:t xml:space="preserve">Formative assessment</w:t>
            </w:r>
          </w:p>
          <w:p>
            <w:pPr>
              <w:pStyle w:val="ListParagraph"/>
              <w:numPr>
                <w:ilvl w:val="0"/>
                <w:numId w:val="3"/>
              </w:numPr>
              <w:spacing w:after="50" w:before="0"/>
            </w:pPr>
            <w:r>
              <w:rPr>
                <w:rFonts w:ascii="Arial" w:cs="Arial" w:eastAsia="Arial" w:hAnsi="Arial"/>
                <w:color w:val="000000"/>
                <w:sz w:val="20"/>
                <w:szCs w:val="20"/>
              </w:rPr>
              <w:t xml:space="preserve">Lab 5b-1: before and after security group rule screenshots submitted — SSH restriction and RDS port isolation confirmed</w:t>
            </w:r>
          </w:p>
          <w:p>
            <w:pPr>
              <w:pStyle w:val="ListParagraph"/>
              <w:numPr>
                <w:ilvl w:val="0"/>
                <w:numId w:val="3"/>
              </w:numPr>
              <w:spacing w:after="50" w:before="0"/>
            </w:pPr>
            <w:r>
              <w:rPr>
                <w:rFonts w:ascii="Arial" w:cs="Arial" w:eastAsia="Arial" w:hAnsi="Arial"/>
                <w:color w:val="000000"/>
                <w:sz w:val="20"/>
                <w:szCs w:val="20"/>
              </w:rPr>
              <w:t xml:space="preserve">Lab 5b-2: CloudTrail event annotation, Flow Log ACCEPT and REJECT entries, and Config NON_COMPLIANT result submitted to LMS</w:t>
            </w:r>
          </w:p>
          <w:p>
            <w:pPr>
              <w:pStyle w:val="ListParagraph"/>
              <w:numPr>
                <w:ilvl w:val="0"/>
                <w:numId w:val="3"/>
              </w:numPr>
              <w:spacing w:after="50" w:before="0"/>
            </w:pPr>
            <w:r>
              <w:rPr>
                <w:rFonts w:ascii="Arial" w:cs="Arial" w:eastAsia="Arial" w:hAnsi="Arial"/>
                <w:color w:val="000000"/>
                <w:sz w:val="20"/>
                <w:szCs w:val="20"/>
              </w:rPr>
              <w:t xml:space="preserve">Security review checklist: score recorded and added to the learner's Portfolio of Evidence</w:t>
            </w:r>
          </w:p>
        </w:tc>
        <w:tc>
          <w:tcPr>
            <w:tcW w:type="dxa" w:w="120"/>
            <w:tcBorders>
              <w:top w:val="single" w:color="FFFFFF" w:sz="1"/>
              <w:left w:val="single" w:color="FFFFFF" w:sz="1"/>
              <w:bottom w:val="single" w:color="FFFFFF" w:sz="1"/>
              <w:right w:val="single" w:color="FFFFFF" w:sz="1"/>
            </w:tcBorders>
          </w:tcPr>
          <w:p>
            <w:pPr>
              <w:spacing w:after="120" w:before="0"/>
            </w:pPr>
          </w:p>
        </w:tc>
        <w:tc>
          <w:tcPr>
            <w:tcW w:type="dxa" w:w="4620"/>
            <w:tcBorders>
              <w:top w:val="single" w:color="CCCCCC" w:sz="4"/>
              <w:left w:val="single" w:color="CCCCCC" w:sz="4"/>
              <w:bottom w:val="single" w:color="CCCCCC" w:sz="4"/>
              <w:right w:val="single" w:color="CCCCCC" w:sz="4"/>
            </w:tcBorders>
            <w:shd w:fill="E5E3FC" w:val="clear"/>
            <w:tcMar>
              <w:top w:type="dxa" w:w="100"/>
              <w:left w:type="dxa" w:w="120"/>
              <w:bottom w:type="dxa" w:w="100"/>
              <w:right w:type="dxa" w:w="120"/>
            </w:tcMar>
          </w:tcPr>
          <w:p>
            <w:pPr>
              <w:spacing w:after="80" w:before="0"/>
            </w:pPr>
            <w:r>
              <w:rPr>
                <w:rFonts w:ascii="Arial" w:cs="Arial" w:eastAsia="Arial" w:hAnsi="Arial"/>
                <w:b/>
                <w:bCs/>
                <w:color w:val="1A1A2E"/>
                <w:sz w:val="22"/>
                <w:szCs w:val="22"/>
              </w:rPr>
              <w:t xml:space="preserve">Facilitator notes</w:t>
            </w:r>
          </w:p>
          <w:p>
            <w:pPr>
              <w:pStyle w:val="ListParagraph"/>
              <w:numPr>
                <w:ilvl w:val="0"/>
                <w:numId w:val="3"/>
              </w:numPr>
              <w:spacing w:after="50" w:before="0"/>
            </w:pPr>
            <w:r>
              <w:rPr>
                <w:rFonts w:ascii="Arial" w:cs="Arial" w:eastAsia="Arial" w:hAnsi="Arial"/>
                <w:color w:val="000000"/>
                <w:sz w:val="20"/>
                <w:szCs w:val="20"/>
              </w:rPr>
              <w:t xml:space="preserve">The Shodan demonstration — searching for open port 22 on EC2 instances globally — is highly effective at making learners understand the real-world threat model; use it if internet connectivity allows</w:t>
            </w:r>
          </w:p>
          <w:p>
            <w:pPr>
              <w:pStyle w:val="ListParagraph"/>
              <w:numPr>
                <w:ilvl w:val="0"/>
                <w:numId w:val="3"/>
              </w:numPr>
              <w:spacing w:after="50" w:before="0"/>
            </w:pPr>
            <w:r>
              <w:rPr>
                <w:rFonts w:ascii="Arial" w:cs="Arial" w:eastAsia="Arial" w:hAnsi="Arial"/>
                <w:color w:val="000000"/>
                <w:sz w:val="20"/>
                <w:szCs w:val="20"/>
              </w:rPr>
              <w:t xml:space="preserve">CloudTrail management events are free for the first trail; AWS Config rules may incur minimal charges of approximately $0.001 per rule evaluation — flag this to learners</w:t>
            </w:r>
          </w:p>
          <w:p>
            <w:pPr>
              <w:pStyle w:val="ListParagraph"/>
              <w:numPr>
                <w:ilvl w:val="0"/>
                <w:numId w:val="3"/>
              </w:numPr>
              <w:spacing w:after="50" w:before="0"/>
            </w:pPr>
            <w:r>
              <w:rPr>
                <w:rFonts w:ascii="Arial" w:cs="Arial" w:eastAsia="Arial" w:hAnsi="Arial"/>
                <w:color w:val="000000"/>
                <w:sz w:val="20"/>
                <w:szCs w:val="20"/>
              </w:rPr>
              <w:t xml:space="preserve">Enable VPC Flow Logs at the very beginning of class before the lecture starts — they take 5–10 minutes to appear in CloudWatch, so starting them early ensures they are available during the lab</w:t>
            </w:r>
          </w:p>
          <w:p>
            <w:pPr>
              <w:pStyle w:val="ListParagraph"/>
              <w:numPr>
                <w:ilvl w:val="0"/>
                <w:numId w:val="3"/>
              </w:numPr>
              <w:spacing w:after="50" w:before="0"/>
            </w:pPr>
            <w:r>
              <w:rPr>
                <w:rFonts w:ascii="Arial" w:cs="Arial" w:eastAsia="Arial" w:hAnsi="Arial"/>
                <w:color w:val="000000"/>
                <w:sz w:val="20"/>
                <w:szCs w:val="20"/>
              </w:rPr>
              <w:t xml:space="preserve">ACM certificate provisioning requires ownership of a domain name — for this lab, focus on the concept and demonstrate on a shared facilitator domain if available; the full HTTPS configuration is offered as an optional extension for learners who own a domain</w:t>
            </w:r>
          </w:p>
        </w:tc>
      </w:tr>
    </w:tbl>
    <w:p>
      <w:pPr>
        <w:spacing w:after="240" w:before="0"/>
      </w:pPr>
    </w:p>
    <w:p>
      <w:pPr>
        <w:pBdr>
          <w:bottom w:val="single" w:color="CCCCCC" w:sz="4" w:space="1"/>
        </w:pBdr>
        <w:spacing w:after="80" w:before="80"/>
      </w:pPr>
    </w:p>
    <w:p>
      <w:pPr>
        <w:spacing w:after="120" w:before="0"/>
      </w:pPr>
    </w:p>
    <w:p>
      <w:pPr>
        <w:pBdr>
          <w:left w:val="thick" w:color="0F6E56" w:sz="20" w:space="8"/>
        </w:pBdr>
        <w:spacing w:after="0" w:before="200"/>
      </w:pPr>
      <w:r>
        <w:rPr>
          <w:rFonts w:ascii="Arial" w:cs="Arial" w:eastAsia="Arial" w:hAnsi="Arial"/>
          <w:b/>
          <w:bCs/>
          <w:color w:val="0F6E56"/>
          <w:sz w:val="26"/>
          <w:szCs w:val="26"/>
        </w:rPr>
        <w:t xml:space="preserve">  Lesson 3: </w:t>
      </w:r>
      <w:r>
        <w:rPr>
          <w:rFonts w:ascii="Arial" w:cs="Arial" w:eastAsia="Arial" w:hAnsi="Arial"/>
          <w:b/>
          <w:bCs/>
          <w:color w:val="1A1A2E"/>
          <w:sz w:val="26"/>
          <w:szCs w:val="26"/>
        </w:rPr>
        <w:t xml:space="preserve">Incident response, Well-Architected Security &amp; module quiz</w:t>
      </w:r>
    </w:p>
    <w:p>
      <w:pPr>
        <w:spacing w:after="160" w:before="40"/>
      </w:pPr>
      <w:r>
        <w:rPr>
          <w:rFonts w:ascii="Arial" w:cs="Arial" w:eastAsia="Arial" w:hAnsi="Arial"/>
          <w:i/>
          <w:iCs/>
          <w:color w:val="666666"/>
          <w:sz w:val="20"/>
          <w:szCs w:val="20"/>
        </w:rPr>
        <w:t xml:space="preserve">  Week 10 · Day 1  ·  5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120"/>
        <w:gridCol w:w="4620"/>
      </w:tblGrid>
      <w:tr>
        <w:tc>
          <w:tcPr>
            <w:tcW w:type="dxa" w:w="4620"/>
            <w:tcBorders>
              <w:top w:val="single" w:color="CCCCCC" w:sz="4"/>
              <w:left w:val="single" w:color="CCCCCC" w:sz="4"/>
              <w:bottom w:val="single" w:color="CCCCCC" w:sz="4"/>
              <w:right w:val="single" w:color="CCCCCC" w:sz="4"/>
            </w:tcBorders>
            <w:shd w:fill="D8F2E9" w:val="clear"/>
            <w:tcMar>
              <w:top w:type="dxa" w:w="100"/>
              <w:left w:type="dxa" w:w="120"/>
              <w:bottom w:type="dxa" w:w="100"/>
              <w:right w:type="dxa" w:w="120"/>
            </w:tcMar>
          </w:tcPr>
          <w:p>
            <w:pPr>
              <w:spacing w:after="80" w:before="0"/>
            </w:pPr>
            <w:r>
              <w:rPr>
                <w:rFonts w:ascii="Arial" w:cs="Arial" w:eastAsia="Arial" w:hAnsi="Arial"/>
                <w:b/>
                <w:bCs/>
                <w:color w:val="1A1A2E"/>
                <w:sz w:val="22"/>
                <w:szCs w:val="22"/>
              </w:rPr>
              <w:t xml:space="preserve">Lesson objectives</w:t>
            </w:r>
          </w:p>
          <w:p>
            <w:pPr>
              <w:pStyle w:val="ListParagraph"/>
              <w:numPr>
                <w:ilvl w:val="0"/>
                <w:numId w:val="3"/>
              </w:numPr>
              <w:spacing w:after="50" w:before="0"/>
            </w:pPr>
            <w:r>
              <w:rPr>
                <w:rFonts w:ascii="Arial" w:cs="Arial" w:eastAsia="Arial" w:hAnsi="Arial"/>
                <w:color w:val="000000"/>
                <w:sz w:val="20"/>
                <w:szCs w:val="20"/>
              </w:rPr>
              <w:t xml:space="preserve">Describe the 6 phases of cloud incident response and explain the purpose of each phase</w:t>
            </w:r>
          </w:p>
          <w:p>
            <w:pPr>
              <w:pStyle w:val="ListParagraph"/>
              <w:numPr>
                <w:ilvl w:val="0"/>
                <w:numId w:val="3"/>
              </w:numPr>
              <w:spacing w:after="50" w:before="0"/>
            </w:pPr>
            <w:r>
              <w:rPr>
                <w:rFonts w:ascii="Arial" w:cs="Arial" w:eastAsia="Arial" w:hAnsi="Arial"/>
                <w:color w:val="000000"/>
                <w:sz w:val="20"/>
                <w:szCs w:val="20"/>
              </w:rPr>
              <w:t xml:space="preserve">Apply all 6 incident response phases to an assigned simulated cloud breach scenario</w:t>
            </w:r>
          </w:p>
          <w:p>
            <w:pPr>
              <w:pStyle w:val="ListParagraph"/>
              <w:numPr>
                <w:ilvl w:val="0"/>
                <w:numId w:val="3"/>
              </w:numPr>
              <w:spacing w:after="50" w:before="0"/>
            </w:pPr>
            <w:r>
              <w:rPr>
                <w:rFonts w:ascii="Arial" w:cs="Arial" w:eastAsia="Arial" w:hAnsi="Arial"/>
                <w:color w:val="000000"/>
                <w:sz w:val="20"/>
                <w:szCs w:val="20"/>
              </w:rPr>
              <w:t xml:space="preserve">Use the AWS Well-Architected Security Pillar to conduct a structured security review of an architecture</w:t>
            </w:r>
          </w:p>
          <w:p>
            <w:pPr>
              <w:pStyle w:val="ListParagraph"/>
              <w:numPr>
                <w:ilvl w:val="0"/>
                <w:numId w:val="3"/>
              </w:numPr>
              <w:spacing w:after="50" w:before="0"/>
            </w:pPr>
            <w:r>
              <w:rPr>
                <w:rFonts w:ascii="Arial" w:cs="Arial" w:eastAsia="Arial" w:hAnsi="Arial"/>
                <w:color w:val="000000"/>
                <w:sz w:val="20"/>
                <w:szCs w:val="20"/>
              </w:rPr>
              <w:t xml:space="preserve">Produce a professional Security Hardening Report for the Module 4 2-tier application</w:t>
            </w:r>
          </w:p>
          <w:p>
            <w:pPr>
              <w:pStyle w:val="ListParagraph"/>
              <w:numPr>
                <w:ilvl w:val="0"/>
                <w:numId w:val="3"/>
              </w:numPr>
              <w:spacing w:after="50" w:before="0"/>
            </w:pPr>
            <w:r>
              <w:rPr>
                <w:rFonts w:ascii="Arial" w:cs="Arial" w:eastAsia="Arial" w:hAnsi="Arial"/>
                <w:color w:val="000000"/>
                <w:sz w:val="20"/>
                <w:szCs w:val="20"/>
              </w:rPr>
              <w:t xml:space="preserve">Pass the Module 5 formative quiz at 70% or above</w:t>
            </w:r>
          </w:p>
        </w:tc>
        <w:tc>
          <w:tcPr>
            <w:tcW w:type="dxa" w:w="120"/>
            <w:tcBorders>
              <w:top w:val="single" w:color="FFFFFF" w:sz="1"/>
              <w:left w:val="single" w:color="FFFFFF" w:sz="1"/>
              <w:bottom w:val="single" w:color="FFFFFF" w:sz="1"/>
              <w:right w:val="single" w:color="FFFFFF" w:sz="1"/>
            </w:tcBorders>
          </w:tcPr>
          <w:p>
            <w:pPr>
              <w:spacing w:after="120" w:before="0"/>
            </w:pPr>
          </w:p>
        </w:tc>
        <w:tc>
          <w:tcPr>
            <w:tcW w:type="dxa" w:w="4620"/>
            <w:tcBorders>
              <w:top w:val="single" w:color="CCCCCC" w:sz="4"/>
              <w:left w:val="single" w:color="CCCCCC" w:sz="4"/>
              <w:bottom w:val="single" w:color="CCCCCC" w:sz="4"/>
              <w:right w:val="single" w:color="CCCCCC" w:sz="4"/>
            </w:tcBorders>
            <w:shd w:fill="D8F2E9" w:val="clear"/>
            <w:tcMar>
              <w:top w:type="dxa" w:w="100"/>
              <w:left w:type="dxa" w:w="120"/>
              <w:bottom w:type="dxa" w:w="100"/>
              <w:right w:type="dxa" w:w="120"/>
            </w:tcMar>
          </w:tcPr>
          <w:p>
            <w:pPr>
              <w:spacing w:after="80" w:before="0"/>
            </w:pPr>
            <w:r>
              <w:rPr>
                <w:rFonts w:ascii="Arial" w:cs="Arial" w:eastAsia="Arial" w:hAnsi="Arial"/>
                <w:b/>
                <w:bCs/>
                <w:color w:val="1A1A2E"/>
                <w:sz w:val="22"/>
                <w:szCs w:val="22"/>
              </w:rPr>
              <w:t xml:space="preserve">Resources &amp; environment</w:t>
            </w:r>
          </w:p>
          <w:p>
            <w:pPr>
              <w:pStyle w:val="ListParagraph"/>
              <w:numPr>
                <w:ilvl w:val="0"/>
                <w:numId w:val="3"/>
              </w:numPr>
              <w:spacing w:after="50" w:before="0"/>
            </w:pPr>
            <w:r>
              <w:rPr>
                <w:rFonts w:ascii="Arial" w:cs="Arial" w:eastAsia="Arial" w:hAnsi="Arial"/>
                <w:color w:val="000000"/>
                <w:sz w:val="20"/>
                <w:szCs w:val="20"/>
              </w:rPr>
              <w:t xml:space="preserve">Module 4 application architecture (running or documented)</w:t>
            </w:r>
          </w:p>
          <w:p>
            <w:pPr>
              <w:pStyle w:val="ListParagraph"/>
              <w:numPr>
                <w:ilvl w:val="0"/>
                <w:numId w:val="3"/>
              </w:numPr>
              <w:spacing w:after="50" w:before="0"/>
            </w:pPr>
            <w:r>
              <w:rPr>
                <w:rFonts w:ascii="Arial" w:cs="Arial" w:eastAsia="Arial" w:hAnsi="Arial"/>
                <w:color w:val="000000"/>
                <w:sz w:val="20"/>
                <w:szCs w:val="20"/>
              </w:rPr>
              <w:t xml:space="preserve">Printed: 4 incident response scenario cards — one per group (provided in LMS)</w:t>
            </w:r>
          </w:p>
          <w:p>
            <w:pPr>
              <w:pStyle w:val="ListParagraph"/>
              <w:numPr>
                <w:ilvl w:val="0"/>
                <w:numId w:val="3"/>
              </w:numPr>
              <w:spacing w:after="50" w:before="0"/>
            </w:pPr>
            <w:r>
              <w:rPr>
                <w:rFonts w:ascii="Arial" w:cs="Arial" w:eastAsia="Arial" w:hAnsi="Arial"/>
                <w:color w:val="000000"/>
                <w:sz w:val="20"/>
                <w:szCs w:val="20"/>
              </w:rPr>
              <w:t xml:space="preserve">Printed: AWS Well-Architected Security Pillar checklist — 15 items (one per learner)</w:t>
            </w:r>
          </w:p>
          <w:p>
            <w:pPr>
              <w:pStyle w:val="ListParagraph"/>
              <w:numPr>
                <w:ilvl w:val="0"/>
                <w:numId w:val="3"/>
              </w:numPr>
              <w:spacing w:after="50" w:before="0"/>
            </w:pPr>
            <w:r>
              <w:rPr>
                <w:rFonts w:ascii="Arial" w:cs="Arial" w:eastAsia="Arial" w:hAnsi="Arial"/>
                <w:color w:val="000000"/>
                <w:sz w:val="20"/>
                <w:szCs w:val="20"/>
              </w:rPr>
              <w:t xml:space="preserve">Security hardening report template — 1 page with structured sections (provided in LMS)</w:t>
            </w:r>
          </w:p>
          <w:p>
            <w:pPr>
              <w:pStyle w:val="ListParagraph"/>
              <w:numPr>
                <w:ilvl w:val="0"/>
                <w:numId w:val="3"/>
              </w:numPr>
              <w:spacing w:after="50" w:before="0"/>
            </w:pPr>
            <w:r>
              <w:rPr>
                <w:rFonts w:ascii="Arial" w:cs="Arial" w:eastAsia="Arial" w:hAnsi="Arial"/>
                <w:color w:val="000000"/>
                <w:sz w:val="20"/>
                <w:szCs w:val="20"/>
              </w:rPr>
              <w:t xml:space="preserve">Module 5 Quiz — 20 questions (LMS or printed)</w:t>
            </w:r>
          </w:p>
        </w:tc>
      </w:tr>
    </w:tbl>
    <w:p>
      <w:pPr>
        <w:spacing w:after="120" w:before="0"/>
      </w:pPr>
    </w:p>
    <w:p>
      <w:pPr>
        <w:spacing w:after="80" w:before="160"/>
      </w:pPr>
      <w:r>
        <w:rPr>
          <w:rFonts w:ascii="Arial" w:cs="Arial" w:eastAsia="Arial" w:hAnsi="Arial"/>
          <w:b/>
          <w:bCs/>
          <w:color w:val="1A1A2E"/>
          <w:sz w:val="22"/>
          <w:szCs w:val="22"/>
        </w:rPr>
        <w:t xml:space="preserve">Session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7260"/>
      </w:tblGrid>
      <w:tr>
        <w:trPr>
          <w:tblHeader/>
        </w:trPr>
        <w:tc>
          <w:tcPr>
            <w:tcW w:type="dxa" w:w="800"/>
            <w:tcBorders>
              <w:top w:val="single" w:color="1B4F8A" w:sz="6"/>
              <w:left w:val="single" w:color="1B4F8A" w:sz="6"/>
              <w:bottom w:val="single" w:color="1B4F8A" w:sz="6"/>
              <w:right w:val="single" w:color="1B4F8A" w:sz="6"/>
            </w:tcBorders>
            <w:shd w:fill="1B4F8A" w:val="clear"/>
            <w:tcMar>
              <w:top w:type="dxa" w:w="80"/>
              <w:left w:type="dxa" w:w="100"/>
              <w:bottom w:type="dxa" w:w="80"/>
              <w:right w:type="dxa" w:w="100"/>
            </w:tcMar>
          </w:tcPr>
          <w:p>
            <w:r>
              <w:rPr>
                <w:rFonts w:ascii="Arial" w:cs="Arial" w:eastAsia="Arial" w:hAnsi="Arial"/>
                <w:b/>
                <w:bCs/>
                <w:color w:val="FFFFFF"/>
                <w:sz w:val="20"/>
                <w:szCs w:val="20"/>
              </w:rPr>
              <w:t xml:space="preserve">Time</w:t>
            </w:r>
          </w:p>
        </w:tc>
        <w:tc>
          <w:tcPr>
            <w:tcW w:type="dxa" w:w="1300"/>
            <w:tcBorders>
              <w:top w:val="single" w:color="1B4F8A" w:sz="6"/>
              <w:left w:val="single" w:color="1B4F8A" w:sz="6"/>
              <w:bottom w:val="single" w:color="1B4F8A" w:sz="6"/>
              <w:right w:val="single" w:color="1B4F8A" w:sz="6"/>
            </w:tcBorders>
            <w:shd w:fill="1B4F8A" w:val="clear"/>
            <w:tcMar>
              <w:top w:type="dxa" w:w="80"/>
              <w:left w:type="dxa" w:w="100"/>
              <w:bottom w:type="dxa" w:w="80"/>
              <w:right w:type="dxa" w:w="100"/>
            </w:tcMar>
          </w:tcPr>
          <w:p>
            <w:r>
              <w:rPr>
                <w:rFonts w:ascii="Arial" w:cs="Arial" w:eastAsia="Arial" w:hAnsi="Arial"/>
                <w:b/>
                <w:bCs/>
                <w:color w:val="FFFFFF"/>
                <w:sz w:val="20"/>
                <w:szCs w:val="20"/>
              </w:rPr>
              <w:t xml:space="preserve">Type</w:t>
            </w:r>
          </w:p>
        </w:tc>
        <w:tc>
          <w:tcPr>
            <w:tcW w:type="dxa" w:w="7260"/>
            <w:tcBorders>
              <w:top w:val="single" w:color="1B4F8A" w:sz="6"/>
              <w:left w:val="single" w:color="1B4F8A" w:sz="6"/>
              <w:bottom w:val="single" w:color="1B4F8A" w:sz="6"/>
              <w:right w:val="single" w:color="1B4F8A" w:sz="6"/>
            </w:tcBorders>
            <w:shd w:fill="1B4F8A" w:val="clear"/>
            <w:tcMar>
              <w:top w:type="dxa" w:w="80"/>
              <w:left w:type="dxa" w:w="100"/>
              <w:bottom w:type="dxa" w:w="80"/>
              <w:right w:type="dxa" w:w="100"/>
            </w:tcMar>
          </w:tcPr>
          <w:p>
            <w:r>
              <w:rPr>
                <w:rFonts w:ascii="Arial" w:cs="Arial" w:eastAsia="Arial" w:hAnsi="Arial"/>
                <w:b/>
                <w:bCs/>
                <w:color w:val="FFFFFF"/>
                <w:sz w:val="20"/>
                <w:szCs w:val="20"/>
              </w:rPr>
              <w:t xml:space="preserve">Activity &amp; description</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vAlign w:val="top"/>
          </w:tcPr>
          <w:p>
            <w:r>
              <w:rPr>
                <w:rFonts w:ascii="Arial" w:cs="Arial" w:eastAsia="Arial" w:hAnsi="Arial"/>
                <w:b/>
                <w:bCs/>
                <w:color w:val="666666"/>
                <w:sz w:val="19"/>
                <w:szCs w:val="19"/>
              </w:rPr>
              <w:t xml:space="preserve">0:00</w:t>
            </w:r>
          </w:p>
        </w:tc>
        <w:tc>
          <w:tcPr>
            <w:tcW w:type="dxa" w:w="1300"/>
            <w:tcBorders>
              <w:top w:val="single" w:color="CCCCCC" w:sz="4"/>
              <w:left w:val="single" w:color="CCCCCC" w:sz="4"/>
              <w:bottom w:val="single" w:color="CCCCCC" w:sz="4"/>
              <w:right w:val="single" w:color="CCCCCC" w:sz="4"/>
            </w:tcBorders>
            <w:shd w:fill="E5E3FC" w:val="clear"/>
            <w:tcMar>
              <w:top w:type="dxa" w:w="80"/>
              <w:left w:type="dxa" w:w="100"/>
              <w:bottom w:type="dxa" w:w="80"/>
              <w:right w:type="dxa" w:w="100"/>
            </w:tcMar>
            <w:vAlign w:val="top"/>
          </w:tcPr>
          <w:p>
            <w:r>
              <w:rPr>
                <w:rFonts w:ascii="Arial" w:cs="Arial" w:eastAsia="Arial" w:hAnsi="Arial"/>
                <w:b/>
                <w:bCs/>
                <w:color w:val="3C3489"/>
                <w:sz w:val="19"/>
                <w:szCs w:val="19"/>
              </w:rPr>
              <w:t xml:space="preserve">Discussion</w:t>
            </w:r>
          </w:p>
        </w:tc>
        <w:tc>
          <w:tcPr>
            <w:tcW w:type="dxa" w:w="72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r>
              <w:rPr>
                <w:rFonts w:ascii="Arial" w:cs="Arial" w:eastAsia="Arial" w:hAnsi="Arial"/>
                <w:color w:val="000000"/>
                <w:sz w:val="20"/>
                <w:szCs w:val="20"/>
              </w:rPr>
              <w:t xml:space="preserve">The 2020 SolarWinds supply chain attack (20 min) — Attackers compromised SolarWinds' software build pipeline and inserted malicious code into a legitimate signed software update package for the Orion platform. Approximately 18,000 organisations downloaded and installed the update, including multiple US government agencies and major technology companies. The initial compromise was not detected for months. The incident response effort was vast, complex, and expensive. Key lesson for cloud practitioners: even well-secured organisations with mature security programmes get breached. The question is not whether an incident will occur but whether your organisation is prepared to detect it, contain it, and recover from it effectively. A practised incident response plan reduces both the duration and the damage of any breach.</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rFonts w:ascii="Arial" w:cs="Arial" w:eastAsia="Arial" w:hAnsi="Arial"/>
                <w:b/>
                <w:bCs/>
                <w:color w:val="666666"/>
                <w:sz w:val="19"/>
                <w:szCs w:val="19"/>
              </w:rPr>
              <w:t xml:space="preserve">0:20</w:t>
            </w:r>
          </w:p>
        </w:tc>
        <w:tc>
          <w:tcPr>
            <w:tcW w:type="dxa" w:w="1300"/>
            <w:tcBorders>
              <w:top w:val="single" w:color="CCCCCC" w:sz="4"/>
              <w:left w:val="single" w:color="CCCCCC" w:sz="4"/>
              <w:bottom w:val="single" w:color="CCCCCC" w:sz="4"/>
              <w:right w:val="single" w:color="CCCCCC" w:sz="4"/>
            </w:tcBorders>
            <w:shd w:fill="D6E8F8" w:val="clear"/>
            <w:tcMar>
              <w:top w:type="dxa" w:w="80"/>
              <w:left w:type="dxa" w:w="100"/>
              <w:bottom w:type="dxa" w:w="80"/>
              <w:right w:type="dxa" w:w="100"/>
            </w:tcMar>
            <w:vAlign w:val="top"/>
          </w:tcPr>
          <w:p>
            <w:r>
              <w:rPr>
                <w:rFonts w:ascii="Arial" w:cs="Arial" w:eastAsia="Arial" w:hAnsi="Arial"/>
                <w:b/>
                <w:bCs/>
                <w:color w:val="1B4F8A"/>
                <w:sz w:val="19"/>
                <w:szCs w:val="19"/>
              </w:rPr>
              <w:t xml:space="preserve">Lecture</w:t>
            </w:r>
          </w:p>
        </w:tc>
        <w:tc>
          <w:tcPr>
            <w:tcW w:type="dxa" w:w="7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000000"/>
                <w:sz w:val="20"/>
                <w:szCs w:val="20"/>
              </w:rPr>
              <w:t xml:space="preserve">Cloud incident response — 6 phases in depth (45 min) — Phase 1 Prepare: develop and test IR runbooks before an incident occurs; run AWS GameDays to simulate breach scenarios; create a pre-authorised forensic IAM role with read-only access to all services for use during investigations; maintain an isolated forensic VPC with no internet access for safe analysis; ensure CloudTrail, GuardDuty, and VPC Flow Logs are pre-enabled on all accounts; establish an out-of-band communications plan that does not rely on potentially compromised systems. Phase 2 Identify: detect anomalies via GuardDuty machine learning alerts, CloudTrail unusual activity patterns, VPC Flow Log traffic spikes, billing alerts triggered by unexpected resource provisioning such as cryptomining EC2 instances. Phase 3 Contain: immediately isolate a compromised EC2 instance by replacing its security group with a deny-all rule; revoke or deactivate the associated IAM role or user; take an EBS snapshot of the instance for forensic preservation before any changes; rotate all credentials that may have been exposed. Phase 4 Eradicate: terminate the compromised instance after forensic snapshot; delete malicious IAM users, access keys, or policies created by the attacker; patch or remediate the specific vulnerability that was exploited. Phase 5 Recover: launch a clean replacement instance from a known-good AMI; restore application data from the last verified clean backup; validate integrity by comparing checksums; monitor intensively for recurrence. Phase 6 Lessons Learned: conduct a blameless post-mortem within 5 business days; identify the root cause, contributing factors, and detection gaps; update IR runbooks with findings; implement preventive technical controls to prevent recurrence.</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vAlign w:val="top"/>
          </w:tcPr>
          <w:p>
            <w:r>
              <w:rPr>
                <w:rFonts w:ascii="Arial" w:cs="Arial" w:eastAsia="Arial" w:hAnsi="Arial"/>
                <w:b/>
                <w:bCs/>
                <w:color w:val="666666"/>
                <w:sz w:val="19"/>
                <w:szCs w:val="19"/>
              </w:rPr>
              <w:t xml:space="preserve">1:05</w:t>
            </w:r>
          </w:p>
        </w:tc>
        <w:tc>
          <w:tcPr>
            <w:tcW w:type="dxa" w:w="1300"/>
            <w:tcBorders>
              <w:top w:val="single" w:color="CCCCCC" w:sz="4"/>
              <w:left w:val="single" w:color="CCCCCC" w:sz="4"/>
              <w:bottom w:val="single" w:color="CCCCCC" w:sz="4"/>
              <w:right w:val="single" w:color="CCCCCC" w:sz="4"/>
            </w:tcBorders>
            <w:shd w:fill="E5E3FC" w:val="clear"/>
            <w:tcMar>
              <w:top w:type="dxa" w:w="80"/>
              <w:left w:type="dxa" w:w="100"/>
              <w:bottom w:type="dxa" w:w="80"/>
              <w:right w:type="dxa" w:w="100"/>
            </w:tcMar>
            <w:vAlign w:val="top"/>
          </w:tcPr>
          <w:p>
            <w:r>
              <w:rPr>
                <w:rFonts w:ascii="Arial" w:cs="Arial" w:eastAsia="Arial" w:hAnsi="Arial"/>
                <w:b/>
                <w:bCs/>
                <w:color w:val="3C3489"/>
                <w:sz w:val="19"/>
                <w:szCs w:val="19"/>
              </w:rPr>
              <w:t xml:space="preserve">Workshop</w:t>
            </w:r>
          </w:p>
        </w:tc>
        <w:tc>
          <w:tcPr>
            <w:tcW w:type="dxa" w:w="72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r>
              <w:rPr>
                <w:rFonts w:ascii="Arial" w:cs="Arial" w:eastAsia="Arial" w:hAnsi="Arial"/>
                <w:color w:val="000000"/>
                <w:sz w:val="20"/>
                <w:szCs w:val="20"/>
              </w:rPr>
              <w:t xml:space="preserve">Incident response simulation — 4 scenario cards (75 min) — Groups of 3 learners each receive one scenario card and must apply all 6 IR phases, documenting their proposed response actions for each phase. Scenario A: GuardDuty generates a critical alert at 3am indicating that an EC2 instance is communicating with a known command-and-control IP address on a non-standard port — the instance runs the production web application. Scenario B: CloudTrail shows that an IAM user created 50 new IAM users and attached the AdministratorAccess managed policy to each within a 10-minute window — the legitimate owner of that IAM user is on leave. Scenario C: an AWS Budgets alert fires at 11pm showing the account has already exceeded 500% of the monthly budget; Cost Explorer shows dozens of EC2 instances running in regions the company has never used — classic cryptomining compromise pattern. Scenario D: VPC Flow Logs show thousands of REJECT entries on port 5432 (PostgreSQL) from an unknown external IP over a 6-hour period — a database brute-force or reconnaissance attempt. Each group presents their 6-phase response plan. Facilitator provides structured feedback on missed containment steps and over-escalation.</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rFonts w:ascii="Arial" w:cs="Arial" w:eastAsia="Arial" w:hAnsi="Arial"/>
                <w:b/>
                <w:bCs/>
                <w:color w:val="666666"/>
                <w:sz w:val="19"/>
                <w:szCs w:val="19"/>
              </w:rPr>
              <w:t xml:space="preserve">2:20</w:t>
            </w:r>
          </w:p>
        </w:tc>
        <w:tc>
          <w:tcPr>
            <w:tcW w:type="dxa" w:w="13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vAlign w:val="top"/>
          </w:tcPr>
          <w:p>
            <w:r>
              <w:rPr>
                <w:rFonts w:ascii="Arial" w:cs="Arial" w:eastAsia="Arial" w:hAnsi="Arial"/>
                <w:b/>
                <w:bCs/>
                <w:color w:val="666666"/>
                <w:sz w:val="19"/>
                <w:szCs w:val="19"/>
              </w:rPr>
              <w:t xml:space="preserve">Break</w:t>
            </w:r>
          </w:p>
        </w:tc>
        <w:tc>
          <w:tcPr>
            <w:tcW w:type="dxa" w:w="7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000000"/>
                <w:sz w:val="20"/>
                <w:szCs w:val="20"/>
              </w:rPr>
              <w:t xml:space="preserve">15 minutes</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vAlign w:val="top"/>
          </w:tcPr>
          <w:p>
            <w:r>
              <w:rPr>
                <w:rFonts w:ascii="Arial" w:cs="Arial" w:eastAsia="Arial" w:hAnsi="Arial"/>
                <w:b/>
                <w:bCs/>
                <w:color w:val="666666"/>
                <w:sz w:val="19"/>
                <w:szCs w:val="19"/>
              </w:rPr>
              <w:t xml:space="preserve">2:35</w:t>
            </w:r>
          </w:p>
        </w:tc>
        <w:tc>
          <w:tcPr>
            <w:tcW w:type="dxa" w:w="1300"/>
            <w:tcBorders>
              <w:top w:val="single" w:color="CCCCCC" w:sz="4"/>
              <w:left w:val="single" w:color="CCCCCC" w:sz="4"/>
              <w:bottom w:val="single" w:color="CCCCCC" w:sz="4"/>
              <w:right w:val="single" w:color="CCCCCC" w:sz="4"/>
            </w:tcBorders>
            <w:shd w:fill="D6E8F8" w:val="clear"/>
            <w:tcMar>
              <w:top w:type="dxa" w:w="80"/>
              <w:left w:type="dxa" w:w="100"/>
              <w:bottom w:type="dxa" w:w="80"/>
              <w:right w:type="dxa" w:w="100"/>
            </w:tcMar>
            <w:vAlign w:val="top"/>
          </w:tcPr>
          <w:p>
            <w:r>
              <w:rPr>
                <w:rFonts w:ascii="Arial" w:cs="Arial" w:eastAsia="Arial" w:hAnsi="Arial"/>
                <w:b/>
                <w:bCs/>
                <w:color w:val="1B4F8A"/>
                <w:sz w:val="19"/>
                <w:szCs w:val="19"/>
              </w:rPr>
              <w:t xml:space="preserve">Lecture</w:t>
            </w:r>
          </w:p>
        </w:tc>
        <w:tc>
          <w:tcPr>
            <w:tcW w:type="dxa" w:w="72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r>
              <w:rPr>
                <w:rFonts w:ascii="Arial" w:cs="Arial" w:eastAsia="Arial" w:hAnsi="Arial"/>
                <w:color w:val="000000"/>
                <w:sz w:val="20"/>
                <w:szCs w:val="20"/>
              </w:rPr>
              <w:t xml:space="preserve">AWS Well-Architected Framework — Security Pillar (30 min) — The 6 security design principles: implement a strong identity foundation (least privilege, no long-term credentials for services); enable traceability (CloudTrail, Config, Flow Logs — log everything); apply security at all layers (not just the perimeter — defence in depth); automate security best practices (Config rules, GuardDuty, Security Hub — automate detection and response); protect data in transit and at rest (TLS, KMS — encrypt by default); prepare for security events (IR plan, GameDays, forensic tooling ready before you need it). The 7 security focus areas: Identity and Access Management, Detection, Infrastructure Protection, Data Protection, Incident Response, Application Security, and Governance and Compliance. The AWS Well-Architected Tool: a free service in the console that guides organisations through a formal architecture review and generates a report with improvement recommendations. How the Security Pillar maps to POPIA Condition 7 (Security safeguards) and to ISACA and ISO 27001 frameworks used in South African enterprise security governance.</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rFonts w:ascii="Arial" w:cs="Arial" w:eastAsia="Arial" w:hAnsi="Arial"/>
                <w:b/>
                <w:bCs/>
                <w:color w:val="666666"/>
                <w:sz w:val="19"/>
                <w:szCs w:val="19"/>
              </w:rPr>
              <w:t xml:space="preserve">3:05</w:t>
            </w:r>
          </w:p>
        </w:tc>
        <w:tc>
          <w:tcPr>
            <w:tcW w:type="dxa" w:w="1300"/>
            <w:tcBorders>
              <w:top w:val="single" w:color="CCCCCC" w:sz="4"/>
              <w:left w:val="single" w:color="CCCCCC" w:sz="4"/>
              <w:bottom w:val="single" w:color="CCCCCC" w:sz="4"/>
              <w:right w:val="single" w:color="CCCCCC" w:sz="4"/>
            </w:tcBorders>
            <w:shd w:fill="D8F2E9" w:val="clear"/>
            <w:tcMar>
              <w:top w:type="dxa" w:w="80"/>
              <w:left w:type="dxa" w:w="100"/>
              <w:bottom w:type="dxa" w:w="80"/>
              <w:right w:type="dxa" w:w="100"/>
            </w:tcMar>
            <w:vAlign w:val="top"/>
          </w:tcPr>
          <w:p>
            <w:r>
              <w:rPr>
                <w:rFonts w:ascii="Arial" w:cs="Arial" w:eastAsia="Arial" w:hAnsi="Arial"/>
                <w:b/>
                <w:bCs/>
                <w:color w:val="0F6E56"/>
                <w:sz w:val="19"/>
                <w:szCs w:val="19"/>
              </w:rPr>
              <w:t xml:space="preserve">Lab</w:t>
            </w:r>
          </w:p>
        </w:tc>
        <w:tc>
          <w:tcPr>
            <w:tcW w:type="dxa" w:w="7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000000"/>
                <w:sz w:val="20"/>
                <w:szCs w:val="20"/>
              </w:rPr>
              <w:t xml:space="preserve">Lab 5c — Security Hardening Report for the 2-tier application (55 min) — Using all findings from Lessons 1 and 2, the Well-Architected Security checklist, and the POPIA compliance gap register, each learner produces a one-page Security Hardening Report for their Module 4 2-tier application. Report structure: (1) Architecture Summary — a brief description of the 2-tier application with security controls listed; (2) Well-Architected Security Assessment — score against each of the 6 Security Pillar principles (implemented, partial, not implemented); (3) Findings Table — at least 5 findings listed with columns for Finding Description, Severity (Critical/High/Medium/Low), Recommended AWS Control, and Implementation Effort (Low/Medium/High); (4) POPIA Compliance Summary — overall compliance status against all 8 conditions with gap items highlighted. This report is added to the learner's Portfolio of Evidence and represents a professional-quality security deliverable.</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vAlign w:val="top"/>
          </w:tcPr>
          <w:p>
            <w:r>
              <w:rPr>
                <w:rFonts w:ascii="Arial" w:cs="Arial" w:eastAsia="Arial" w:hAnsi="Arial"/>
                <w:b/>
                <w:bCs/>
                <w:color w:val="666666"/>
                <w:sz w:val="19"/>
                <w:szCs w:val="19"/>
              </w:rPr>
              <w:t xml:space="preserve">4:00</w:t>
            </w:r>
          </w:p>
        </w:tc>
        <w:tc>
          <w:tcPr>
            <w:tcW w:type="dxa" w:w="1300"/>
            <w:tcBorders>
              <w:top w:val="single" w:color="CCCCCC" w:sz="4"/>
              <w:left w:val="single" w:color="CCCCCC" w:sz="4"/>
              <w:bottom w:val="single" w:color="CCCCCC" w:sz="4"/>
              <w:right w:val="single" w:color="CCCCCC" w:sz="4"/>
            </w:tcBorders>
            <w:shd w:fill="FDF0D5" w:val="clear"/>
            <w:tcMar>
              <w:top w:type="dxa" w:w="80"/>
              <w:left w:type="dxa" w:w="100"/>
              <w:bottom w:type="dxa" w:w="80"/>
              <w:right w:type="dxa" w:w="100"/>
            </w:tcMar>
            <w:vAlign w:val="top"/>
          </w:tcPr>
          <w:p>
            <w:r>
              <w:rPr>
                <w:rFonts w:ascii="Arial" w:cs="Arial" w:eastAsia="Arial" w:hAnsi="Arial"/>
                <w:b/>
                <w:bCs/>
                <w:color w:val="854F0B"/>
                <w:sz w:val="19"/>
                <w:szCs w:val="19"/>
              </w:rPr>
              <w:t xml:space="preserve">Quiz</w:t>
            </w:r>
          </w:p>
        </w:tc>
        <w:tc>
          <w:tcPr>
            <w:tcW w:type="dxa" w:w="72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r>
              <w:rPr>
                <w:rFonts w:ascii="Arial" w:cs="Arial" w:eastAsia="Arial" w:hAnsi="Arial"/>
                <w:color w:val="000000"/>
                <w:sz w:val="20"/>
                <w:szCs w:val="20"/>
              </w:rPr>
              <w:t xml:space="preserve">Module 5 Formative Quiz (30 min) — 20 multiple-choice questions across all three lessons. Distribution: shared responsibility model (3), encryption at rest and in transit (4), POPIA and compliance (4), network security, CloudTrail, and Config (5), incident response (4). Minimum pass mark: 14 out of 20 (70%).</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rFonts w:ascii="Arial" w:cs="Arial" w:eastAsia="Arial" w:hAnsi="Arial"/>
                <w:b/>
                <w:bCs/>
                <w:color w:val="666666"/>
                <w:sz w:val="19"/>
                <w:szCs w:val="19"/>
              </w:rPr>
              <w:t xml:space="preserve">4:30</w:t>
            </w:r>
          </w:p>
        </w:tc>
        <w:tc>
          <w:tcPr>
            <w:tcW w:type="dxa" w:w="1300"/>
            <w:tcBorders>
              <w:top w:val="single" w:color="CCCCCC" w:sz="4"/>
              <w:left w:val="single" w:color="CCCCCC" w:sz="4"/>
              <w:bottom w:val="single" w:color="CCCCCC" w:sz="4"/>
              <w:right w:val="single" w:color="CCCCCC" w:sz="4"/>
            </w:tcBorders>
            <w:shd w:fill="E1F5EE" w:val="clear"/>
            <w:tcMar>
              <w:top w:type="dxa" w:w="80"/>
              <w:left w:type="dxa" w:w="100"/>
              <w:bottom w:type="dxa" w:w="80"/>
              <w:right w:type="dxa" w:w="100"/>
            </w:tcMar>
            <w:vAlign w:val="top"/>
          </w:tcPr>
          <w:p>
            <w:r>
              <w:rPr>
                <w:rFonts w:ascii="Arial" w:cs="Arial" w:eastAsia="Arial" w:hAnsi="Arial"/>
                <w:b/>
                <w:bCs/>
                <w:color w:val="085041"/>
                <w:sz w:val="19"/>
                <w:szCs w:val="19"/>
              </w:rPr>
              <w:t xml:space="preserve">Debrief</w:t>
            </w:r>
          </w:p>
        </w:tc>
        <w:tc>
          <w:tcPr>
            <w:tcW w:type="dxa" w:w="7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000000"/>
                <w:sz w:val="20"/>
                <w:szCs w:val="20"/>
              </w:rPr>
              <w:t xml:space="preserve">Quiz review and Module 6 preview (30 min) — Review answers to any question missed by more than 40% of learners and re-teach where necessary. Module 6 preview: 'You have now built, deployed, and secured a production-pattern 2-tier cloud application. In Module 6 — the Capstone Project — you will apply everything from all five modules to design, build, and present your own cloud solution for a real South African business scenario. This is the culmination of Cloud Launchpad.' Distribute the Capstone Project Brief and ensure every learner reads it before the next session.</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120"/>
        <w:gridCol w:w="4620"/>
      </w:tblGrid>
      <w:tr>
        <w:tc>
          <w:tcPr>
            <w:tcW w:type="dxa" w:w="4620"/>
            <w:tcBorders>
              <w:top w:val="single" w:color="CCCCCC" w:sz="4"/>
              <w:left w:val="single" w:color="CCCCCC" w:sz="4"/>
              <w:bottom w:val="single" w:color="CCCCCC" w:sz="4"/>
              <w:right w:val="single" w:color="CCCCCC" w:sz="4"/>
            </w:tcBorders>
            <w:shd w:fill="FDF0D5" w:val="clear"/>
            <w:tcMar>
              <w:top w:type="dxa" w:w="100"/>
              <w:left w:type="dxa" w:w="120"/>
              <w:bottom w:type="dxa" w:w="100"/>
              <w:right w:type="dxa" w:w="120"/>
            </w:tcMar>
          </w:tcPr>
          <w:p>
            <w:pPr>
              <w:spacing w:after="80" w:before="0"/>
            </w:pPr>
            <w:r>
              <w:rPr>
                <w:rFonts w:ascii="Arial" w:cs="Arial" w:eastAsia="Arial" w:hAnsi="Arial"/>
                <w:b/>
                <w:bCs/>
                <w:color w:val="1A1A2E"/>
                <w:sz w:val="22"/>
                <w:szCs w:val="22"/>
              </w:rPr>
              <w:t xml:space="preserve">Formative assessment</w:t>
            </w:r>
          </w:p>
          <w:p>
            <w:pPr>
              <w:pStyle w:val="ListParagraph"/>
              <w:numPr>
                <w:ilvl w:val="0"/>
                <w:numId w:val="3"/>
              </w:numPr>
              <w:spacing w:after="50" w:before="0"/>
            </w:pPr>
            <w:r>
              <w:rPr>
                <w:rFonts w:ascii="Arial" w:cs="Arial" w:eastAsia="Arial" w:hAnsi="Arial"/>
                <w:color w:val="000000"/>
                <w:sz w:val="20"/>
                <w:szCs w:val="20"/>
              </w:rPr>
              <w:t xml:space="preserve">Lab 5c: Security Hardening Report submitted to LMS and added to Portfolio of Evidence — assessed on findings quality and POPIA mapping accuracy</w:t>
            </w:r>
          </w:p>
          <w:p>
            <w:pPr>
              <w:pStyle w:val="ListParagraph"/>
              <w:numPr>
                <w:ilvl w:val="0"/>
                <w:numId w:val="3"/>
              </w:numPr>
              <w:spacing w:after="50" w:before="0"/>
            </w:pPr>
            <w:r>
              <w:rPr>
                <w:rFonts w:ascii="Arial" w:cs="Arial" w:eastAsia="Arial" w:hAnsi="Arial"/>
                <w:color w:val="000000"/>
                <w:sz w:val="20"/>
                <w:szCs w:val="20"/>
              </w:rPr>
              <w:t xml:space="preserve">IR simulation: all 6 phases documented for the assigned scenario, verbal presentation delivered and assessed by facilitator</w:t>
            </w:r>
          </w:p>
          <w:p>
            <w:pPr>
              <w:pStyle w:val="ListParagraph"/>
              <w:numPr>
                <w:ilvl w:val="0"/>
                <w:numId w:val="3"/>
              </w:numPr>
              <w:spacing w:after="50" w:before="0"/>
            </w:pPr>
            <w:r>
              <w:rPr>
                <w:rFonts w:ascii="Arial" w:cs="Arial" w:eastAsia="Arial" w:hAnsi="Arial"/>
                <w:color w:val="000000"/>
                <w:sz w:val="20"/>
                <w:szCs w:val="20"/>
              </w:rPr>
              <w:t xml:space="preserve">Module 5 Quiz: 20 questions, 70% pass mark, results recorded in LMS</w:t>
            </w:r>
          </w:p>
          <w:p>
            <w:pPr>
              <w:pStyle w:val="ListParagraph"/>
              <w:numPr>
                <w:ilvl w:val="0"/>
                <w:numId w:val="3"/>
              </w:numPr>
              <w:spacing w:after="50" w:before="0"/>
            </w:pPr>
            <w:r>
              <w:rPr>
                <w:rFonts w:ascii="Arial" w:cs="Arial" w:eastAsia="Arial" w:hAnsi="Arial"/>
                <w:color w:val="000000"/>
                <w:sz w:val="20"/>
                <w:szCs w:val="20"/>
              </w:rPr>
              <w:t xml:space="preserve">Learners below 70% offered a 1:1 catch-up session before the Capstone begins</w:t>
            </w:r>
          </w:p>
        </w:tc>
        <w:tc>
          <w:tcPr>
            <w:tcW w:type="dxa" w:w="120"/>
            <w:tcBorders>
              <w:top w:val="single" w:color="FFFFFF" w:sz="1"/>
              <w:left w:val="single" w:color="FFFFFF" w:sz="1"/>
              <w:bottom w:val="single" w:color="FFFFFF" w:sz="1"/>
              <w:right w:val="single" w:color="FFFFFF" w:sz="1"/>
            </w:tcBorders>
          </w:tcPr>
          <w:p>
            <w:pPr>
              <w:spacing w:after="120" w:before="0"/>
            </w:pPr>
          </w:p>
        </w:tc>
        <w:tc>
          <w:tcPr>
            <w:tcW w:type="dxa" w:w="4620"/>
            <w:tcBorders>
              <w:top w:val="single" w:color="CCCCCC" w:sz="4"/>
              <w:left w:val="single" w:color="CCCCCC" w:sz="4"/>
              <w:bottom w:val="single" w:color="CCCCCC" w:sz="4"/>
              <w:right w:val="single" w:color="CCCCCC" w:sz="4"/>
            </w:tcBorders>
            <w:shd w:fill="E5E3FC" w:val="clear"/>
            <w:tcMar>
              <w:top w:type="dxa" w:w="100"/>
              <w:left w:type="dxa" w:w="120"/>
              <w:bottom w:type="dxa" w:w="100"/>
              <w:right w:type="dxa" w:w="120"/>
            </w:tcMar>
          </w:tcPr>
          <w:p>
            <w:pPr>
              <w:spacing w:after="80" w:before="0"/>
            </w:pPr>
            <w:r>
              <w:rPr>
                <w:rFonts w:ascii="Arial" w:cs="Arial" w:eastAsia="Arial" w:hAnsi="Arial"/>
                <w:b/>
                <w:bCs/>
                <w:color w:val="1A1A2E"/>
                <w:sz w:val="22"/>
                <w:szCs w:val="22"/>
              </w:rPr>
              <w:t xml:space="preserve">Facilitator notes</w:t>
            </w:r>
          </w:p>
          <w:p>
            <w:pPr>
              <w:pStyle w:val="ListParagraph"/>
              <w:numPr>
                <w:ilvl w:val="0"/>
                <w:numId w:val="3"/>
              </w:numPr>
              <w:spacing w:after="50" w:before="0"/>
            </w:pPr>
            <w:r>
              <w:rPr>
                <w:rFonts w:ascii="Arial" w:cs="Arial" w:eastAsia="Arial" w:hAnsi="Arial"/>
                <w:color w:val="000000"/>
                <w:sz w:val="20"/>
                <w:szCs w:val="20"/>
              </w:rPr>
              <w:t xml:space="preserve">The IR simulation is consistently the highest-energy session of the entire module — allow groups the full presentation time and resist cutting this exercise short even if the quiz runs late</w:t>
            </w:r>
          </w:p>
          <w:p>
            <w:pPr>
              <w:pStyle w:val="ListParagraph"/>
              <w:numPr>
                <w:ilvl w:val="0"/>
                <w:numId w:val="3"/>
              </w:numPr>
              <w:spacing w:after="50" w:before="0"/>
            </w:pPr>
            <w:r>
              <w:rPr>
                <w:rFonts w:ascii="Arial" w:cs="Arial" w:eastAsia="Arial" w:hAnsi="Arial"/>
                <w:color w:val="000000"/>
                <w:sz w:val="20"/>
                <w:szCs w:val="20"/>
              </w:rPr>
              <w:t xml:space="preserve">Scenario C (cryptomining detected via billing alert) resonates particularly strongly because unexpected cost is a concern shared by every cloud learner and practitioner</w:t>
            </w:r>
          </w:p>
          <w:p>
            <w:pPr>
              <w:pStyle w:val="ListParagraph"/>
              <w:numPr>
                <w:ilvl w:val="0"/>
                <w:numId w:val="3"/>
              </w:numPr>
              <w:spacing w:after="50" w:before="0"/>
            </w:pPr>
            <w:r>
              <w:rPr>
                <w:rFonts w:ascii="Arial" w:cs="Arial" w:eastAsia="Arial" w:hAnsi="Arial"/>
                <w:color w:val="000000"/>
                <w:sz w:val="20"/>
                <w:szCs w:val="20"/>
              </w:rPr>
              <w:t xml:space="preserve">The Security Hardening Report is a professional deliverable format — provide coaching on business writing quality, not just technical accuracy; the findings table format mirrors real security assessment reports used by cloud consulting firms in SA</w:t>
            </w:r>
          </w:p>
          <w:p>
            <w:pPr>
              <w:pStyle w:val="ListParagraph"/>
              <w:numPr>
                <w:ilvl w:val="0"/>
                <w:numId w:val="3"/>
              </w:numPr>
              <w:spacing w:after="50" w:before="0"/>
            </w:pPr>
            <w:r>
              <w:rPr>
                <w:rFonts w:ascii="Arial" w:cs="Arial" w:eastAsia="Arial" w:hAnsi="Arial"/>
                <w:color w:val="000000"/>
                <w:sz w:val="20"/>
                <w:szCs w:val="20"/>
              </w:rPr>
              <w:t xml:space="preserve">After this module: remind learners to keep their Module 4 2-tier application running or at minimum document the architecture clearly for use as the baseline in the Module 6 capstone presentation</w:t>
            </w:r>
          </w:p>
        </w:tc>
      </w:tr>
    </w:tbl>
    <w:p>
      <w:pPr>
        <w:spacing w:after="240" w:before="0"/>
      </w:pPr>
    </w:p>
    <w:p>
      <w:pPr>
        <w:pBdr>
          <w:bottom w:val="single" w:color="CCCCCC" w:sz="4" w:space="1"/>
        </w:pBdr>
        <w:spacing w:after="80" w:before="80"/>
      </w:pPr>
    </w:p>
    <w:p>
      <w:pPr>
        <w:spacing w:after="120" w:before="0"/>
      </w:pPr>
    </w:p>
    <w:p>
      <w:r>
        <w:br w:type="page"/>
      </w:r>
    </w:p>
    <w:p>
      <w:pPr>
        <w:pStyle w:val="Heading1"/>
        <w:pBdr>
          <w:bottom w:val="single" w:color="1B4F8A" w:sz="8" w:space="2"/>
        </w:pBdr>
        <w:spacing w:after="160" w:before="280"/>
      </w:pPr>
      <w:r>
        <w:rPr>
          <w:rFonts w:ascii="Arial" w:cs="Arial" w:eastAsia="Arial" w:hAnsi="Arial"/>
          <w:b/>
          <w:bCs/>
          <w:color w:val="1A1A2E"/>
          <w:sz w:val="28"/>
          <w:szCs w:val="28"/>
        </w:rPr>
        <w:t xml:space="preserve">7.5 Module 5 Quiz — Full Question Bank (20 Questions)</w:t>
      </w:r>
    </w:p>
    <w:p>
      <w:pPr>
        <w:spacing w:after="140" w:before="0"/>
        <w:jc w:val="left"/>
      </w:pPr>
      <w:r>
        <w:rPr>
          <w:rFonts w:ascii="Arial" w:cs="Arial" w:eastAsia="Arial" w:hAnsi="Arial"/>
          <w:b w:val="false"/>
          <w:bCs w:val="false"/>
          <w:i w:val="false"/>
          <w:iCs w:val="false"/>
          <w:color w:val="000000"/>
          <w:sz w:val="22"/>
          <w:szCs w:val="22"/>
        </w:rPr>
        <w:t xml:space="preserve">The following 20 questions constitute the Module 5 formative quiz. Administer via the LMS or on paper. Minimum pass mark: 14 out of 20 (70%). Questions progress from foundational definitions through applied compliance and incident scenario reasoning.</w:t>
      </w:r>
    </w:p>
    <w:p>
      <w:pPr>
        <w:shd w:val="clear" w:fill="F5F5F5"/>
        <w:spacing w:after="60" w:before="0"/>
      </w:pPr>
      <w:r>
        <w:rPr>
          <w:rFonts w:ascii="Arial" w:cs="Arial" w:eastAsia="Arial" w:hAnsi="Arial"/>
          <w:b/>
          <w:bCs/>
          <w:color w:val="1A1A2E"/>
          <w:sz w:val="22"/>
          <w:szCs w:val="22"/>
        </w:rPr>
        <w:t xml:space="preserve">Q1.  Under the AWS Shared Responsibility Model, which of the following is AWS's responsibility when a customer runs an EC2 instance?</w:t>
      </w:r>
    </w:p>
    <w:p>
      <w:pPr>
        <w:spacing w:after="30" w:before="0"/>
        <w:ind w:left="400"/>
      </w:pPr>
      <w:r>
        <w:rPr>
          <w:rFonts w:ascii="Arial" w:cs="Arial" w:eastAsia="Arial" w:hAnsi="Arial"/>
          <w:color w:val="000000"/>
          <w:sz w:val="20"/>
          <w:szCs w:val="20"/>
        </w:rPr>
        <w:t xml:space="preserve">A) Patching the guest operating system</w:t>
      </w:r>
    </w:p>
    <w:p>
      <w:pPr>
        <w:spacing w:after="30" w:before="0"/>
        <w:ind w:left="400"/>
      </w:pPr>
      <w:r>
        <w:rPr>
          <w:rFonts w:ascii="Arial" w:cs="Arial" w:eastAsia="Arial" w:hAnsi="Arial"/>
          <w:color w:val="000000"/>
          <w:sz w:val="20"/>
          <w:szCs w:val="20"/>
        </w:rPr>
        <w:t xml:space="preserve">B) Configuring inbound security group rules</w:t>
      </w:r>
    </w:p>
    <w:p>
      <w:pPr>
        <w:spacing w:after="30" w:before="0"/>
        <w:ind w:left="400"/>
      </w:pPr>
      <w:r>
        <w:rPr>
          <w:rFonts w:ascii="Arial" w:cs="Arial" w:eastAsia="Arial" w:hAnsi="Arial"/>
          <w:color w:val="000000"/>
          <w:sz w:val="20"/>
          <w:szCs w:val="20"/>
        </w:rPr>
        <w:t xml:space="preserve">C) Maintaining the physical data centre and hypervisor infrastructure</w:t>
      </w:r>
    </w:p>
    <w:p>
      <w:pPr>
        <w:spacing w:after="30" w:before="0"/>
        <w:ind w:left="400"/>
      </w:pPr>
      <w:r>
        <w:rPr>
          <w:rFonts w:ascii="Arial" w:cs="Arial" w:eastAsia="Arial" w:hAnsi="Arial"/>
          <w:color w:val="000000"/>
          <w:sz w:val="20"/>
          <w:szCs w:val="20"/>
        </w:rPr>
        <w:t xml:space="preserve">D) Encrypting application data stored on EBS volumes</w:t>
      </w:r>
    </w:p>
    <w:p>
      <w:pPr>
        <w:spacing w:after="80" w:before="50"/>
        <w:ind w:left="400"/>
      </w:pPr>
      <w:r>
        <w:rPr>
          <w:rFonts w:ascii="Arial" w:cs="Arial" w:eastAsia="Arial" w:hAnsi="Arial"/>
          <w:b/>
          <w:bCs/>
          <w:color w:val="0F6E56"/>
          <w:sz w:val="20"/>
          <w:szCs w:val="20"/>
        </w:rPr>
        <w:t xml:space="preserve">Answer: C    </w:t>
      </w:r>
      <w:r>
        <w:rPr>
          <w:rFonts w:ascii="Arial" w:cs="Arial" w:eastAsia="Arial" w:hAnsi="Arial"/>
          <w:i/>
          <w:iCs/>
          <w:color w:val="666666"/>
          <w:sz w:val="18"/>
          <w:szCs w:val="18"/>
        </w:rPr>
        <w:t xml:space="preserve">(Lesson 1 — AWS Shared Responsibility Model: AWS manages physical and hypervisor layer)</w:t>
      </w:r>
    </w:p>
    <w:p>
      <w:pPr>
        <w:shd w:val="clear" w:fill="FFFFFF"/>
        <w:spacing w:after="60" w:before="140"/>
      </w:pPr>
      <w:r>
        <w:rPr>
          <w:rFonts w:ascii="Arial" w:cs="Arial" w:eastAsia="Arial" w:hAnsi="Arial"/>
          <w:b/>
          <w:bCs/>
          <w:color w:val="1A1A2E"/>
          <w:sz w:val="22"/>
          <w:szCs w:val="22"/>
        </w:rPr>
        <w:t xml:space="preserve">Q2.  A customer stores customer ID numbers (personal information under POPIA) in an S3 bucket with no encryption enabled. Which POPIA condition is most directly violated?</w:t>
      </w:r>
    </w:p>
    <w:p>
      <w:pPr>
        <w:spacing w:after="30" w:before="0"/>
        <w:ind w:left="400"/>
      </w:pPr>
      <w:r>
        <w:rPr>
          <w:rFonts w:ascii="Arial" w:cs="Arial" w:eastAsia="Arial" w:hAnsi="Arial"/>
          <w:color w:val="000000"/>
          <w:sz w:val="20"/>
          <w:szCs w:val="20"/>
        </w:rPr>
        <w:t xml:space="preserve">A) Condition 1 — Accountability</w:t>
      </w:r>
    </w:p>
    <w:p>
      <w:pPr>
        <w:spacing w:after="30" w:before="0"/>
        <w:ind w:left="400"/>
      </w:pPr>
      <w:r>
        <w:rPr>
          <w:rFonts w:ascii="Arial" w:cs="Arial" w:eastAsia="Arial" w:hAnsi="Arial"/>
          <w:color w:val="000000"/>
          <w:sz w:val="20"/>
          <w:szCs w:val="20"/>
        </w:rPr>
        <w:t xml:space="preserve">B) Condition 3 — Purpose specification</w:t>
      </w:r>
    </w:p>
    <w:p>
      <w:pPr>
        <w:spacing w:after="30" w:before="0"/>
        <w:ind w:left="400"/>
      </w:pPr>
      <w:r>
        <w:rPr>
          <w:rFonts w:ascii="Arial" w:cs="Arial" w:eastAsia="Arial" w:hAnsi="Arial"/>
          <w:color w:val="000000"/>
          <w:sz w:val="20"/>
          <w:szCs w:val="20"/>
        </w:rPr>
        <w:t xml:space="preserve">C) Condition 7 — Security safeguards</w:t>
      </w:r>
    </w:p>
    <w:p>
      <w:pPr>
        <w:spacing w:after="30" w:before="0"/>
        <w:ind w:left="400"/>
      </w:pPr>
      <w:r>
        <w:rPr>
          <w:rFonts w:ascii="Arial" w:cs="Arial" w:eastAsia="Arial" w:hAnsi="Arial"/>
          <w:color w:val="000000"/>
          <w:sz w:val="20"/>
          <w:szCs w:val="20"/>
        </w:rPr>
        <w:t xml:space="preserve">D) Condition 8 — Data subject participation</w:t>
      </w:r>
    </w:p>
    <w:p>
      <w:pPr>
        <w:spacing w:after="80" w:before="50"/>
        <w:ind w:left="400"/>
      </w:pPr>
      <w:r>
        <w:rPr>
          <w:rFonts w:ascii="Arial" w:cs="Arial" w:eastAsia="Arial" w:hAnsi="Arial"/>
          <w:b/>
          <w:bCs/>
          <w:color w:val="0F6E56"/>
          <w:sz w:val="20"/>
          <w:szCs w:val="20"/>
        </w:rPr>
        <w:t xml:space="preserve">Answer: C    </w:t>
      </w:r>
      <w:r>
        <w:rPr>
          <w:rFonts w:ascii="Arial" w:cs="Arial" w:eastAsia="Arial" w:hAnsi="Arial"/>
          <w:i/>
          <w:iCs/>
          <w:color w:val="666666"/>
          <w:sz w:val="18"/>
          <w:szCs w:val="18"/>
        </w:rPr>
        <w:t xml:space="preserve">(Lesson 1 — POPIA Condition 7: security safeguards require technical measures including encryption)</w:t>
      </w:r>
    </w:p>
    <w:p>
      <w:pPr>
        <w:shd w:val="clear" w:fill="F5F5F5"/>
        <w:spacing w:after="60" w:before="140"/>
      </w:pPr>
      <w:r>
        <w:rPr>
          <w:rFonts w:ascii="Arial" w:cs="Arial" w:eastAsia="Arial" w:hAnsi="Arial"/>
          <w:b/>
          <w:bCs/>
          <w:color w:val="1A1A2E"/>
          <w:sz w:val="22"/>
          <w:szCs w:val="22"/>
        </w:rPr>
        <w:t xml:space="preserve">Q3.  Which AWS service manages encryption keys and integrates with S3, EBS, RDS, and Secrets Manager to provide encryption at rest?</w:t>
      </w:r>
    </w:p>
    <w:p>
      <w:pPr>
        <w:spacing w:after="30" w:before="0"/>
        <w:ind w:left="400"/>
      </w:pPr>
      <w:r>
        <w:rPr>
          <w:rFonts w:ascii="Arial" w:cs="Arial" w:eastAsia="Arial" w:hAnsi="Arial"/>
          <w:color w:val="000000"/>
          <w:sz w:val="20"/>
          <w:szCs w:val="20"/>
        </w:rPr>
        <w:t xml:space="preserve">A) AWS Certificate Manager</w:t>
      </w:r>
    </w:p>
    <w:p>
      <w:pPr>
        <w:spacing w:after="30" w:before="0"/>
        <w:ind w:left="400"/>
      </w:pPr>
      <w:r>
        <w:rPr>
          <w:rFonts w:ascii="Arial" w:cs="Arial" w:eastAsia="Arial" w:hAnsi="Arial"/>
          <w:color w:val="000000"/>
          <w:sz w:val="20"/>
          <w:szCs w:val="20"/>
        </w:rPr>
        <w:t xml:space="preserve">B) AWS Secrets Manager</w:t>
      </w:r>
    </w:p>
    <w:p>
      <w:pPr>
        <w:spacing w:after="30" w:before="0"/>
        <w:ind w:left="400"/>
      </w:pPr>
      <w:r>
        <w:rPr>
          <w:rFonts w:ascii="Arial" w:cs="Arial" w:eastAsia="Arial" w:hAnsi="Arial"/>
          <w:color w:val="000000"/>
          <w:sz w:val="20"/>
          <w:szCs w:val="20"/>
        </w:rPr>
        <w:t xml:space="preserve">C) AWS Key Management Service (KMS)</w:t>
      </w:r>
    </w:p>
    <w:p>
      <w:pPr>
        <w:spacing w:after="30" w:before="0"/>
        <w:ind w:left="400"/>
      </w:pPr>
      <w:r>
        <w:rPr>
          <w:rFonts w:ascii="Arial" w:cs="Arial" w:eastAsia="Arial" w:hAnsi="Arial"/>
          <w:color w:val="000000"/>
          <w:sz w:val="20"/>
          <w:szCs w:val="20"/>
        </w:rPr>
        <w:t xml:space="preserve">D) AWS CloudHSM</w:t>
      </w:r>
    </w:p>
    <w:p>
      <w:pPr>
        <w:spacing w:after="80" w:before="50"/>
        <w:ind w:left="400"/>
      </w:pPr>
      <w:r>
        <w:rPr>
          <w:rFonts w:ascii="Arial" w:cs="Arial" w:eastAsia="Arial" w:hAnsi="Arial"/>
          <w:b/>
          <w:bCs/>
          <w:color w:val="0F6E56"/>
          <w:sz w:val="20"/>
          <w:szCs w:val="20"/>
        </w:rPr>
        <w:t xml:space="preserve">Answer: C    </w:t>
      </w:r>
      <w:r>
        <w:rPr>
          <w:rFonts w:ascii="Arial" w:cs="Arial" w:eastAsia="Arial" w:hAnsi="Arial"/>
          <w:i/>
          <w:iCs/>
          <w:color w:val="666666"/>
          <w:sz w:val="18"/>
          <w:szCs w:val="18"/>
        </w:rPr>
        <w:t xml:space="preserve">(Lesson 1 — AWS KMS for encryption key management)</w:t>
      </w:r>
    </w:p>
    <w:p>
      <w:pPr>
        <w:shd w:val="clear" w:fill="FFFFFF"/>
        <w:spacing w:after="60" w:before="140"/>
      </w:pPr>
      <w:r>
        <w:rPr>
          <w:rFonts w:ascii="Arial" w:cs="Arial" w:eastAsia="Arial" w:hAnsi="Arial"/>
          <w:b/>
          <w:bCs/>
          <w:color w:val="1A1A2E"/>
          <w:sz w:val="22"/>
          <w:szCs w:val="22"/>
        </w:rPr>
        <w:t xml:space="preserve">Q4.  What is the key difference between server-side encryption with SSE-S3 and SSE-KMS?</w:t>
      </w:r>
    </w:p>
    <w:p>
      <w:pPr>
        <w:spacing w:after="30" w:before="0"/>
        <w:ind w:left="400"/>
      </w:pPr>
      <w:r>
        <w:rPr>
          <w:rFonts w:ascii="Arial" w:cs="Arial" w:eastAsia="Arial" w:hAnsi="Arial"/>
          <w:color w:val="000000"/>
          <w:sz w:val="20"/>
          <w:szCs w:val="20"/>
        </w:rPr>
        <w:t xml:space="preserve">A) SSE-S3 uses AES-128; SSE-KMS uses AES-256</w:t>
      </w:r>
    </w:p>
    <w:p>
      <w:pPr>
        <w:spacing w:after="30" w:before="0"/>
        <w:ind w:left="400"/>
      </w:pPr>
      <w:r>
        <w:rPr>
          <w:rFonts w:ascii="Arial" w:cs="Arial" w:eastAsia="Arial" w:hAnsi="Arial"/>
          <w:color w:val="000000"/>
          <w:sz w:val="20"/>
          <w:szCs w:val="20"/>
        </w:rPr>
        <w:t xml:space="preserve">B) SSE-KMS uses customer-managed keys giving you key policy control and an audit trail in CloudTrail; SSE-S3 uses AWS-managed keys with no key-level auditing</w:t>
      </w:r>
    </w:p>
    <w:p>
      <w:pPr>
        <w:spacing w:after="30" w:before="0"/>
        <w:ind w:left="400"/>
      </w:pPr>
      <w:r>
        <w:rPr>
          <w:rFonts w:ascii="Arial" w:cs="Arial" w:eastAsia="Arial" w:hAnsi="Arial"/>
          <w:color w:val="000000"/>
          <w:sz w:val="20"/>
          <w:szCs w:val="20"/>
        </w:rPr>
        <w:t xml:space="preserve">C) SSE-S3 is only available in the us-east-1 region</w:t>
      </w:r>
    </w:p>
    <w:p>
      <w:pPr>
        <w:spacing w:after="30" w:before="0"/>
        <w:ind w:left="400"/>
      </w:pPr>
      <w:r>
        <w:rPr>
          <w:rFonts w:ascii="Arial" w:cs="Arial" w:eastAsia="Arial" w:hAnsi="Arial"/>
          <w:color w:val="000000"/>
          <w:sz w:val="20"/>
          <w:szCs w:val="20"/>
        </w:rPr>
        <w:t xml:space="preserve">D) SSE-KMS is free; SSE-S3 costs $0.10 per GB</w:t>
      </w:r>
    </w:p>
    <w:p>
      <w:pPr>
        <w:spacing w:after="80" w:before="50"/>
        <w:ind w:left="400"/>
      </w:pPr>
      <w:r>
        <w:rPr>
          <w:rFonts w:ascii="Arial" w:cs="Arial" w:eastAsia="Arial" w:hAnsi="Arial"/>
          <w:b/>
          <w:bCs/>
          <w:color w:val="0F6E56"/>
          <w:sz w:val="20"/>
          <w:szCs w:val="20"/>
        </w:rPr>
        <w:t xml:space="preserve">Answer: B    </w:t>
      </w:r>
      <w:r>
        <w:rPr>
          <w:rFonts w:ascii="Arial" w:cs="Arial" w:eastAsia="Arial" w:hAnsi="Arial"/>
          <w:i/>
          <w:iCs/>
          <w:color w:val="666666"/>
          <w:sz w:val="18"/>
          <w:szCs w:val="18"/>
        </w:rPr>
        <w:t xml:space="preserve">(Lesson 1 — SSE-S3 vs SSE-KMS key management and audit differences)</w:t>
      </w:r>
    </w:p>
    <w:p>
      <w:pPr>
        <w:shd w:val="clear" w:fill="F5F5F5"/>
        <w:spacing w:after="60" w:before="140"/>
      </w:pPr>
      <w:r>
        <w:rPr>
          <w:rFonts w:ascii="Arial" w:cs="Arial" w:eastAsia="Arial" w:hAnsi="Arial"/>
          <w:b/>
          <w:bCs/>
          <w:color w:val="1A1A2E"/>
          <w:sz w:val="22"/>
          <w:szCs w:val="22"/>
        </w:rPr>
        <w:t xml:space="preserve">Q5.  Under POPIA, within how many hours must an organisation notify the Information Regulator after discovering a personal information breach?</w:t>
      </w:r>
    </w:p>
    <w:p>
      <w:pPr>
        <w:spacing w:after="30" w:before="0"/>
        <w:ind w:left="400"/>
      </w:pPr>
      <w:r>
        <w:rPr>
          <w:rFonts w:ascii="Arial" w:cs="Arial" w:eastAsia="Arial" w:hAnsi="Arial"/>
          <w:color w:val="000000"/>
          <w:sz w:val="20"/>
          <w:szCs w:val="20"/>
        </w:rPr>
        <w:t xml:space="preserve">A) 24 hours</w:t>
      </w:r>
    </w:p>
    <w:p>
      <w:pPr>
        <w:spacing w:after="30" w:before="0"/>
        <w:ind w:left="400"/>
      </w:pPr>
      <w:r>
        <w:rPr>
          <w:rFonts w:ascii="Arial" w:cs="Arial" w:eastAsia="Arial" w:hAnsi="Arial"/>
          <w:color w:val="000000"/>
          <w:sz w:val="20"/>
          <w:szCs w:val="20"/>
        </w:rPr>
        <w:t xml:space="preserve">B) 48 hours</w:t>
      </w:r>
    </w:p>
    <w:p>
      <w:pPr>
        <w:spacing w:after="30" w:before="0"/>
        <w:ind w:left="400"/>
      </w:pPr>
      <w:r>
        <w:rPr>
          <w:rFonts w:ascii="Arial" w:cs="Arial" w:eastAsia="Arial" w:hAnsi="Arial"/>
          <w:color w:val="000000"/>
          <w:sz w:val="20"/>
          <w:szCs w:val="20"/>
        </w:rPr>
        <w:t xml:space="preserve">C) 72 hours</w:t>
      </w:r>
    </w:p>
    <w:p>
      <w:pPr>
        <w:spacing w:after="30" w:before="0"/>
        <w:ind w:left="400"/>
      </w:pPr>
      <w:r>
        <w:rPr>
          <w:rFonts w:ascii="Arial" w:cs="Arial" w:eastAsia="Arial" w:hAnsi="Arial"/>
          <w:color w:val="000000"/>
          <w:sz w:val="20"/>
          <w:szCs w:val="20"/>
        </w:rPr>
        <w:t xml:space="preserve">D) 7 days</w:t>
      </w:r>
    </w:p>
    <w:p>
      <w:pPr>
        <w:spacing w:after="80" w:before="50"/>
        <w:ind w:left="400"/>
      </w:pPr>
      <w:r>
        <w:rPr>
          <w:rFonts w:ascii="Arial" w:cs="Arial" w:eastAsia="Arial" w:hAnsi="Arial"/>
          <w:b/>
          <w:bCs/>
          <w:color w:val="0F6E56"/>
          <w:sz w:val="20"/>
          <w:szCs w:val="20"/>
        </w:rPr>
        <w:t xml:space="preserve">Answer: C    </w:t>
      </w:r>
      <w:r>
        <w:rPr>
          <w:rFonts w:ascii="Arial" w:cs="Arial" w:eastAsia="Arial" w:hAnsi="Arial"/>
          <w:i/>
          <w:iCs/>
          <w:color w:val="666666"/>
          <w:sz w:val="18"/>
          <w:szCs w:val="18"/>
        </w:rPr>
        <w:t xml:space="preserve">(Lesson 1 — POPIA breach notification: 72-hour requirement)</w:t>
      </w:r>
    </w:p>
    <w:p>
      <w:pPr>
        <w:shd w:val="clear" w:fill="FFFFFF"/>
        <w:spacing w:after="60" w:before="140"/>
      </w:pPr>
      <w:r>
        <w:rPr>
          <w:rFonts w:ascii="Arial" w:cs="Arial" w:eastAsia="Arial" w:hAnsi="Arial"/>
          <w:b/>
          <w:bCs/>
          <w:color w:val="1A1A2E"/>
          <w:sz w:val="22"/>
          <w:szCs w:val="22"/>
        </w:rPr>
        <w:t xml:space="preserve">Q6.  An EC2 instance has a security group rule allowing inbound SSH (port 22) from 0.0.0.0/0. Which AWS Config managed rule would flag this as non-compliant?</w:t>
      </w:r>
    </w:p>
    <w:p>
      <w:pPr>
        <w:spacing w:after="30" w:before="0"/>
        <w:ind w:left="400"/>
      </w:pPr>
      <w:r>
        <w:rPr>
          <w:rFonts w:ascii="Arial" w:cs="Arial" w:eastAsia="Arial" w:hAnsi="Arial"/>
          <w:color w:val="000000"/>
          <w:sz w:val="20"/>
          <w:szCs w:val="20"/>
        </w:rPr>
        <w:t xml:space="preserve">A) vpc-flow-logs-enabled</w:t>
      </w:r>
    </w:p>
    <w:p>
      <w:pPr>
        <w:spacing w:after="30" w:before="0"/>
        <w:ind w:left="400"/>
      </w:pPr>
      <w:r>
        <w:rPr>
          <w:rFonts w:ascii="Arial" w:cs="Arial" w:eastAsia="Arial" w:hAnsi="Arial"/>
          <w:color w:val="000000"/>
          <w:sz w:val="20"/>
          <w:szCs w:val="20"/>
        </w:rPr>
        <w:t xml:space="preserve">B) restricted-ssh</w:t>
      </w:r>
    </w:p>
    <w:p>
      <w:pPr>
        <w:spacing w:after="30" w:before="0"/>
        <w:ind w:left="400"/>
      </w:pPr>
      <w:r>
        <w:rPr>
          <w:rFonts w:ascii="Arial" w:cs="Arial" w:eastAsia="Arial" w:hAnsi="Arial"/>
          <w:color w:val="000000"/>
          <w:sz w:val="20"/>
          <w:szCs w:val="20"/>
        </w:rPr>
        <w:t xml:space="preserve">C) ec2-instance-no-public-ip</w:t>
      </w:r>
    </w:p>
    <w:p>
      <w:pPr>
        <w:spacing w:after="30" w:before="0"/>
        <w:ind w:left="400"/>
      </w:pPr>
      <w:r>
        <w:rPr>
          <w:rFonts w:ascii="Arial" w:cs="Arial" w:eastAsia="Arial" w:hAnsi="Arial"/>
          <w:color w:val="000000"/>
          <w:sz w:val="20"/>
          <w:szCs w:val="20"/>
        </w:rPr>
        <w:t xml:space="preserve">D) s3-bucket-public-access-prohibited</w:t>
      </w:r>
    </w:p>
    <w:p>
      <w:pPr>
        <w:spacing w:after="80" w:before="50"/>
        <w:ind w:left="400"/>
      </w:pPr>
      <w:r>
        <w:rPr>
          <w:rFonts w:ascii="Arial" w:cs="Arial" w:eastAsia="Arial" w:hAnsi="Arial"/>
          <w:b/>
          <w:bCs/>
          <w:color w:val="0F6E56"/>
          <w:sz w:val="20"/>
          <w:szCs w:val="20"/>
        </w:rPr>
        <w:t xml:space="preserve">Answer: B    </w:t>
      </w:r>
      <w:r>
        <w:rPr>
          <w:rFonts w:ascii="Arial" w:cs="Arial" w:eastAsia="Arial" w:hAnsi="Arial"/>
          <w:i/>
          <w:iCs/>
          <w:color w:val="666666"/>
          <w:sz w:val="18"/>
          <w:szCs w:val="18"/>
        </w:rPr>
        <w:t xml:space="preserve">(Lesson 2 — AWS Config restricted-ssh rule)</w:t>
      </w:r>
    </w:p>
    <w:p>
      <w:pPr>
        <w:shd w:val="clear" w:fill="F5F5F5"/>
        <w:spacing w:after="60" w:before="140"/>
      </w:pPr>
      <w:r>
        <w:rPr>
          <w:rFonts w:ascii="Arial" w:cs="Arial" w:eastAsia="Arial" w:hAnsi="Arial"/>
          <w:b/>
          <w:bCs/>
          <w:color w:val="1A1A2E"/>
          <w:sz w:val="22"/>
          <w:szCs w:val="22"/>
        </w:rPr>
        <w:t xml:space="preserve">Q7.  VPC Flow Logs record an entry with the action field showing REJECT. What does this indicate?</w:t>
      </w:r>
    </w:p>
    <w:p>
      <w:pPr>
        <w:spacing w:after="30" w:before="0"/>
        <w:ind w:left="400"/>
      </w:pPr>
      <w:r>
        <w:rPr>
          <w:rFonts w:ascii="Arial" w:cs="Arial" w:eastAsia="Arial" w:hAnsi="Arial"/>
          <w:color w:val="000000"/>
          <w:sz w:val="20"/>
          <w:szCs w:val="20"/>
        </w:rPr>
        <w:t xml:space="preserve">A) The EC2 instance rejected the network connection at the application layer</w:t>
      </w:r>
    </w:p>
    <w:p>
      <w:pPr>
        <w:spacing w:after="30" w:before="0"/>
        <w:ind w:left="400"/>
      </w:pPr>
      <w:r>
        <w:rPr>
          <w:rFonts w:ascii="Arial" w:cs="Arial" w:eastAsia="Arial" w:hAnsi="Arial"/>
          <w:color w:val="000000"/>
          <w:sz w:val="20"/>
          <w:szCs w:val="20"/>
        </w:rPr>
        <w:t xml:space="preserve">B) A security group or NACL rule blocked the traffic before it reached the instance</w:t>
      </w:r>
    </w:p>
    <w:p>
      <w:pPr>
        <w:spacing w:after="30" w:before="0"/>
        <w:ind w:left="400"/>
      </w:pPr>
      <w:r>
        <w:rPr>
          <w:rFonts w:ascii="Arial" w:cs="Arial" w:eastAsia="Arial" w:hAnsi="Arial"/>
          <w:color w:val="000000"/>
          <w:sz w:val="20"/>
          <w:szCs w:val="20"/>
        </w:rPr>
        <w:t xml:space="preserve">C) The traffic was encrypted and could not be inspected</w:t>
      </w:r>
    </w:p>
    <w:p>
      <w:pPr>
        <w:spacing w:after="30" w:before="0"/>
        <w:ind w:left="400"/>
      </w:pPr>
      <w:r>
        <w:rPr>
          <w:rFonts w:ascii="Arial" w:cs="Arial" w:eastAsia="Arial" w:hAnsi="Arial"/>
          <w:color w:val="000000"/>
          <w:sz w:val="20"/>
          <w:szCs w:val="20"/>
        </w:rPr>
        <w:t xml:space="preserve">D) The packet was dropped due to network congestion</w:t>
      </w:r>
    </w:p>
    <w:p>
      <w:pPr>
        <w:spacing w:after="80" w:before="50"/>
        <w:ind w:left="400"/>
      </w:pPr>
      <w:r>
        <w:rPr>
          <w:rFonts w:ascii="Arial" w:cs="Arial" w:eastAsia="Arial" w:hAnsi="Arial"/>
          <w:b/>
          <w:bCs/>
          <w:color w:val="0F6E56"/>
          <w:sz w:val="20"/>
          <w:szCs w:val="20"/>
        </w:rPr>
        <w:t xml:space="preserve">Answer: B    </w:t>
      </w:r>
      <w:r>
        <w:rPr>
          <w:rFonts w:ascii="Arial" w:cs="Arial" w:eastAsia="Arial" w:hAnsi="Arial"/>
          <w:i/>
          <w:iCs/>
          <w:color w:val="666666"/>
          <w:sz w:val="18"/>
          <w:szCs w:val="18"/>
        </w:rPr>
        <w:t xml:space="preserve">(Lesson 2 — VPC Flow Logs: REJECT means a SG or NACL rule blocked the traffic)</w:t>
      </w:r>
    </w:p>
    <w:p>
      <w:pPr>
        <w:shd w:val="clear" w:fill="FFFFFF"/>
        <w:spacing w:after="60" w:before="140"/>
      </w:pPr>
      <w:r>
        <w:rPr>
          <w:rFonts w:ascii="Arial" w:cs="Arial" w:eastAsia="Arial" w:hAnsi="Arial"/>
          <w:b/>
          <w:bCs/>
          <w:color w:val="1A1A2E"/>
          <w:sz w:val="22"/>
          <w:szCs w:val="22"/>
        </w:rPr>
        <w:t xml:space="preserve">Q8.  Which detail does CloudTrail NOT record in its log entries?</w:t>
      </w:r>
    </w:p>
    <w:p>
      <w:pPr>
        <w:spacing w:after="30" w:before="0"/>
        <w:ind w:left="400"/>
      </w:pPr>
      <w:r>
        <w:rPr>
          <w:rFonts w:ascii="Arial" w:cs="Arial" w:eastAsia="Arial" w:hAnsi="Arial"/>
          <w:color w:val="000000"/>
          <w:sz w:val="20"/>
          <w:szCs w:val="20"/>
        </w:rPr>
        <w:t xml:space="preserve">A) The IAM user or role that performed the action</w:t>
      </w:r>
    </w:p>
    <w:p>
      <w:pPr>
        <w:spacing w:after="30" w:before="0"/>
        <w:ind w:left="400"/>
      </w:pPr>
      <w:r>
        <w:rPr>
          <w:rFonts w:ascii="Arial" w:cs="Arial" w:eastAsia="Arial" w:hAnsi="Arial"/>
          <w:color w:val="000000"/>
          <w:sz w:val="20"/>
          <w:szCs w:val="20"/>
        </w:rPr>
        <w:t xml:space="preserve">B) The source IP address of the API call</w:t>
      </w:r>
    </w:p>
    <w:p>
      <w:pPr>
        <w:spacing w:after="30" w:before="0"/>
        <w:ind w:left="400"/>
      </w:pPr>
      <w:r>
        <w:rPr>
          <w:rFonts w:ascii="Arial" w:cs="Arial" w:eastAsia="Arial" w:hAnsi="Arial"/>
          <w:color w:val="000000"/>
          <w:sz w:val="20"/>
          <w:szCs w:val="20"/>
        </w:rPr>
        <w:t xml:space="preserve">C) The content of data written to S3 objects</w:t>
      </w:r>
    </w:p>
    <w:p>
      <w:pPr>
        <w:spacing w:after="30" w:before="0"/>
        <w:ind w:left="400"/>
      </w:pPr>
      <w:r>
        <w:rPr>
          <w:rFonts w:ascii="Arial" w:cs="Arial" w:eastAsia="Arial" w:hAnsi="Arial"/>
          <w:color w:val="000000"/>
          <w:sz w:val="20"/>
          <w:szCs w:val="20"/>
        </w:rPr>
        <w:t xml:space="preserve">D) The timestamp of when the action occurred</w:t>
      </w:r>
    </w:p>
    <w:p>
      <w:pPr>
        <w:spacing w:after="80" w:before="50"/>
        <w:ind w:left="400"/>
      </w:pPr>
      <w:r>
        <w:rPr>
          <w:rFonts w:ascii="Arial" w:cs="Arial" w:eastAsia="Arial" w:hAnsi="Arial"/>
          <w:b/>
          <w:bCs/>
          <w:color w:val="0F6E56"/>
          <w:sz w:val="20"/>
          <w:szCs w:val="20"/>
        </w:rPr>
        <w:t xml:space="preserve">Answer: C    </w:t>
      </w:r>
      <w:r>
        <w:rPr>
          <w:rFonts w:ascii="Arial" w:cs="Arial" w:eastAsia="Arial" w:hAnsi="Arial"/>
          <w:i/>
          <w:iCs/>
          <w:color w:val="666666"/>
          <w:sz w:val="18"/>
          <w:szCs w:val="18"/>
        </w:rPr>
        <w:t xml:space="preserve">(Lesson 2 — CloudTrail logs control plane actions, not data payload content)</w:t>
      </w:r>
    </w:p>
    <w:p>
      <w:pPr>
        <w:shd w:val="clear" w:fill="F5F5F5"/>
        <w:spacing w:after="60" w:before="140"/>
      </w:pPr>
      <w:r>
        <w:rPr>
          <w:rFonts w:ascii="Arial" w:cs="Arial" w:eastAsia="Arial" w:hAnsi="Arial"/>
          <w:b/>
          <w:bCs/>
          <w:color w:val="1A1A2E"/>
          <w:sz w:val="22"/>
          <w:szCs w:val="22"/>
        </w:rPr>
        <w:t xml:space="preserve">Q9.  What is the primary security benefit of using an Application Load Balancer for TLS termination?</w:t>
      </w:r>
    </w:p>
    <w:p>
      <w:pPr>
        <w:spacing w:after="30" w:before="0"/>
        <w:ind w:left="400"/>
      </w:pPr>
      <w:r>
        <w:rPr>
          <w:rFonts w:ascii="Arial" w:cs="Arial" w:eastAsia="Arial" w:hAnsi="Arial"/>
          <w:color w:val="000000"/>
          <w:sz w:val="20"/>
          <w:szCs w:val="20"/>
        </w:rPr>
        <w:t xml:space="preserve">A) It allows the EC2 instance to receive encrypted traffic directly</w:t>
      </w:r>
    </w:p>
    <w:p>
      <w:pPr>
        <w:spacing w:after="30" w:before="0"/>
        <w:ind w:left="400"/>
      </w:pPr>
      <w:r>
        <w:rPr>
          <w:rFonts w:ascii="Arial" w:cs="Arial" w:eastAsia="Arial" w:hAnsi="Arial"/>
          <w:color w:val="000000"/>
          <w:sz w:val="20"/>
          <w:szCs w:val="20"/>
        </w:rPr>
        <w:t xml:space="preserve">B) It offloads the TLS handshake from EC2 instances and enforces HTTPS centrally at the load balancer</w:t>
      </w:r>
    </w:p>
    <w:p>
      <w:pPr>
        <w:spacing w:after="30" w:before="0"/>
        <w:ind w:left="400"/>
      </w:pPr>
      <w:r>
        <w:rPr>
          <w:rFonts w:ascii="Arial" w:cs="Arial" w:eastAsia="Arial" w:hAnsi="Arial"/>
          <w:color w:val="000000"/>
          <w:sz w:val="20"/>
          <w:szCs w:val="20"/>
        </w:rPr>
        <w:t xml:space="preserve">C) It automatically patches the EC2 operating system when new TLS versions are released</w:t>
      </w:r>
    </w:p>
    <w:p>
      <w:pPr>
        <w:spacing w:after="30" w:before="0"/>
        <w:ind w:left="400"/>
      </w:pPr>
      <w:r>
        <w:rPr>
          <w:rFonts w:ascii="Arial" w:cs="Arial" w:eastAsia="Arial" w:hAnsi="Arial"/>
          <w:color w:val="000000"/>
          <w:sz w:val="20"/>
          <w:szCs w:val="20"/>
        </w:rPr>
        <w:t xml:space="preserve">D) It stores the private key on the EC2 instance for maximum security</w:t>
      </w:r>
    </w:p>
    <w:p>
      <w:pPr>
        <w:spacing w:after="80" w:before="50"/>
        <w:ind w:left="400"/>
      </w:pPr>
      <w:r>
        <w:rPr>
          <w:rFonts w:ascii="Arial" w:cs="Arial" w:eastAsia="Arial" w:hAnsi="Arial"/>
          <w:b/>
          <w:bCs/>
          <w:color w:val="0F6E56"/>
          <w:sz w:val="20"/>
          <w:szCs w:val="20"/>
        </w:rPr>
        <w:t xml:space="preserve">Answer: B    </w:t>
      </w:r>
      <w:r>
        <w:rPr>
          <w:rFonts w:ascii="Arial" w:cs="Arial" w:eastAsia="Arial" w:hAnsi="Arial"/>
          <w:i/>
          <w:iCs/>
          <w:color w:val="666666"/>
          <w:sz w:val="18"/>
          <w:szCs w:val="18"/>
        </w:rPr>
        <w:t xml:space="preserve">(Lesson 2 — ALB TLS termination / SSL offloading)</w:t>
      </w:r>
    </w:p>
    <w:p>
      <w:pPr>
        <w:shd w:val="clear" w:fill="FFFFFF"/>
        <w:spacing w:after="60" w:before="140"/>
      </w:pPr>
      <w:r>
        <w:rPr>
          <w:rFonts w:ascii="Arial" w:cs="Arial" w:eastAsia="Arial" w:hAnsi="Arial"/>
          <w:b/>
          <w:bCs/>
          <w:color w:val="1A1A2E"/>
          <w:sz w:val="22"/>
          <w:szCs w:val="22"/>
        </w:rPr>
        <w:t xml:space="preserve">Q10.  An ALB listener rule should be configured to redirect all HTTP traffic on port 80 to HTTPS. Why is this important?</w:t>
      </w:r>
    </w:p>
    <w:p>
      <w:pPr>
        <w:spacing w:after="30" w:before="0"/>
        <w:ind w:left="400"/>
      </w:pPr>
      <w:r>
        <w:rPr>
          <w:rFonts w:ascii="Arial" w:cs="Arial" w:eastAsia="Arial" w:hAnsi="Arial"/>
          <w:color w:val="000000"/>
          <w:sz w:val="20"/>
          <w:szCs w:val="20"/>
        </w:rPr>
        <w:t xml:space="preserve">A) Port 80 is blocked by AWS by default and must be redirected</w:t>
      </w:r>
    </w:p>
    <w:p>
      <w:pPr>
        <w:spacing w:after="30" w:before="0"/>
        <w:ind w:left="400"/>
      </w:pPr>
      <w:r>
        <w:rPr>
          <w:rFonts w:ascii="Arial" w:cs="Arial" w:eastAsia="Arial" w:hAnsi="Arial"/>
          <w:color w:val="000000"/>
          <w:sz w:val="20"/>
          <w:szCs w:val="20"/>
        </w:rPr>
        <w:t xml:space="preserve">B) Without the redirect, users accessing the site via HTTP will transmit credentials and session tokens in plaintext</w:t>
      </w:r>
    </w:p>
    <w:p>
      <w:pPr>
        <w:spacing w:after="30" w:before="0"/>
        <w:ind w:left="400"/>
      </w:pPr>
      <w:r>
        <w:rPr>
          <w:rFonts w:ascii="Arial" w:cs="Arial" w:eastAsia="Arial" w:hAnsi="Arial"/>
          <w:color w:val="000000"/>
          <w:sz w:val="20"/>
          <w:szCs w:val="20"/>
        </w:rPr>
        <w:t xml:space="preserve">C) HTTPS is slower and the redirect improves performance</w:t>
      </w:r>
    </w:p>
    <w:p>
      <w:pPr>
        <w:spacing w:after="30" w:before="0"/>
        <w:ind w:left="400"/>
      </w:pPr>
      <w:r>
        <w:rPr>
          <w:rFonts w:ascii="Arial" w:cs="Arial" w:eastAsia="Arial" w:hAnsi="Arial"/>
          <w:color w:val="000000"/>
          <w:sz w:val="20"/>
          <w:szCs w:val="20"/>
        </w:rPr>
        <w:t xml:space="preserve">D) AWS charges extra for traffic on port 80</w:t>
      </w:r>
    </w:p>
    <w:p>
      <w:pPr>
        <w:spacing w:after="80" w:before="50"/>
        <w:ind w:left="400"/>
      </w:pPr>
      <w:r>
        <w:rPr>
          <w:rFonts w:ascii="Arial" w:cs="Arial" w:eastAsia="Arial" w:hAnsi="Arial"/>
          <w:b/>
          <w:bCs/>
          <w:color w:val="0F6E56"/>
          <w:sz w:val="20"/>
          <w:szCs w:val="20"/>
        </w:rPr>
        <w:t xml:space="preserve">Answer: B    </w:t>
      </w:r>
      <w:r>
        <w:rPr>
          <w:rFonts w:ascii="Arial" w:cs="Arial" w:eastAsia="Arial" w:hAnsi="Arial"/>
          <w:i/>
          <w:iCs/>
          <w:color w:val="666666"/>
          <w:sz w:val="18"/>
          <w:szCs w:val="18"/>
        </w:rPr>
        <w:t xml:space="preserve">(Lesson 2 — HTTP to HTTPS redirect for preventing plaintext credential transmission)</w:t>
      </w:r>
    </w:p>
    <w:p>
      <w:pPr>
        <w:shd w:val="clear" w:fill="F5F5F5"/>
        <w:spacing w:after="60" w:before="140"/>
      </w:pPr>
      <w:r>
        <w:rPr>
          <w:rFonts w:ascii="Arial" w:cs="Arial" w:eastAsia="Arial" w:hAnsi="Arial"/>
          <w:b/>
          <w:bCs/>
          <w:color w:val="1A1A2E"/>
          <w:sz w:val="22"/>
          <w:szCs w:val="22"/>
        </w:rPr>
        <w:t xml:space="preserve">Q11.  In the context of the AWS Well-Architected Security Pillar, what does the principle 'enable traceability' require?</w:t>
      </w:r>
    </w:p>
    <w:p>
      <w:pPr>
        <w:spacing w:after="30" w:before="0"/>
        <w:ind w:left="400"/>
      </w:pPr>
      <w:r>
        <w:rPr>
          <w:rFonts w:ascii="Arial" w:cs="Arial" w:eastAsia="Arial" w:hAnsi="Arial"/>
          <w:color w:val="000000"/>
          <w:sz w:val="20"/>
          <w:szCs w:val="20"/>
        </w:rPr>
        <w:t xml:space="preserve">A) Publishing your architecture diagram publicly for review</w:t>
      </w:r>
    </w:p>
    <w:p>
      <w:pPr>
        <w:spacing w:after="30" w:before="0"/>
        <w:ind w:left="400"/>
      </w:pPr>
      <w:r>
        <w:rPr>
          <w:rFonts w:ascii="Arial" w:cs="Arial" w:eastAsia="Arial" w:hAnsi="Arial"/>
          <w:color w:val="000000"/>
          <w:sz w:val="20"/>
          <w:szCs w:val="20"/>
        </w:rPr>
        <w:t xml:space="preserve">B) Logging and monitoring all actions and changes to your environment using services such as CloudTrail, Config, and VPC Flow Logs</w:t>
      </w:r>
    </w:p>
    <w:p>
      <w:pPr>
        <w:spacing w:after="30" w:before="0"/>
        <w:ind w:left="400"/>
      </w:pPr>
      <w:r>
        <w:rPr>
          <w:rFonts w:ascii="Arial" w:cs="Arial" w:eastAsia="Arial" w:hAnsi="Arial"/>
          <w:color w:val="000000"/>
          <w:sz w:val="20"/>
          <w:szCs w:val="20"/>
        </w:rPr>
        <w:t xml:space="preserve">C) Enabling X-Ray tracing on all Lambda functions</w:t>
      </w:r>
    </w:p>
    <w:p>
      <w:pPr>
        <w:spacing w:after="30" w:before="0"/>
        <w:ind w:left="400"/>
      </w:pPr>
      <w:r>
        <w:rPr>
          <w:rFonts w:ascii="Arial" w:cs="Arial" w:eastAsia="Arial" w:hAnsi="Arial"/>
          <w:color w:val="000000"/>
          <w:sz w:val="20"/>
          <w:szCs w:val="20"/>
        </w:rPr>
        <w:t xml:space="preserve">D) Using AWS Service Catalog to track all deployed resources</w:t>
      </w:r>
    </w:p>
    <w:p>
      <w:pPr>
        <w:spacing w:after="80" w:before="50"/>
        <w:ind w:left="400"/>
      </w:pPr>
      <w:r>
        <w:rPr>
          <w:rFonts w:ascii="Arial" w:cs="Arial" w:eastAsia="Arial" w:hAnsi="Arial"/>
          <w:b/>
          <w:bCs/>
          <w:color w:val="0F6E56"/>
          <w:sz w:val="20"/>
          <w:szCs w:val="20"/>
        </w:rPr>
        <w:t xml:space="preserve">Answer: B    </w:t>
      </w:r>
      <w:r>
        <w:rPr>
          <w:rFonts w:ascii="Arial" w:cs="Arial" w:eastAsia="Arial" w:hAnsi="Arial"/>
          <w:i/>
          <w:iCs/>
          <w:color w:val="666666"/>
          <w:sz w:val="18"/>
          <w:szCs w:val="18"/>
        </w:rPr>
        <w:t xml:space="preserve">(Lesson 3 — Well-Architected Security: enable traceability)</w:t>
      </w:r>
    </w:p>
    <w:p>
      <w:pPr>
        <w:shd w:val="clear" w:fill="FFFFFF"/>
        <w:spacing w:after="60" w:before="140"/>
      </w:pPr>
      <w:r>
        <w:rPr>
          <w:rFonts w:ascii="Arial" w:cs="Arial" w:eastAsia="Arial" w:hAnsi="Arial"/>
          <w:b/>
          <w:bCs/>
          <w:color w:val="1A1A2E"/>
          <w:sz w:val="22"/>
          <w:szCs w:val="22"/>
        </w:rPr>
        <w:t xml:space="preserve">Q12.  During the Contain phase of cloud incident response, what is the recommended first action when an EC2 instance is suspected to be compromised?</w:t>
      </w:r>
    </w:p>
    <w:p>
      <w:pPr>
        <w:spacing w:after="30" w:before="0"/>
        <w:ind w:left="400"/>
      </w:pPr>
      <w:r>
        <w:rPr>
          <w:rFonts w:ascii="Arial" w:cs="Arial" w:eastAsia="Arial" w:hAnsi="Arial"/>
          <w:color w:val="000000"/>
          <w:sz w:val="20"/>
          <w:szCs w:val="20"/>
        </w:rPr>
        <w:t xml:space="preserve">A) Immediately terminate the instance to stop the attacker</w:t>
      </w:r>
    </w:p>
    <w:p>
      <w:pPr>
        <w:spacing w:after="30" w:before="0"/>
        <w:ind w:left="400"/>
      </w:pPr>
      <w:r>
        <w:rPr>
          <w:rFonts w:ascii="Arial" w:cs="Arial" w:eastAsia="Arial" w:hAnsi="Arial"/>
          <w:color w:val="000000"/>
          <w:sz w:val="20"/>
          <w:szCs w:val="20"/>
        </w:rPr>
        <w:t xml:space="preserve">B) Take no action until the cause is confirmed to avoid disrupting legitimate users</w:t>
      </w:r>
    </w:p>
    <w:p>
      <w:pPr>
        <w:spacing w:after="30" w:before="0"/>
        <w:ind w:left="400"/>
      </w:pPr>
      <w:r>
        <w:rPr>
          <w:rFonts w:ascii="Arial" w:cs="Arial" w:eastAsia="Arial" w:hAnsi="Arial"/>
          <w:color w:val="000000"/>
          <w:sz w:val="20"/>
          <w:szCs w:val="20"/>
        </w:rPr>
        <w:t xml:space="preserve">C) Replace the instance security group with a deny-all rule to isolate it, and take an EBS snapshot for forensic preservation</w:t>
      </w:r>
    </w:p>
    <w:p>
      <w:pPr>
        <w:spacing w:after="30" w:before="0"/>
        <w:ind w:left="400"/>
      </w:pPr>
      <w:r>
        <w:rPr>
          <w:rFonts w:ascii="Arial" w:cs="Arial" w:eastAsia="Arial" w:hAnsi="Arial"/>
          <w:color w:val="000000"/>
          <w:sz w:val="20"/>
          <w:szCs w:val="20"/>
        </w:rPr>
        <w:t xml:space="preserve">D) Notify AWS Support and wait for their instructions</w:t>
      </w:r>
    </w:p>
    <w:p>
      <w:pPr>
        <w:spacing w:after="80" w:before="50"/>
        <w:ind w:left="400"/>
      </w:pPr>
      <w:r>
        <w:rPr>
          <w:rFonts w:ascii="Arial" w:cs="Arial" w:eastAsia="Arial" w:hAnsi="Arial"/>
          <w:b/>
          <w:bCs/>
          <w:color w:val="0F6E56"/>
          <w:sz w:val="20"/>
          <w:szCs w:val="20"/>
        </w:rPr>
        <w:t xml:space="preserve">Answer: C    </w:t>
      </w:r>
      <w:r>
        <w:rPr>
          <w:rFonts w:ascii="Arial" w:cs="Arial" w:eastAsia="Arial" w:hAnsi="Arial"/>
          <w:i/>
          <w:iCs/>
          <w:color w:val="666666"/>
          <w:sz w:val="18"/>
          <w:szCs w:val="18"/>
        </w:rPr>
        <w:t xml:space="preserve">(Lesson 3 — IR Phase 3 Contain: isolate with deny-all SG and preserve forensic snapshot)</w:t>
      </w:r>
    </w:p>
    <w:p>
      <w:pPr>
        <w:shd w:val="clear" w:fill="F5F5F5"/>
        <w:spacing w:after="60" w:before="140"/>
      </w:pPr>
      <w:r>
        <w:rPr>
          <w:rFonts w:ascii="Arial" w:cs="Arial" w:eastAsia="Arial" w:hAnsi="Arial"/>
          <w:b/>
          <w:bCs/>
          <w:color w:val="1A1A2E"/>
          <w:sz w:val="22"/>
          <w:szCs w:val="22"/>
        </w:rPr>
        <w:t xml:space="preserve">Q13.  What is the purpose of a blameless post-mortem in the Lessons Learned phase of incident response?</w:t>
      </w:r>
    </w:p>
    <w:p>
      <w:pPr>
        <w:spacing w:after="30" w:before="0"/>
        <w:ind w:left="400"/>
      </w:pPr>
      <w:r>
        <w:rPr>
          <w:rFonts w:ascii="Arial" w:cs="Arial" w:eastAsia="Arial" w:hAnsi="Arial"/>
          <w:color w:val="000000"/>
          <w:sz w:val="20"/>
          <w:szCs w:val="20"/>
        </w:rPr>
        <w:t xml:space="preserve">A) To identify which team member made the error so they can be retrained</w:t>
      </w:r>
    </w:p>
    <w:p>
      <w:pPr>
        <w:spacing w:after="30" w:before="0"/>
        <w:ind w:left="400"/>
      </w:pPr>
      <w:r>
        <w:rPr>
          <w:rFonts w:ascii="Arial" w:cs="Arial" w:eastAsia="Arial" w:hAnsi="Arial"/>
          <w:color w:val="000000"/>
          <w:sz w:val="20"/>
          <w:szCs w:val="20"/>
        </w:rPr>
        <w:t xml:space="preserve">B) To focus on systemic process and tooling failures rather than individual blame, enabling honest discussion and genuine improvement</w:t>
      </w:r>
    </w:p>
    <w:p>
      <w:pPr>
        <w:spacing w:after="30" w:before="0"/>
        <w:ind w:left="400"/>
      </w:pPr>
      <w:r>
        <w:rPr>
          <w:rFonts w:ascii="Arial" w:cs="Arial" w:eastAsia="Arial" w:hAnsi="Arial"/>
          <w:color w:val="000000"/>
          <w:sz w:val="20"/>
          <w:szCs w:val="20"/>
        </w:rPr>
        <w:t xml:space="preserve">C) To provide legal documentation for regulatory submission</w:t>
      </w:r>
    </w:p>
    <w:p>
      <w:pPr>
        <w:spacing w:after="30" w:before="0"/>
        <w:ind w:left="400"/>
      </w:pPr>
      <w:r>
        <w:rPr>
          <w:rFonts w:ascii="Arial" w:cs="Arial" w:eastAsia="Arial" w:hAnsi="Arial"/>
          <w:color w:val="000000"/>
          <w:sz w:val="20"/>
          <w:szCs w:val="20"/>
        </w:rPr>
        <w:t xml:space="preserve">D) To calculate the financial impact of the breach for insurance purposes</w:t>
      </w:r>
    </w:p>
    <w:p>
      <w:pPr>
        <w:spacing w:after="80" w:before="50"/>
        <w:ind w:left="400"/>
      </w:pPr>
      <w:r>
        <w:rPr>
          <w:rFonts w:ascii="Arial" w:cs="Arial" w:eastAsia="Arial" w:hAnsi="Arial"/>
          <w:b/>
          <w:bCs/>
          <w:color w:val="0F6E56"/>
          <w:sz w:val="20"/>
          <w:szCs w:val="20"/>
        </w:rPr>
        <w:t xml:space="preserve">Answer: B    </w:t>
      </w:r>
      <w:r>
        <w:rPr>
          <w:rFonts w:ascii="Arial" w:cs="Arial" w:eastAsia="Arial" w:hAnsi="Arial"/>
          <w:i/>
          <w:iCs/>
          <w:color w:val="666666"/>
          <w:sz w:val="18"/>
          <w:szCs w:val="18"/>
        </w:rPr>
        <w:t xml:space="preserve">(Lesson 3 — IR Phase 6: blameless post-mortem for systemic improvement)</w:t>
      </w:r>
    </w:p>
    <w:p>
      <w:pPr>
        <w:shd w:val="clear" w:fill="FFFFFF"/>
        <w:spacing w:after="60" w:before="140"/>
      </w:pPr>
      <w:r>
        <w:rPr>
          <w:rFonts w:ascii="Arial" w:cs="Arial" w:eastAsia="Arial" w:hAnsi="Arial"/>
          <w:b/>
          <w:bCs/>
          <w:color w:val="1A1A2E"/>
          <w:sz w:val="22"/>
          <w:szCs w:val="22"/>
        </w:rPr>
        <w:t xml:space="preserve">Q14.  Which AWS service continuously analyses CloudTrail logs, VPC Flow Logs, and DNS logs using machine learning to detect threats such as compromised credentials and cryptocurrency mining?</w:t>
      </w:r>
    </w:p>
    <w:p>
      <w:pPr>
        <w:spacing w:after="30" w:before="0"/>
        <w:ind w:left="400"/>
      </w:pPr>
      <w:r>
        <w:rPr>
          <w:rFonts w:ascii="Arial" w:cs="Arial" w:eastAsia="Arial" w:hAnsi="Arial"/>
          <w:color w:val="000000"/>
          <w:sz w:val="20"/>
          <w:szCs w:val="20"/>
        </w:rPr>
        <w:t xml:space="preserve">A) AWS Config</w:t>
      </w:r>
    </w:p>
    <w:p>
      <w:pPr>
        <w:spacing w:after="30" w:before="0"/>
        <w:ind w:left="400"/>
      </w:pPr>
      <w:r>
        <w:rPr>
          <w:rFonts w:ascii="Arial" w:cs="Arial" w:eastAsia="Arial" w:hAnsi="Arial"/>
          <w:color w:val="000000"/>
          <w:sz w:val="20"/>
          <w:szCs w:val="20"/>
        </w:rPr>
        <w:t xml:space="preserve">B) AWS Security Hub</w:t>
      </w:r>
    </w:p>
    <w:p>
      <w:pPr>
        <w:spacing w:after="30" w:before="0"/>
        <w:ind w:left="400"/>
      </w:pPr>
      <w:r>
        <w:rPr>
          <w:rFonts w:ascii="Arial" w:cs="Arial" w:eastAsia="Arial" w:hAnsi="Arial"/>
          <w:color w:val="000000"/>
          <w:sz w:val="20"/>
          <w:szCs w:val="20"/>
        </w:rPr>
        <w:t xml:space="preserve">C) Amazon Inspector</w:t>
      </w:r>
    </w:p>
    <w:p>
      <w:pPr>
        <w:spacing w:after="30" w:before="0"/>
        <w:ind w:left="400"/>
      </w:pPr>
      <w:r>
        <w:rPr>
          <w:rFonts w:ascii="Arial" w:cs="Arial" w:eastAsia="Arial" w:hAnsi="Arial"/>
          <w:color w:val="000000"/>
          <w:sz w:val="20"/>
          <w:szCs w:val="20"/>
        </w:rPr>
        <w:t xml:space="preserve">D) Amazon GuardDuty</w:t>
      </w:r>
    </w:p>
    <w:p>
      <w:pPr>
        <w:spacing w:after="80" w:before="50"/>
        <w:ind w:left="400"/>
      </w:pPr>
      <w:r>
        <w:rPr>
          <w:rFonts w:ascii="Arial" w:cs="Arial" w:eastAsia="Arial" w:hAnsi="Arial"/>
          <w:b/>
          <w:bCs/>
          <w:color w:val="0F6E56"/>
          <w:sz w:val="20"/>
          <w:szCs w:val="20"/>
        </w:rPr>
        <w:t xml:space="preserve">Answer: D    </w:t>
      </w:r>
      <w:r>
        <w:rPr>
          <w:rFonts w:ascii="Arial" w:cs="Arial" w:eastAsia="Arial" w:hAnsi="Arial"/>
          <w:i/>
          <w:iCs/>
          <w:color w:val="666666"/>
          <w:sz w:val="18"/>
          <w:szCs w:val="18"/>
        </w:rPr>
        <w:t xml:space="preserve">(Lesson 2/3 — AWS GuardDuty for ML-based threat detection)</w:t>
      </w:r>
    </w:p>
    <w:p>
      <w:pPr>
        <w:shd w:val="clear" w:fill="F5F5F5"/>
        <w:spacing w:after="60" w:before="140"/>
      </w:pPr>
      <w:r>
        <w:rPr>
          <w:rFonts w:ascii="Arial" w:cs="Arial" w:eastAsia="Arial" w:hAnsi="Arial"/>
          <w:b/>
          <w:bCs/>
          <w:color w:val="1A1A2E"/>
          <w:sz w:val="22"/>
          <w:szCs w:val="22"/>
        </w:rPr>
        <w:t xml:space="preserve">Q15.  A learner finds that their AWS account has been used to launch 200 EC2 instances in regions they have never used, and the monthly bill has reached 50x the normal amount. Which incident response phase are they currently in?</w:t>
      </w:r>
    </w:p>
    <w:p>
      <w:pPr>
        <w:spacing w:after="30" w:before="0"/>
        <w:ind w:left="400"/>
      </w:pPr>
      <w:r>
        <w:rPr>
          <w:rFonts w:ascii="Arial" w:cs="Arial" w:eastAsia="Arial" w:hAnsi="Arial"/>
          <w:color w:val="000000"/>
          <w:sz w:val="20"/>
          <w:szCs w:val="20"/>
        </w:rPr>
        <w:t xml:space="preserve">A) Prepare</w:t>
      </w:r>
    </w:p>
    <w:p>
      <w:pPr>
        <w:spacing w:after="30" w:before="0"/>
        <w:ind w:left="400"/>
      </w:pPr>
      <w:r>
        <w:rPr>
          <w:rFonts w:ascii="Arial" w:cs="Arial" w:eastAsia="Arial" w:hAnsi="Arial"/>
          <w:color w:val="000000"/>
          <w:sz w:val="20"/>
          <w:szCs w:val="20"/>
        </w:rPr>
        <w:t xml:space="preserve">B) Identify</w:t>
      </w:r>
    </w:p>
    <w:p>
      <w:pPr>
        <w:spacing w:after="30" w:before="0"/>
        <w:ind w:left="400"/>
      </w:pPr>
      <w:r>
        <w:rPr>
          <w:rFonts w:ascii="Arial" w:cs="Arial" w:eastAsia="Arial" w:hAnsi="Arial"/>
          <w:color w:val="000000"/>
          <w:sz w:val="20"/>
          <w:szCs w:val="20"/>
        </w:rPr>
        <w:t xml:space="preserve">C) Contain</w:t>
      </w:r>
    </w:p>
    <w:p>
      <w:pPr>
        <w:spacing w:after="30" w:before="0"/>
        <w:ind w:left="400"/>
      </w:pPr>
      <w:r>
        <w:rPr>
          <w:rFonts w:ascii="Arial" w:cs="Arial" w:eastAsia="Arial" w:hAnsi="Arial"/>
          <w:color w:val="000000"/>
          <w:sz w:val="20"/>
          <w:szCs w:val="20"/>
        </w:rPr>
        <w:t xml:space="preserve">D) Recover</w:t>
      </w:r>
    </w:p>
    <w:p>
      <w:pPr>
        <w:spacing w:after="80" w:before="50"/>
        <w:ind w:left="400"/>
      </w:pPr>
      <w:r>
        <w:rPr>
          <w:rFonts w:ascii="Arial" w:cs="Arial" w:eastAsia="Arial" w:hAnsi="Arial"/>
          <w:b/>
          <w:bCs/>
          <w:color w:val="0F6E56"/>
          <w:sz w:val="20"/>
          <w:szCs w:val="20"/>
        </w:rPr>
        <w:t xml:space="preserve">Answer: B    </w:t>
      </w:r>
      <w:r>
        <w:rPr>
          <w:rFonts w:ascii="Arial" w:cs="Arial" w:eastAsia="Arial" w:hAnsi="Arial"/>
          <w:i/>
          <w:iCs/>
          <w:color w:val="666666"/>
          <w:sz w:val="18"/>
          <w:szCs w:val="18"/>
        </w:rPr>
        <w:t xml:space="preserve">(Lesson 3 — IR Phase 2: Identify — detecting the anomaly via billing alert)</w:t>
      </w:r>
    </w:p>
    <w:p>
      <w:pPr>
        <w:shd w:val="clear" w:fill="FFFFFF"/>
        <w:spacing w:after="60" w:before="140"/>
      </w:pPr>
      <w:r>
        <w:rPr>
          <w:rFonts w:ascii="Arial" w:cs="Arial" w:eastAsia="Arial" w:hAnsi="Arial"/>
          <w:b/>
          <w:bCs/>
          <w:color w:val="1A1A2E"/>
          <w:sz w:val="22"/>
          <w:szCs w:val="22"/>
        </w:rPr>
        <w:t xml:space="preserve">Q16.  Which of the following is NOT captured by VPC Flow Logs?</w:t>
      </w:r>
    </w:p>
    <w:p>
      <w:pPr>
        <w:spacing w:after="30" w:before="0"/>
        <w:ind w:left="400"/>
      </w:pPr>
      <w:r>
        <w:rPr>
          <w:rFonts w:ascii="Arial" w:cs="Arial" w:eastAsia="Arial" w:hAnsi="Arial"/>
          <w:color w:val="000000"/>
          <w:sz w:val="20"/>
          <w:szCs w:val="20"/>
        </w:rPr>
        <w:t xml:space="preserve">A) Source and destination IP addresses</w:t>
      </w:r>
    </w:p>
    <w:p>
      <w:pPr>
        <w:spacing w:after="30" w:before="0"/>
        <w:ind w:left="400"/>
      </w:pPr>
      <w:r>
        <w:rPr>
          <w:rFonts w:ascii="Arial" w:cs="Arial" w:eastAsia="Arial" w:hAnsi="Arial"/>
          <w:color w:val="000000"/>
          <w:sz w:val="20"/>
          <w:szCs w:val="20"/>
        </w:rPr>
        <w:t xml:space="preserve">B) The TCP or UDP port numbers of the traffic</w:t>
      </w:r>
    </w:p>
    <w:p>
      <w:pPr>
        <w:spacing w:after="30" w:before="0"/>
        <w:ind w:left="400"/>
      </w:pPr>
      <w:r>
        <w:rPr>
          <w:rFonts w:ascii="Arial" w:cs="Arial" w:eastAsia="Arial" w:hAnsi="Arial"/>
          <w:color w:val="000000"/>
          <w:sz w:val="20"/>
          <w:szCs w:val="20"/>
        </w:rPr>
        <w:t xml:space="preserve">C) The actual content or payload of the network packets</w:t>
      </w:r>
    </w:p>
    <w:p>
      <w:pPr>
        <w:spacing w:after="30" w:before="0"/>
        <w:ind w:left="400"/>
      </w:pPr>
      <w:r>
        <w:rPr>
          <w:rFonts w:ascii="Arial" w:cs="Arial" w:eastAsia="Arial" w:hAnsi="Arial"/>
          <w:color w:val="000000"/>
          <w:sz w:val="20"/>
          <w:szCs w:val="20"/>
        </w:rPr>
        <w:t xml:space="preserve">D) Whether the traffic was accepted or rejected by security rules</w:t>
      </w:r>
    </w:p>
    <w:p>
      <w:pPr>
        <w:spacing w:after="80" w:before="50"/>
        <w:ind w:left="400"/>
      </w:pPr>
      <w:r>
        <w:rPr>
          <w:rFonts w:ascii="Arial" w:cs="Arial" w:eastAsia="Arial" w:hAnsi="Arial"/>
          <w:b/>
          <w:bCs/>
          <w:color w:val="0F6E56"/>
          <w:sz w:val="20"/>
          <w:szCs w:val="20"/>
        </w:rPr>
        <w:t xml:space="preserve">Answer: C    </w:t>
      </w:r>
      <w:r>
        <w:rPr>
          <w:rFonts w:ascii="Arial" w:cs="Arial" w:eastAsia="Arial" w:hAnsi="Arial"/>
          <w:i/>
          <w:iCs/>
          <w:color w:val="666666"/>
          <w:sz w:val="18"/>
          <w:szCs w:val="18"/>
        </w:rPr>
        <w:t xml:space="preserve">(Lesson 2 — VPC Flow Logs: does not capture payload content)</w:t>
      </w:r>
    </w:p>
    <w:p>
      <w:pPr>
        <w:shd w:val="clear" w:fill="F5F5F5"/>
        <w:spacing w:after="60" w:before="140"/>
      </w:pPr>
      <w:r>
        <w:rPr>
          <w:rFonts w:ascii="Arial" w:cs="Arial" w:eastAsia="Arial" w:hAnsi="Arial"/>
          <w:b/>
          <w:bCs/>
          <w:color w:val="1A1A2E"/>
          <w:sz w:val="22"/>
          <w:szCs w:val="22"/>
        </w:rPr>
        <w:t xml:space="preserve">Q17.  An RDS instance was launched 6 months ago without encryption enabled. A security audit now requires all RDS instances to be encrypted at rest. What is the correct approach?</w:t>
      </w:r>
    </w:p>
    <w:p>
      <w:pPr>
        <w:spacing w:after="30" w:before="0"/>
        <w:ind w:left="400"/>
      </w:pPr>
      <w:r>
        <w:rPr>
          <w:rFonts w:ascii="Arial" w:cs="Arial" w:eastAsia="Arial" w:hAnsi="Arial"/>
          <w:color w:val="000000"/>
          <w:sz w:val="20"/>
          <w:szCs w:val="20"/>
        </w:rPr>
        <w:t xml:space="preserve">A) Enable KMS encryption on the existing RDS instance via the Modify option</w:t>
      </w:r>
    </w:p>
    <w:p>
      <w:pPr>
        <w:spacing w:after="30" w:before="0"/>
        <w:ind w:left="400"/>
      </w:pPr>
      <w:r>
        <w:rPr>
          <w:rFonts w:ascii="Arial" w:cs="Arial" w:eastAsia="Arial" w:hAnsi="Arial"/>
          <w:color w:val="000000"/>
          <w:sz w:val="20"/>
          <w:szCs w:val="20"/>
        </w:rPr>
        <w:t xml:space="preserve">B) RDS encryption cannot be enabled on an existing unencrypted instance; create an encrypted snapshot and restore to a new encrypted instance</w:t>
      </w:r>
    </w:p>
    <w:p>
      <w:pPr>
        <w:spacing w:after="30" w:before="0"/>
        <w:ind w:left="400"/>
      </w:pPr>
      <w:r>
        <w:rPr>
          <w:rFonts w:ascii="Arial" w:cs="Arial" w:eastAsia="Arial" w:hAnsi="Arial"/>
          <w:color w:val="000000"/>
          <w:sz w:val="20"/>
          <w:szCs w:val="20"/>
        </w:rPr>
        <w:t xml:space="preserve">C) Delete and recreate the RDS instance with the same data automatically migrated</w:t>
      </w:r>
    </w:p>
    <w:p>
      <w:pPr>
        <w:spacing w:after="30" w:before="0"/>
        <w:ind w:left="400"/>
      </w:pPr>
      <w:r>
        <w:rPr>
          <w:rFonts w:ascii="Arial" w:cs="Arial" w:eastAsia="Arial" w:hAnsi="Arial"/>
          <w:color w:val="000000"/>
          <w:sz w:val="20"/>
          <w:szCs w:val="20"/>
        </w:rPr>
        <w:t xml:space="preserve">D) Use AWS DataSync to encrypt the existing instance in place</w:t>
      </w:r>
    </w:p>
    <w:p>
      <w:pPr>
        <w:spacing w:after="80" w:before="50"/>
        <w:ind w:left="400"/>
      </w:pPr>
      <w:r>
        <w:rPr>
          <w:rFonts w:ascii="Arial" w:cs="Arial" w:eastAsia="Arial" w:hAnsi="Arial"/>
          <w:b/>
          <w:bCs/>
          <w:color w:val="0F6E56"/>
          <w:sz w:val="20"/>
          <w:szCs w:val="20"/>
        </w:rPr>
        <w:t xml:space="preserve">Answer: B    </w:t>
      </w:r>
      <w:r>
        <w:rPr>
          <w:rFonts w:ascii="Arial" w:cs="Arial" w:eastAsia="Arial" w:hAnsi="Arial"/>
          <w:i/>
          <w:iCs/>
          <w:color w:val="666666"/>
          <w:sz w:val="18"/>
          <w:szCs w:val="18"/>
        </w:rPr>
        <w:t xml:space="preserve">(Lesson 1 — RDS encryption only at creation: must snapshot and restore to encrypt existing instance)</w:t>
      </w:r>
    </w:p>
    <w:p>
      <w:pPr>
        <w:shd w:val="clear" w:fill="FFFFFF"/>
        <w:spacing w:after="60" w:before="140"/>
      </w:pPr>
      <w:r>
        <w:rPr>
          <w:rFonts w:ascii="Arial" w:cs="Arial" w:eastAsia="Arial" w:hAnsi="Arial"/>
          <w:b/>
          <w:bCs/>
          <w:color w:val="1A1A2E"/>
          <w:sz w:val="22"/>
          <w:szCs w:val="22"/>
        </w:rPr>
        <w:t xml:space="preserve">Q18.  What does the AWS Certificate Manager (ACM) automatically handle that manual certificate management does not?</w:t>
      </w:r>
    </w:p>
    <w:p>
      <w:pPr>
        <w:spacing w:after="30" w:before="0"/>
        <w:ind w:left="400"/>
      </w:pPr>
      <w:r>
        <w:rPr>
          <w:rFonts w:ascii="Arial" w:cs="Arial" w:eastAsia="Arial" w:hAnsi="Arial"/>
          <w:color w:val="000000"/>
          <w:sz w:val="20"/>
          <w:szCs w:val="20"/>
        </w:rPr>
        <w:t xml:space="preserve">A) ACM certificates are signed by a custom private CA</w:t>
      </w:r>
    </w:p>
    <w:p>
      <w:pPr>
        <w:spacing w:after="30" w:before="0"/>
        <w:ind w:left="400"/>
      </w:pPr>
      <w:r>
        <w:rPr>
          <w:rFonts w:ascii="Arial" w:cs="Arial" w:eastAsia="Arial" w:hAnsi="Arial"/>
          <w:color w:val="000000"/>
          <w:sz w:val="20"/>
          <w:szCs w:val="20"/>
        </w:rPr>
        <w:t xml:space="preserve">B) ACM automatically renews certificates before expiry without any manual intervention</w:t>
      </w:r>
    </w:p>
    <w:p>
      <w:pPr>
        <w:spacing w:after="30" w:before="0"/>
        <w:ind w:left="400"/>
      </w:pPr>
      <w:r>
        <w:rPr>
          <w:rFonts w:ascii="Arial" w:cs="Arial" w:eastAsia="Arial" w:hAnsi="Arial"/>
          <w:color w:val="000000"/>
          <w:sz w:val="20"/>
          <w:szCs w:val="20"/>
        </w:rPr>
        <w:t xml:space="preserve">C) ACM certificates work on any web server regardless of whether it is on AWS</w:t>
      </w:r>
    </w:p>
    <w:p>
      <w:pPr>
        <w:spacing w:after="30" w:before="0"/>
        <w:ind w:left="400"/>
      </w:pPr>
      <w:r>
        <w:rPr>
          <w:rFonts w:ascii="Arial" w:cs="Arial" w:eastAsia="Arial" w:hAnsi="Arial"/>
          <w:color w:val="000000"/>
          <w:sz w:val="20"/>
          <w:szCs w:val="20"/>
        </w:rPr>
        <w:t xml:space="preserve">D) ACM provides wildcard certificates for a one-time fee</w:t>
      </w:r>
    </w:p>
    <w:p>
      <w:pPr>
        <w:spacing w:after="80" w:before="50"/>
        <w:ind w:left="400"/>
      </w:pPr>
      <w:r>
        <w:rPr>
          <w:rFonts w:ascii="Arial" w:cs="Arial" w:eastAsia="Arial" w:hAnsi="Arial"/>
          <w:b/>
          <w:bCs/>
          <w:color w:val="0F6E56"/>
          <w:sz w:val="20"/>
          <w:szCs w:val="20"/>
        </w:rPr>
        <w:t xml:space="preserve">Answer: B    </w:t>
      </w:r>
      <w:r>
        <w:rPr>
          <w:rFonts w:ascii="Arial" w:cs="Arial" w:eastAsia="Arial" w:hAnsi="Arial"/>
          <w:i/>
          <w:iCs/>
          <w:color w:val="666666"/>
          <w:sz w:val="18"/>
          <w:szCs w:val="18"/>
        </w:rPr>
        <w:t xml:space="preserve">(Lesson 2 — ACM: automatic certificate renewal)</w:t>
      </w:r>
    </w:p>
    <w:p>
      <w:pPr>
        <w:shd w:val="clear" w:fill="F5F5F5"/>
        <w:spacing w:after="60" w:before="140"/>
      </w:pPr>
      <w:r>
        <w:rPr>
          <w:rFonts w:ascii="Arial" w:cs="Arial" w:eastAsia="Arial" w:hAnsi="Arial"/>
          <w:b/>
          <w:bCs/>
          <w:color w:val="1A1A2E"/>
          <w:sz w:val="22"/>
          <w:szCs w:val="22"/>
        </w:rPr>
        <w:t xml:space="preserve">Q19.  Which POPIA condition requires organisations to notify data subjects about the purpose for which their personal information is being collected?</w:t>
      </w:r>
    </w:p>
    <w:p>
      <w:pPr>
        <w:spacing w:after="30" w:before="0"/>
        <w:ind w:left="400"/>
      </w:pPr>
      <w:r>
        <w:rPr>
          <w:rFonts w:ascii="Arial" w:cs="Arial" w:eastAsia="Arial" w:hAnsi="Arial"/>
          <w:color w:val="000000"/>
          <w:sz w:val="20"/>
          <w:szCs w:val="20"/>
        </w:rPr>
        <w:t xml:space="preserve">A) Condition 1 — Accountability</w:t>
      </w:r>
    </w:p>
    <w:p>
      <w:pPr>
        <w:spacing w:after="30" w:before="0"/>
        <w:ind w:left="400"/>
      </w:pPr>
      <w:r>
        <w:rPr>
          <w:rFonts w:ascii="Arial" w:cs="Arial" w:eastAsia="Arial" w:hAnsi="Arial"/>
          <w:color w:val="000000"/>
          <w:sz w:val="20"/>
          <w:szCs w:val="20"/>
        </w:rPr>
        <w:t xml:space="preserve">B) Condition 2 — Processing limitation</w:t>
      </w:r>
    </w:p>
    <w:p>
      <w:pPr>
        <w:spacing w:after="30" w:before="0"/>
        <w:ind w:left="400"/>
      </w:pPr>
      <w:r>
        <w:rPr>
          <w:rFonts w:ascii="Arial" w:cs="Arial" w:eastAsia="Arial" w:hAnsi="Arial"/>
          <w:color w:val="000000"/>
          <w:sz w:val="20"/>
          <w:szCs w:val="20"/>
        </w:rPr>
        <w:t xml:space="preserve">C) Condition 3 — Purpose specification</w:t>
      </w:r>
    </w:p>
    <w:p>
      <w:pPr>
        <w:spacing w:after="30" w:before="0"/>
        <w:ind w:left="400"/>
      </w:pPr>
      <w:r>
        <w:rPr>
          <w:rFonts w:ascii="Arial" w:cs="Arial" w:eastAsia="Arial" w:hAnsi="Arial"/>
          <w:color w:val="000000"/>
          <w:sz w:val="20"/>
          <w:szCs w:val="20"/>
        </w:rPr>
        <w:t xml:space="preserve">D) Condition 6 — Openness</w:t>
      </w:r>
    </w:p>
    <w:p>
      <w:pPr>
        <w:spacing w:after="80" w:before="50"/>
        <w:ind w:left="400"/>
      </w:pPr>
      <w:r>
        <w:rPr>
          <w:rFonts w:ascii="Arial" w:cs="Arial" w:eastAsia="Arial" w:hAnsi="Arial"/>
          <w:b/>
          <w:bCs/>
          <w:color w:val="0F6E56"/>
          <w:sz w:val="20"/>
          <w:szCs w:val="20"/>
        </w:rPr>
        <w:t xml:space="preserve">Answer: D    </w:t>
      </w:r>
      <w:r>
        <w:rPr>
          <w:rFonts w:ascii="Arial" w:cs="Arial" w:eastAsia="Arial" w:hAnsi="Arial"/>
          <w:i/>
          <w:iCs/>
          <w:color w:val="666666"/>
          <w:sz w:val="18"/>
          <w:szCs w:val="18"/>
        </w:rPr>
        <w:t xml:space="preserve">(Lesson 1 — POPIA Condition 6: Openness (notify data subjects))</w:t>
      </w:r>
    </w:p>
    <w:p>
      <w:pPr>
        <w:shd w:val="clear" w:fill="FFFFFF"/>
        <w:spacing w:after="60" w:before="140"/>
      </w:pPr>
      <w:r>
        <w:rPr>
          <w:rFonts w:ascii="Arial" w:cs="Arial" w:eastAsia="Arial" w:hAnsi="Arial"/>
          <w:b/>
          <w:bCs/>
          <w:color w:val="1A1A2E"/>
          <w:sz w:val="22"/>
          <w:szCs w:val="22"/>
        </w:rPr>
        <w:t xml:space="preserve">Q20.  A cloud architect is designing a 3-tier application that handles South African customer banking data. According to the AWS Well-Architected Security Pillar, which approach best represents 'applying security at all layers'?</w:t>
      </w:r>
    </w:p>
    <w:p>
      <w:pPr>
        <w:spacing w:after="30" w:before="0"/>
        <w:ind w:left="400"/>
      </w:pPr>
      <w:r>
        <w:rPr>
          <w:rFonts w:ascii="Arial" w:cs="Arial" w:eastAsia="Arial" w:hAnsi="Arial"/>
          <w:color w:val="000000"/>
          <w:sz w:val="20"/>
          <w:szCs w:val="20"/>
        </w:rPr>
        <w:t xml:space="preserve">A) Placing a single WAF in front of the public-facing web tier and trusting all traffic between tiers</w:t>
      </w:r>
    </w:p>
    <w:p>
      <w:pPr>
        <w:spacing w:after="30" w:before="0"/>
        <w:ind w:left="400"/>
      </w:pPr>
      <w:r>
        <w:rPr>
          <w:rFonts w:ascii="Arial" w:cs="Arial" w:eastAsia="Arial" w:hAnsi="Arial"/>
          <w:color w:val="000000"/>
          <w:sz w:val="20"/>
          <w:szCs w:val="20"/>
        </w:rPr>
        <w:t xml:space="preserve">B) Applying security controls at every tier: WAF for the web tier, security groups between tiers, KMS encryption for the database tier, and CloudTrail for audit logging across all tiers</w:t>
      </w:r>
    </w:p>
    <w:p>
      <w:pPr>
        <w:spacing w:after="30" w:before="0"/>
        <w:ind w:left="400"/>
      </w:pPr>
      <w:r>
        <w:rPr>
          <w:rFonts w:ascii="Arial" w:cs="Arial" w:eastAsia="Arial" w:hAnsi="Arial"/>
          <w:color w:val="000000"/>
          <w:sz w:val="20"/>
          <w:szCs w:val="20"/>
        </w:rPr>
        <w:t xml:space="preserve">C) Using a single master security group that applies to all three tiers for consistency</w:t>
      </w:r>
    </w:p>
    <w:p>
      <w:pPr>
        <w:spacing w:after="30" w:before="0"/>
        <w:ind w:left="400"/>
      </w:pPr>
      <w:r>
        <w:rPr>
          <w:rFonts w:ascii="Arial" w:cs="Arial" w:eastAsia="Arial" w:hAnsi="Arial"/>
          <w:color w:val="000000"/>
          <w:sz w:val="20"/>
          <w:szCs w:val="20"/>
        </w:rPr>
        <w:t xml:space="preserve">D) Delegating security entirely to the ALB, which handles all TLS and access control</w:t>
      </w:r>
    </w:p>
    <w:p>
      <w:pPr>
        <w:spacing w:after="80" w:before="50"/>
        <w:ind w:left="400"/>
      </w:pPr>
      <w:r>
        <w:rPr>
          <w:rFonts w:ascii="Arial" w:cs="Arial" w:eastAsia="Arial" w:hAnsi="Arial"/>
          <w:b/>
          <w:bCs/>
          <w:color w:val="0F6E56"/>
          <w:sz w:val="20"/>
          <w:szCs w:val="20"/>
        </w:rPr>
        <w:t xml:space="preserve">Answer: B    </w:t>
      </w:r>
      <w:r>
        <w:rPr>
          <w:rFonts w:ascii="Arial" w:cs="Arial" w:eastAsia="Arial" w:hAnsi="Arial"/>
          <w:i/>
          <w:iCs/>
          <w:color w:val="666666"/>
          <w:sz w:val="18"/>
          <w:szCs w:val="18"/>
        </w:rPr>
        <w:t xml:space="preserve">(Lesson 3 — Well-Architected Security: defence in depth across all layers)</w:t>
      </w:r>
    </w:p>
    <w:p>
      <w:pPr>
        <w:spacing w:after="240" w:before="0"/>
      </w:pPr>
    </w:p>
    <w:sectPr>
      <w:footerReference w:type="default" r:id="rId7"/>
      <w:pgSz w:w="12240" w:h="15840" w:orient="portrait"/>
      <w:pgMar w:top="144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F8A" w:sz="4" w:space="4"/>
      </w:pBdr>
      <w:spacing w:after="0" w:before="80"/>
      <w:jc w:val="center"/>
    </w:pPr>
    <w:r>
      <w:rPr>
        <w:rFonts w:ascii="Arial" w:cs="Arial" w:eastAsia="Arial" w:hAnsi="Arial"/>
        <w:color w:val="666666"/>
        <w:sz w:val="18"/>
        <w:szCs w:val="18"/>
      </w:rPr>
      <w:t xml:space="preserve">Ginashe Digital Academy  |  Cloud Launchpad — Phase 7: Module 5 Cloud Security  |  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A1A2E"/>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2026-04-12T16:40:11.609Z</dcterms:created>
  <dcterms:modified xsi:type="dcterms:W3CDTF">2026-04-12T16:40:11.609Z</dcterms:modified>
</cp:coreProperties>
</file>

<file path=docProps/custom.xml><?xml version="1.0" encoding="utf-8"?>
<Properties xmlns="http://schemas.openxmlformats.org/officeDocument/2006/custom-properties" xmlns:vt="http://schemas.openxmlformats.org/officeDocument/2006/docPropsVTypes"/>
</file>