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00000"/>
          <w:sz w:val="52"/>
          <w:szCs w:val="52"/>
        </w:rPr>
        <w:t xml:space="preserve">GINASHE DIGITAL ACADEMY</w:t>
      </w:r>
    </w:p>
    <w:p>
      <w:pPr>
        <w:spacing w:after="40" w:before="0"/>
        <w:jc w:val="center"/>
      </w:pPr>
      <w:r>
        <w:rPr>
          <w:rFonts w:ascii="Arial" w:cs="Arial" w:eastAsia="Arial" w:hAnsi="Arial"/>
          <w:i/>
          <w:iCs/>
          <w:color w:val="5F5E5A"/>
          <w:sz w:val="28"/>
          <w:szCs w:val="28"/>
        </w:rPr>
        <w:t xml:space="preserve">South Africa's Gateway to Digital Transformation Education</w:t>
      </w:r>
    </w:p>
    <w:p>
      <w:pPr>
        <w:spacing w:after="320" w:before="40"/>
        <w:jc w:val="center"/>
      </w:pPr>
      <w:r>
        <w:rPr>
          <w:rFonts w:ascii="Arial" w:cs="Arial" w:eastAsia="Arial" w:hAnsi="Arial"/>
          <w:b/>
          <w:bCs/>
          <w:color w:val="185FA5"/>
          <w:sz w:val="28"/>
          <w:szCs w:val="28"/>
        </w:rPr>
        <w:t xml:space="preserve">PHASE 1 — CURRICULUM ARCHITECTURE</w:t>
      </w:r>
    </w:p>
    <w:p>
      <w:pPr>
        <w:pBdr>
          <w:bottom w:val="single" w:color="185FA5" w:sz="8" w:space="4"/>
        </w:pBdr>
        <w:spacing w:after="240" w:before="0"/>
      </w:pPr>
    </w:p>
    <w:p>
      <w:pPr>
        <w:pStyle w:val="Heading1"/>
        <w:pBdr>
          <w:bottom w:val="single" w:color="185FA5" w:sz="6" w:space="6"/>
        </w:pBdr>
        <w:spacing w:after="120" w:before="360"/>
      </w:pPr>
      <w:r>
        <w:rPr>
          <w:rFonts w:ascii="Arial" w:cs="Arial" w:eastAsia="Arial" w:hAnsi="Arial"/>
          <w:b/>
          <w:bCs/>
          <w:color w:val="000000"/>
          <w:sz w:val="36"/>
          <w:szCs w:val="36"/>
        </w:rPr>
        <w:t xml:space="preserve">About Ginashe Digital Academy</w:t>
      </w:r>
    </w:p>
    <w:p>
      <w:pPr>
        <w:spacing w:after="80" w:before="0"/>
        <w:jc w:val="left"/>
      </w:pPr>
      <w:r>
        <w:rPr>
          <w:rFonts w:ascii="Arial" w:cs="Arial" w:eastAsia="Arial" w:hAnsi="Arial"/>
          <w:color w:val="2C2C2C"/>
          <w:sz w:val="22"/>
          <w:szCs w:val="22"/>
        </w:rPr>
        <w:t xml:space="preserve">Ginashe Digital Academy is a South African digital skills institution dedicated to making Digital Transformation a reality — from school leavers to enterprise executives. All programmes are structured against the South African Qualifications Authority (SAQA) NQF framework, mapped to SETA unit standards, and designed for submission to the Quality Council for Trades and Occupations (QCTO) for formal accreditation.</w:t>
      </w:r>
    </w:p>
    <w:p>
      <w:pPr>
        <w:spacing w:after="120" w:before="0"/>
        <w:jc w:val="left"/>
      </w:pPr>
      <w:r>
        <w:rPr>
          <w:rFonts w:ascii="Arial" w:cs="Arial" w:eastAsia="Arial" w:hAnsi="Arial"/>
          <w:color w:val="2C2C2C"/>
          <w:sz w:val="22"/>
          <w:szCs w:val="22"/>
        </w:rPr>
        <w:t xml:space="preserve">The academy offers 7 learning tracks spanning the full digital economy, each running across 4 progressive levels. Learners can enter at any level appropriate to their prior experience and qualifications, and stack credentials as they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7</w:t>
            </w:r>
          </w:p>
          <w:p>
            <w:pPr>
              <w:jc w:val="center"/>
            </w:pPr>
            <w:r>
              <w:rPr>
                <w:rFonts w:ascii="Arial" w:cs="Arial" w:eastAsia="Arial" w:hAnsi="Arial"/>
                <w:color w:val="5F5E5A"/>
                <w:sz w:val="18"/>
                <w:szCs w:val="18"/>
              </w:rPr>
              <w:t xml:space="preserve">Learning Tracks</w:t>
            </w:r>
          </w:p>
        </w:tc>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28</w:t>
            </w:r>
          </w:p>
          <w:p>
            <w:pPr>
              <w:jc w:val="center"/>
            </w:pPr>
            <w:r>
              <w:rPr>
                <w:rFonts w:ascii="Arial" w:cs="Arial" w:eastAsia="Arial" w:hAnsi="Arial"/>
                <w:color w:val="5F5E5A"/>
                <w:sz w:val="18"/>
                <w:szCs w:val="18"/>
              </w:rPr>
              <w:t xml:space="preserve">Total Courses</w:t>
            </w:r>
          </w:p>
        </w:tc>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4</w:t>
            </w:r>
          </w:p>
          <w:p>
            <w:pPr>
              <w:jc w:val="center"/>
            </w:pPr>
            <w:r>
              <w:rPr>
                <w:rFonts w:ascii="Arial" w:cs="Arial" w:eastAsia="Arial" w:hAnsi="Arial"/>
                <w:color w:val="5F5E5A"/>
                <w:sz w:val="18"/>
                <w:szCs w:val="18"/>
              </w:rPr>
              <w:t xml:space="preserve">Levels</w:t>
            </w:r>
          </w:p>
        </w:tc>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SETA L3–L8</w:t>
            </w:r>
          </w:p>
          <w:p>
            <w:pPr>
              <w:jc w:val="center"/>
            </w:pPr>
            <w:r>
              <w:rPr>
                <w:rFonts w:ascii="Arial" w:cs="Arial" w:eastAsia="Arial" w:hAnsi="Arial"/>
                <w:color w:val="5F5E5A"/>
                <w:sz w:val="18"/>
                <w:szCs w:val="18"/>
              </w:rPr>
              <w:t xml:space="preserve">NQF Coverage</w:t>
            </w:r>
          </w:p>
        </w:tc>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QCTO / SAQA</w:t>
            </w:r>
          </w:p>
          <w:p>
            <w:pPr>
              <w:jc w:val="center"/>
            </w:pPr>
            <w:r>
              <w:rPr>
                <w:rFonts w:ascii="Arial" w:cs="Arial" w:eastAsia="Arial" w:hAnsi="Arial"/>
                <w:color w:val="5F5E5A"/>
                <w:sz w:val="18"/>
                <w:szCs w:val="18"/>
              </w:rPr>
              <w:t xml:space="preserve">Framework</w:t>
            </w:r>
          </w:p>
        </w:tc>
        <w:tc>
          <w:tcPr>
            <w:tcW w:type="dxa" w:w="1560"/>
            <w:tcBorders>
              <w:top w:val="single" w:color="D0E8F8" w:sz="4"/>
              <w:left w:val="single" w:color="D0E8F8" w:sz="4"/>
              <w:bottom w:val="single" w:color="D0E8F8" w:sz="4"/>
              <w:right w:val="single" w:color="D0E8F8" w:sz="4"/>
            </w:tcBorders>
            <w:shd w:fill="F0F4FA" w:val="clear"/>
            <w:tcMar>
              <w:top w:type="dxa" w:w="100"/>
              <w:left w:type="dxa" w:w="120"/>
              <w:bottom w:type="dxa" w:w="100"/>
              <w:right w:type="dxa" w:w="120"/>
            </w:tcMar>
            <w:vAlign w:val="center"/>
          </w:tcPr>
          <w:p>
            <w:pPr>
              <w:jc w:val="center"/>
            </w:pPr>
            <w:r>
              <w:rPr>
                <w:rFonts w:ascii="Arial" w:cs="Arial" w:eastAsia="Arial" w:hAnsi="Arial"/>
                <w:b/>
                <w:bCs/>
                <w:color w:val="185FA5"/>
                <w:sz w:val="30"/>
                <w:szCs w:val="30"/>
              </w:rPr>
              <w:t xml:space="preserve">Pan-African</w:t>
            </w:r>
          </w:p>
          <w:p>
            <w:pPr>
              <w:jc w:val="center"/>
            </w:pPr>
            <w:r>
              <w:rPr>
                <w:rFonts w:ascii="Arial" w:cs="Arial" w:eastAsia="Arial" w:hAnsi="Arial"/>
                <w:color w:val="5F5E5A"/>
                <w:sz w:val="18"/>
                <w:szCs w:val="18"/>
              </w:rPr>
              <w:t xml:space="preserve">Market Scope</w:t>
            </w:r>
          </w:p>
        </w:tc>
      </w:tr>
    </w:tbl>
    <w:p>
      <w:pPr>
        <w:spacing w:after="0" w:before="0"/>
      </w:pPr>
      <w:r>
        <w:t xml:space="preserve"/>
      </w:r>
    </w:p>
    <w:p>
      <w:pPr>
        <w:pStyle w:val="Heading1"/>
        <w:pBdr>
          <w:bottom w:val="single" w:color="185FA5" w:sz="6" w:space="6"/>
        </w:pBdr>
        <w:spacing w:after="120" w:before="360"/>
      </w:pPr>
      <w:r>
        <w:rPr>
          <w:rFonts w:ascii="Arial" w:cs="Arial" w:eastAsia="Arial" w:hAnsi="Arial"/>
          <w:b/>
          <w:bCs/>
          <w:color w:val="000000"/>
          <w:sz w:val="36"/>
          <w:szCs w:val="36"/>
        </w:rPr>
        <w:t xml:space="preserve">Curriculum Map — All 7 Tracks</w:t>
      </w:r>
    </w:p>
    <w:p>
      <w:pPr>
        <w:spacing w:after="120" w:before="0"/>
        <w:jc w:val="left"/>
      </w:pPr>
      <w:r>
        <w:rPr>
          <w:rFonts w:ascii="Arial" w:cs="Arial" w:eastAsia="Arial" w:hAnsi="Arial"/>
          <w:color w:val="2C2C2C"/>
          <w:sz w:val="22"/>
          <w:szCs w:val="22"/>
        </w:rPr>
        <w:t xml:space="preserve">The table below shows the full curriculum architecture. Each column represents a level; each row a learning track. ★ indicates the first course to be fully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80"/>
        <w:gridCol w:w="1980"/>
        <w:gridCol w:w="1980"/>
        <w:gridCol w:w="1980"/>
      </w:tblGrid>
      <w:tr>
        <w:trPr>
          <w:tblHeader/>
        </w:trPr>
        <w:tc>
          <w:tcPr>
            <w:tcW w:type="dxa" w:w="1440"/>
            <w:tcBorders>
              <w:top w:val="single" w:color="444444" w:sz="4"/>
              <w:left w:val="single" w:color="444444" w:sz="4"/>
              <w:bottom w:val="single" w:color="444444" w:sz="4"/>
              <w:right w:val="single" w:color="444444" w:sz="4"/>
            </w:tcBorders>
            <w:shd w:fill="2C2C2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Track</w:t>
            </w:r>
          </w:p>
        </w:tc>
        <w:tc>
          <w:tcPr>
            <w:tcW w:type="dxa" w:w="1980"/>
            <w:tcBorders>
              <w:top w:val="single" w:color="AAAAAA" w:sz="4"/>
              <w:left w:val="single" w:color="AAAAAA" w:sz="4"/>
              <w:bottom w:val="single" w:color="AAAAAA" w:sz="4"/>
              <w:right w:val="single" w:color="AAAAAA" w:sz="4"/>
            </w:tcBorders>
            <w:shd w:fill="D0E8F8"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Foundation
L3–L4</w:t>
            </w:r>
          </w:p>
        </w:tc>
        <w:tc>
          <w:tcPr>
            <w:tcW w:type="dxa" w:w="1980"/>
            <w:tcBorders>
              <w:top w:val="single" w:color="AAAAAA" w:sz="4"/>
              <w:left w:val="single" w:color="AAAAAA" w:sz="4"/>
              <w:bottom w:val="single" w:color="AAAAAA" w:sz="4"/>
              <w:right w:val="single" w:color="AAAAAA" w:sz="4"/>
            </w:tcBorders>
            <w:shd w:fill="C8EFE2"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Associate
L5</w:t>
            </w:r>
          </w:p>
        </w:tc>
        <w:tc>
          <w:tcPr>
            <w:tcW w:type="dxa" w:w="1980"/>
            <w:tcBorders>
              <w:top w:val="single" w:color="AAAAAA" w:sz="4"/>
              <w:left w:val="single" w:color="AAAAAA" w:sz="4"/>
              <w:bottom w:val="single" w:color="AAAAAA" w:sz="4"/>
              <w:right w:val="single" w:color="AAAAAA" w:sz="4"/>
            </w:tcBorders>
            <w:shd w:fill="DDDCFA"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Professional
L6</w:t>
            </w:r>
          </w:p>
        </w:tc>
        <w:tc>
          <w:tcPr>
            <w:tcW w:type="dxa" w:w="1980"/>
            <w:tcBorders>
              <w:top w:val="single" w:color="AAAAAA" w:sz="4"/>
              <w:left w:val="single" w:color="AAAAAA" w:sz="4"/>
              <w:bottom w:val="single" w:color="AAAAAA" w:sz="4"/>
              <w:right w:val="single" w:color="AAAAAA" w:sz="4"/>
            </w:tcBorders>
            <w:shd w:fill="FCE8C4" w:val="clear"/>
            <w:tcMar>
              <w:top w:type="dxa" w:w="80"/>
              <w:left w:type="dxa" w:w="100"/>
              <w:bottom w:type="dxa" w:w="80"/>
              <w:right w:type="dxa" w:w="100"/>
            </w:tcMar>
            <w:vAlign w:val="center"/>
          </w:tcPr>
          <w:p>
            <w:pPr>
              <w:jc w:val="center"/>
            </w:pPr>
            <w:r>
              <w:rPr>
                <w:rFonts w:ascii="Arial" w:cs="Arial" w:eastAsia="Arial" w:hAnsi="Arial"/>
                <w:b/>
                <w:bCs/>
                <w:color w:val="000000"/>
                <w:sz w:val="20"/>
                <w:szCs w:val="20"/>
              </w:rPr>
              <w:t xml:space="preserve">Enterprise
L7–L8</w:t>
            </w:r>
          </w:p>
        </w:tc>
      </w:tr>
      <w:tr>
        <w:tc>
          <w:tcPr>
            <w:tcW w:type="dxa" w:w="1440"/>
            <w:tcBorders>
              <w:top w:val="single" w:color="AAAAAA" w:sz="4"/>
              <w:left w:val="single" w:color="AAAAAA" w:sz="4"/>
              <w:bottom w:val="single" w:color="AAAAAA" w:sz="4"/>
              <w:right w:val="single" w:color="AAAAAA" w:sz="4"/>
            </w:tcBorders>
            <w:shd w:fill="E6F1FB"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185FA5"/>
                <w:sz w:val="17"/>
                <w:szCs w:val="17"/>
              </w:rPr>
              <w:t xml:space="preserve">Cloud Computing</w:t>
            </w:r>
          </w:p>
        </w:tc>
        <w:tc>
          <w:tcPr>
            <w:tcW w:type="dxa" w:w="1980"/>
            <w:tcBorders>
              <w:top w:val="single" w:color="AAAAAA" w:sz="4"/>
              <w:left w:val="single" w:color="AAAAAA" w:sz="4"/>
              <w:bottom w:val="single" w:color="AAAAAA" w:sz="4"/>
              <w:right w:val="single" w:color="AAAAAA" w:sz="4"/>
            </w:tcBorders>
            <w:shd w:fill="E6F1FB" w:val="clear"/>
            <w:tcMar>
              <w:top w:type="dxa" w:w="80"/>
              <w:left w:type="dxa" w:w="100"/>
              <w:bottom w:type="dxa" w:w="80"/>
              <w:right w:type="dxa" w:w="100"/>
            </w:tcMar>
            <w:vAlign w:val="top"/>
          </w:tcPr>
          <w:p>
            <w:r>
              <w:rPr>
                <w:rFonts w:ascii="Arial" w:cs="Arial" w:eastAsia="Arial" w:hAnsi="Arial"/>
                <w:b/>
                <w:bCs/>
                <w:color w:val="185FA5"/>
                <w:sz w:val="19"/>
                <w:szCs w:val="19"/>
              </w:rPr>
              <w:t xml:space="preserve">★ Cloud Launchpad</w:t>
            </w:r>
          </w:p>
          <w:p>
            <w:pPr>
              <w:spacing w:after="30" w:before="20"/>
            </w:pPr>
            <w:r>
              <w:rPr>
                <w:rFonts w:ascii="Arial" w:cs="Arial" w:eastAsia="Arial" w:hAnsi="Arial"/>
                <w:i/>
                <w:iCs/>
                <w:color w:val="185FA5"/>
                <w:sz w:val="16"/>
                <w:szCs w:val="16"/>
              </w:rPr>
              <w:t xml:space="preserve">Linux · Networking · AWS/Azure basics</w:t>
            </w:r>
          </w:p>
          <w:p>
            <w:pPr>
              <w:shd w:fill="B5D4F4" w:val="clear"/>
            </w:pPr>
            <w:r>
              <w:rPr>
                <w:rFonts w:ascii="Arial" w:cs="Arial" w:eastAsia="Arial" w:hAnsi="Arial"/>
                <w:b/>
                <w:bCs/>
                <w:color w:val="185FA5"/>
                <w:sz w:val="15"/>
                <w:szCs w:val="15"/>
              </w:rPr>
              <w:t xml:space="preserve">SETA L3–L4</w:t>
            </w:r>
          </w:p>
        </w:tc>
        <w:tc>
          <w:tcPr>
            <w:tcW w:type="dxa" w:w="1980"/>
            <w:tcBorders>
              <w:top w:val="single" w:color="AAAAAA" w:sz="4"/>
              <w:left w:val="single" w:color="AAAAAA" w:sz="4"/>
              <w:bottom w:val="single" w:color="AAAAAA" w:sz="4"/>
              <w:right w:val="single" w:color="AAAAAA" w:sz="4"/>
            </w:tcBorders>
            <w:shd w:fill="E6F1FB" w:val="clear"/>
            <w:tcMar>
              <w:top w:type="dxa" w:w="80"/>
              <w:left w:type="dxa" w:w="100"/>
              <w:bottom w:type="dxa" w:w="80"/>
              <w:right w:type="dxa" w:w="100"/>
            </w:tcMar>
            <w:vAlign w:val="top"/>
          </w:tcPr>
          <w:p>
            <w:r>
              <w:rPr>
                <w:rFonts w:ascii="Arial" w:cs="Arial" w:eastAsia="Arial" w:hAnsi="Arial"/>
                <w:b/>
                <w:bCs/>
                <w:color w:val="185FA5"/>
                <w:sz w:val="19"/>
                <w:szCs w:val="19"/>
              </w:rPr>
              <w:t xml:space="preserve">Cloud Practitioner Pro</w:t>
            </w:r>
          </w:p>
          <w:p>
            <w:pPr>
              <w:spacing w:after="30" w:before="20"/>
            </w:pPr>
            <w:r>
              <w:rPr>
                <w:rFonts w:ascii="Arial" w:cs="Arial" w:eastAsia="Arial" w:hAnsi="Arial"/>
                <w:i/>
                <w:iCs/>
                <w:color w:val="185FA5"/>
                <w:sz w:val="16"/>
                <w:szCs w:val="16"/>
              </w:rPr>
              <w:t xml:space="preserve">AWS/Azure certs · IAM · Storage · Compute</w:t>
            </w:r>
          </w:p>
          <w:p>
            <w:pPr>
              <w:shd w:fill="B5D4F4" w:val="clear"/>
            </w:pPr>
            <w:r>
              <w:rPr>
                <w:rFonts w:ascii="Arial" w:cs="Arial" w:eastAsia="Arial" w:hAnsi="Arial"/>
                <w:b/>
                <w:bCs/>
                <w:color w:val="185FA5"/>
                <w:sz w:val="15"/>
                <w:szCs w:val="15"/>
              </w:rPr>
              <w:t xml:space="preserve">SETA L5</w:t>
            </w:r>
          </w:p>
        </w:tc>
        <w:tc>
          <w:tcPr>
            <w:tcW w:type="dxa" w:w="1980"/>
            <w:tcBorders>
              <w:top w:val="single" w:color="AAAAAA" w:sz="4"/>
              <w:left w:val="single" w:color="AAAAAA" w:sz="4"/>
              <w:bottom w:val="single" w:color="AAAAAA" w:sz="4"/>
              <w:right w:val="single" w:color="AAAAAA" w:sz="4"/>
            </w:tcBorders>
            <w:shd w:fill="E6F1FB" w:val="clear"/>
            <w:tcMar>
              <w:top w:type="dxa" w:w="80"/>
              <w:left w:type="dxa" w:w="100"/>
              <w:bottom w:type="dxa" w:w="80"/>
              <w:right w:type="dxa" w:w="100"/>
            </w:tcMar>
            <w:vAlign w:val="top"/>
          </w:tcPr>
          <w:p>
            <w:r>
              <w:rPr>
                <w:rFonts w:ascii="Arial" w:cs="Arial" w:eastAsia="Arial" w:hAnsi="Arial"/>
                <w:b/>
                <w:bCs/>
                <w:color w:val="185FA5"/>
                <w:sz w:val="19"/>
                <w:szCs w:val="19"/>
              </w:rPr>
              <w:t xml:space="preserve">Cloud Architect</w:t>
            </w:r>
          </w:p>
          <w:p>
            <w:pPr>
              <w:spacing w:after="30" w:before="20"/>
            </w:pPr>
            <w:r>
              <w:rPr>
                <w:rFonts w:ascii="Arial" w:cs="Arial" w:eastAsia="Arial" w:hAnsi="Arial"/>
                <w:i/>
                <w:iCs/>
                <w:color w:val="185FA5"/>
                <w:sz w:val="16"/>
                <w:szCs w:val="16"/>
              </w:rPr>
              <w:t xml:space="preserve">Solutions design · HA/DR · Cost optimisation</w:t>
            </w:r>
          </w:p>
          <w:p>
            <w:pPr>
              <w:shd w:fill="B5D4F4" w:val="clear"/>
            </w:pPr>
            <w:r>
              <w:rPr>
                <w:rFonts w:ascii="Arial" w:cs="Arial" w:eastAsia="Arial" w:hAnsi="Arial"/>
                <w:b/>
                <w:bCs/>
                <w:color w:val="185FA5"/>
                <w:sz w:val="15"/>
                <w:szCs w:val="15"/>
              </w:rPr>
              <w:t xml:space="preserve">SETA L6</w:t>
            </w:r>
          </w:p>
        </w:tc>
        <w:tc>
          <w:tcPr>
            <w:tcW w:type="dxa" w:w="1980"/>
            <w:tcBorders>
              <w:top w:val="single" w:color="AAAAAA" w:sz="4"/>
              <w:left w:val="single" w:color="AAAAAA" w:sz="4"/>
              <w:bottom w:val="single" w:color="AAAAAA" w:sz="4"/>
              <w:right w:val="single" w:color="AAAAAA" w:sz="4"/>
            </w:tcBorders>
            <w:shd w:fill="E6F1FB" w:val="clear"/>
            <w:tcMar>
              <w:top w:type="dxa" w:w="80"/>
              <w:left w:type="dxa" w:w="100"/>
              <w:bottom w:type="dxa" w:w="80"/>
              <w:right w:type="dxa" w:w="100"/>
            </w:tcMar>
            <w:vAlign w:val="top"/>
          </w:tcPr>
          <w:p>
            <w:r>
              <w:rPr>
                <w:rFonts w:ascii="Arial" w:cs="Arial" w:eastAsia="Arial" w:hAnsi="Arial"/>
                <w:b/>
                <w:bCs/>
                <w:color w:val="185FA5"/>
                <w:sz w:val="19"/>
                <w:szCs w:val="19"/>
              </w:rPr>
              <w:t xml:space="preserve">Multi-Cloud Enterprise</w:t>
            </w:r>
          </w:p>
          <w:p>
            <w:pPr>
              <w:spacing w:after="30" w:before="20"/>
            </w:pPr>
            <w:r>
              <w:rPr>
                <w:rFonts w:ascii="Arial" w:cs="Arial" w:eastAsia="Arial" w:hAnsi="Arial"/>
                <w:i/>
                <w:iCs/>
                <w:color w:val="185FA5"/>
                <w:sz w:val="16"/>
                <w:szCs w:val="16"/>
              </w:rPr>
              <w:t xml:space="preserve">Governance · FinOps · Landing zones</w:t>
            </w:r>
          </w:p>
          <w:p>
            <w:pPr>
              <w:shd w:fill="B5D4F4" w:val="clear"/>
            </w:pPr>
            <w:r>
              <w:rPr>
                <w:rFonts w:ascii="Arial" w:cs="Arial" w:eastAsia="Arial" w:hAnsi="Arial"/>
                <w:b/>
                <w:bCs/>
                <w:color w:val="185FA5"/>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EEEDFE"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534AB7"/>
                <w:sz w:val="17"/>
                <w:szCs w:val="17"/>
              </w:rPr>
              <w:t xml:space="preserve">AI &amp; Machine Learning</w:t>
            </w:r>
          </w:p>
        </w:tc>
        <w:tc>
          <w:tcPr>
            <w:tcW w:type="dxa" w:w="1980"/>
            <w:tcBorders>
              <w:top w:val="single" w:color="AAAAAA" w:sz="4"/>
              <w:left w:val="single" w:color="AAAAAA" w:sz="4"/>
              <w:bottom w:val="single" w:color="AAAAAA" w:sz="4"/>
              <w:right w:val="single" w:color="AAAAAA" w:sz="4"/>
            </w:tcBorders>
            <w:shd w:fill="EEEDFE" w:val="clear"/>
            <w:tcMar>
              <w:top w:type="dxa" w:w="80"/>
              <w:left w:type="dxa" w:w="100"/>
              <w:bottom w:type="dxa" w:w="80"/>
              <w:right w:type="dxa" w:w="100"/>
            </w:tcMar>
            <w:vAlign w:val="top"/>
          </w:tcPr>
          <w:p>
            <w:r>
              <w:rPr>
                <w:rFonts w:ascii="Arial" w:cs="Arial" w:eastAsia="Arial" w:hAnsi="Arial"/>
                <w:b/>
                <w:bCs/>
                <w:color w:val="534AB7"/>
                <w:sz w:val="19"/>
                <w:szCs w:val="19"/>
              </w:rPr>
              <w:t xml:space="preserve">AI Fundamentals</w:t>
            </w:r>
          </w:p>
          <w:p>
            <w:pPr>
              <w:spacing w:after="30" w:before="20"/>
            </w:pPr>
            <w:r>
              <w:rPr>
                <w:rFonts w:ascii="Arial" w:cs="Arial" w:eastAsia="Arial" w:hAnsi="Arial"/>
                <w:i/>
                <w:iCs/>
                <w:color w:val="534AB7"/>
                <w:sz w:val="16"/>
                <w:szCs w:val="16"/>
              </w:rPr>
              <w:t xml:space="preserve">How AI works · Prompt craft · Ethics</w:t>
            </w:r>
          </w:p>
          <w:p>
            <w:pPr>
              <w:shd w:fill="CECBF6" w:val="clear"/>
            </w:pPr>
            <w:r>
              <w:rPr>
                <w:rFonts w:ascii="Arial" w:cs="Arial" w:eastAsia="Arial" w:hAnsi="Arial"/>
                <w:b/>
                <w:bCs/>
                <w:color w:val="534AB7"/>
                <w:sz w:val="15"/>
                <w:szCs w:val="15"/>
              </w:rPr>
              <w:t xml:space="preserve">SETA L3–L4</w:t>
            </w:r>
          </w:p>
        </w:tc>
        <w:tc>
          <w:tcPr>
            <w:tcW w:type="dxa" w:w="1980"/>
            <w:tcBorders>
              <w:top w:val="single" w:color="AAAAAA" w:sz="4"/>
              <w:left w:val="single" w:color="AAAAAA" w:sz="4"/>
              <w:bottom w:val="single" w:color="AAAAAA" w:sz="4"/>
              <w:right w:val="single" w:color="AAAAAA" w:sz="4"/>
            </w:tcBorders>
            <w:shd w:fill="EEEDFE" w:val="clear"/>
            <w:tcMar>
              <w:top w:type="dxa" w:w="80"/>
              <w:left w:type="dxa" w:w="100"/>
              <w:bottom w:type="dxa" w:w="80"/>
              <w:right w:type="dxa" w:w="100"/>
            </w:tcMar>
            <w:vAlign w:val="top"/>
          </w:tcPr>
          <w:p>
            <w:r>
              <w:rPr>
                <w:rFonts w:ascii="Arial" w:cs="Arial" w:eastAsia="Arial" w:hAnsi="Arial"/>
                <w:b/>
                <w:bCs/>
                <w:color w:val="534AB7"/>
                <w:sz w:val="19"/>
                <w:szCs w:val="19"/>
              </w:rPr>
              <w:t xml:space="preserve">ML Essentials</w:t>
            </w:r>
          </w:p>
          <w:p>
            <w:pPr>
              <w:spacing w:after="30" w:before="20"/>
            </w:pPr>
            <w:r>
              <w:rPr>
                <w:rFonts w:ascii="Arial" w:cs="Arial" w:eastAsia="Arial" w:hAnsi="Arial"/>
                <w:i/>
                <w:iCs/>
                <w:color w:val="534AB7"/>
                <w:sz w:val="16"/>
                <w:szCs w:val="16"/>
              </w:rPr>
              <w:t xml:space="preserve">Python · Scikit-learn · Model evaluation</w:t>
            </w:r>
          </w:p>
          <w:p>
            <w:pPr>
              <w:shd w:fill="CECBF6" w:val="clear"/>
            </w:pPr>
            <w:r>
              <w:rPr>
                <w:rFonts w:ascii="Arial" w:cs="Arial" w:eastAsia="Arial" w:hAnsi="Arial"/>
                <w:b/>
                <w:bCs/>
                <w:color w:val="534AB7"/>
                <w:sz w:val="15"/>
                <w:szCs w:val="15"/>
              </w:rPr>
              <w:t xml:space="preserve">SETA L5</w:t>
            </w:r>
          </w:p>
        </w:tc>
        <w:tc>
          <w:tcPr>
            <w:tcW w:type="dxa" w:w="1980"/>
            <w:tcBorders>
              <w:top w:val="single" w:color="AAAAAA" w:sz="4"/>
              <w:left w:val="single" w:color="AAAAAA" w:sz="4"/>
              <w:bottom w:val="single" w:color="AAAAAA" w:sz="4"/>
              <w:right w:val="single" w:color="AAAAAA" w:sz="4"/>
            </w:tcBorders>
            <w:shd w:fill="EEEDFE" w:val="clear"/>
            <w:tcMar>
              <w:top w:type="dxa" w:w="80"/>
              <w:left w:type="dxa" w:w="100"/>
              <w:bottom w:type="dxa" w:w="80"/>
              <w:right w:type="dxa" w:w="100"/>
            </w:tcMar>
            <w:vAlign w:val="top"/>
          </w:tcPr>
          <w:p>
            <w:r>
              <w:rPr>
                <w:rFonts w:ascii="Arial" w:cs="Arial" w:eastAsia="Arial" w:hAnsi="Arial"/>
                <w:b/>
                <w:bCs/>
                <w:color w:val="534AB7"/>
                <w:sz w:val="19"/>
                <w:szCs w:val="19"/>
              </w:rPr>
              <w:t xml:space="preserve">Applied AI Engineering</w:t>
            </w:r>
          </w:p>
          <w:p>
            <w:pPr>
              <w:spacing w:after="30" w:before="20"/>
            </w:pPr>
            <w:r>
              <w:rPr>
                <w:rFonts w:ascii="Arial" w:cs="Arial" w:eastAsia="Arial" w:hAnsi="Arial"/>
                <w:i/>
                <w:iCs/>
                <w:color w:val="534AB7"/>
                <w:sz w:val="16"/>
                <w:szCs w:val="16"/>
              </w:rPr>
              <w:t xml:space="preserve">LLMs · RAG · APIs · MLOps</w:t>
            </w:r>
          </w:p>
          <w:p>
            <w:pPr>
              <w:shd w:fill="CECBF6" w:val="clear"/>
            </w:pPr>
            <w:r>
              <w:rPr>
                <w:rFonts w:ascii="Arial" w:cs="Arial" w:eastAsia="Arial" w:hAnsi="Arial"/>
                <w:b/>
                <w:bCs/>
                <w:color w:val="534AB7"/>
                <w:sz w:val="15"/>
                <w:szCs w:val="15"/>
              </w:rPr>
              <w:t xml:space="preserve">SETA L6</w:t>
            </w:r>
          </w:p>
        </w:tc>
        <w:tc>
          <w:tcPr>
            <w:tcW w:type="dxa" w:w="1980"/>
            <w:tcBorders>
              <w:top w:val="single" w:color="AAAAAA" w:sz="4"/>
              <w:left w:val="single" w:color="AAAAAA" w:sz="4"/>
              <w:bottom w:val="single" w:color="AAAAAA" w:sz="4"/>
              <w:right w:val="single" w:color="AAAAAA" w:sz="4"/>
            </w:tcBorders>
            <w:shd w:fill="EEEDFE" w:val="clear"/>
            <w:tcMar>
              <w:top w:type="dxa" w:w="80"/>
              <w:left w:type="dxa" w:w="100"/>
              <w:bottom w:type="dxa" w:w="80"/>
              <w:right w:type="dxa" w:w="100"/>
            </w:tcMar>
            <w:vAlign w:val="top"/>
          </w:tcPr>
          <w:p>
            <w:r>
              <w:rPr>
                <w:rFonts w:ascii="Arial" w:cs="Arial" w:eastAsia="Arial" w:hAnsi="Arial"/>
                <w:b/>
                <w:bCs/>
                <w:color w:val="534AB7"/>
                <w:sz w:val="19"/>
                <w:szCs w:val="19"/>
              </w:rPr>
              <w:t xml:space="preserve">AI Strategy &amp; Enterprise</w:t>
            </w:r>
          </w:p>
          <w:p>
            <w:pPr>
              <w:spacing w:after="30" w:before="20"/>
            </w:pPr>
            <w:r>
              <w:rPr>
                <w:rFonts w:ascii="Arial" w:cs="Arial" w:eastAsia="Arial" w:hAnsi="Arial"/>
                <w:i/>
                <w:iCs/>
                <w:color w:val="534AB7"/>
                <w:sz w:val="16"/>
                <w:szCs w:val="16"/>
              </w:rPr>
              <w:t xml:space="preserve">AI governance · ROI · Responsible AI</w:t>
            </w:r>
          </w:p>
          <w:p>
            <w:pPr>
              <w:shd w:fill="CECBF6" w:val="clear"/>
            </w:pPr>
            <w:r>
              <w:rPr>
                <w:rFonts w:ascii="Arial" w:cs="Arial" w:eastAsia="Arial" w:hAnsi="Arial"/>
                <w:b/>
                <w:bCs/>
                <w:color w:val="534AB7"/>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FAECE7"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993C1D"/>
                <w:sz w:val="17"/>
                <w:szCs w:val="17"/>
              </w:rPr>
              <w:t xml:space="preserve">Cybersecurity</w:t>
            </w:r>
          </w:p>
        </w:tc>
        <w:tc>
          <w:tcPr>
            <w:tcW w:type="dxa" w:w="1980"/>
            <w:tcBorders>
              <w:top w:val="single" w:color="AAAAAA" w:sz="4"/>
              <w:left w:val="single" w:color="AAAAAA" w:sz="4"/>
              <w:bottom w:val="single" w:color="AAAAAA" w:sz="4"/>
              <w:right w:val="single" w:color="AAAAAA" w:sz="4"/>
            </w:tcBorders>
            <w:shd w:fill="FAECE7" w:val="clear"/>
            <w:tcMar>
              <w:top w:type="dxa" w:w="80"/>
              <w:left w:type="dxa" w:w="100"/>
              <w:bottom w:type="dxa" w:w="80"/>
              <w:right w:type="dxa" w:w="100"/>
            </w:tcMar>
            <w:vAlign w:val="top"/>
          </w:tcPr>
          <w:p>
            <w:r>
              <w:rPr>
                <w:rFonts w:ascii="Arial" w:cs="Arial" w:eastAsia="Arial" w:hAnsi="Arial"/>
                <w:b/>
                <w:bCs/>
                <w:color w:val="993C1D"/>
                <w:sz w:val="19"/>
                <w:szCs w:val="19"/>
              </w:rPr>
              <w:t xml:space="preserve">Cyber Essentials</w:t>
            </w:r>
          </w:p>
          <w:p>
            <w:pPr>
              <w:spacing w:after="30" w:before="20"/>
            </w:pPr>
            <w:r>
              <w:rPr>
                <w:rFonts w:ascii="Arial" w:cs="Arial" w:eastAsia="Arial" w:hAnsi="Arial"/>
                <w:i/>
                <w:iCs/>
                <w:color w:val="993C1D"/>
                <w:sz w:val="16"/>
                <w:szCs w:val="16"/>
              </w:rPr>
              <w:t xml:space="preserve">Threats · Safe practices · Passwords</w:t>
            </w:r>
          </w:p>
          <w:p>
            <w:pPr>
              <w:shd w:fill="F5C4B3" w:val="clear"/>
            </w:pPr>
            <w:r>
              <w:rPr>
                <w:rFonts w:ascii="Arial" w:cs="Arial" w:eastAsia="Arial" w:hAnsi="Arial"/>
                <w:b/>
                <w:bCs/>
                <w:color w:val="993C1D"/>
                <w:sz w:val="15"/>
                <w:szCs w:val="15"/>
              </w:rPr>
              <w:t xml:space="preserve">SETA L3–L4</w:t>
            </w:r>
          </w:p>
        </w:tc>
        <w:tc>
          <w:tcPr>
            <w:tcW w:type="dxa" w:w="1980"/>
            <w:tcBorders>
              <w:top w:val="single" w:color="AAAAAA" w:sz="4"/>
              <w:left w:val="single" w:color="AAAAAA" w:sz="4"/>
              <w:bottom w:val="single" w:color="AAAAAA" w:sz="4"/>
              <w:right w:val="single" w:color="AAAAAA" w:sz="4"/>
            </w:tcBorders>
            <w:shd w:fill="FAECE7" w:val="clear"/>
            <w:tcMar>
              <w:top w:type="dxa" w:w="80"/>
              <w:left w:type="dxa" w:w="100"/>
              <w:bottom w:type="dxa" w:w="80"/>
              <w:right w:type="dxa" w:w="100"/>
            </w:tcMar>
            <w:vAlign w:val="top"/>
          </w:tcPr>
          <w:p>
            <w:r>
              <w:rPr>
                <w:rFonts w:ascii="Arial" w:cs="Arial" w:eastAsia="Arial" w:hAnsi="Arial"/>
                <w:b/>
                <w:bCs/>
                <w:color w:val="993C1D"/>
                <w:sz w:val="19"/>
                <w:szCs w:val="19"/>
              </w:rPr>
              <w:t xml:space="preserve">Ethical Hacking</w:t>
            </w:r>
          </w:p>
          <w:p>
            <w:pPr>
              <w:spacing w:after="30" w:before="20"/>
            </w:pPr>
            <w:r>
              <w:rPr>
                <w:rFonts w:ascii="Arial" w:cs="Arial" w:eastAsia="Arial" w:hAnsi="Arial"/>
                <w:i/>
                <w:iCs/>
                <w:color w:val="993C1D"/>
                <w:sz w:val="16"/>
                <w:szCs w:val="16"/>
              </w:rPr>
              <w:t xml:space="preserve">Kali Linux · Pen testing · CompTIA S+</w:t>
            </w:r>
          </w:p>
          <w:p>
            <w:pPr>
              <w:shd w:fill="F5C4B3" w:val="clear"/>
            </w:pPr>
            <w:r>
              <w:rPr>
                <w:rFonts w:ascii="Arial" w:cs="Arial" w:eastAsia="Arial" w:hAnsi="Arial"/>
                <w:b/>
                <w:bCs/>
                <w:color w:val="993C1D"/>
                <w:sz w:val="15"/>
                <w:szCs w:val="15"/>
              </w:rPr>
              <w:t xml:space="preserve">SETA L5</w:t>
            </w:r>
          </w:p>
        </w:tc>
        <w:tc>
          <w:tcPr>
            <w:tcW w:type="dxa" w:w="1980"/>
            <w:tcBorders>
              <w:top w:val="single" w:color="AAAAAA" w:sz="4"/>
              <w:left w:val="single" w:color="AAAAAA" w:sz="4"/>
              <w:bottom w:val="single" w:color="AAAAAA" w:sz="4"/>
              <w:right w:val="single" w:color="AAAAAA" w:sz="4"/>
            </w:tcBorders>
            <w:shd w:fill="FAECE7" w:val="clear"/>
            <w:tcMar>
              <w:top w:type="dxa" w:w="80"/>
              <w:left w:type="dxa" w:w="100"/>
              <w:bottom w:type="dxa" w:w="80"/>
              <w:right w:type="dxa" w:w="100"/>
            </w:tcMar>
            <w:vAlign w:val="top"/>
          </w:tcPr>
          <w:p>
            <w:r>
              <w:rPr>
                <w:rFonts w:ascii="Arial" w:cs="Arial" w:eastAsia="Arial" w:hAnsi="Arial"/>
                <w:b/>
                <w:bCs/>
                <w:color w:val="993C1D"/>
                <w:sz w:val="19"/>
                <w:szCs w:val="19"/>
              </w:rPr>
              <w:t xml:space="preserve">Security Operations</w:t>
            </w:r>
          </w:p>
          <w:p>
            <w:pPr>
              <w:spacing w:after="30" w:before="20"/>
            </w:pPr>
            <w:r>
              <w:rPr>
                <w:rFonts w:ascii="Arial" w:cs="Arial" w:eastAsia="Arial" w:hAnsi="Arial"/>
                <w:i/>
                <w:iCs/>
                <w:color w:val="993C1D"/>
                <w:sz w:val="16"/>
                <w:szCs w:val="16"/>
              </w:rPr>
              <w:t xml:space="preserve">SOC · SIEM · Incident response</w:t>
            </w:r>
          </w:p>
          <w:p>
            <w:pPr>
              <w:shd w:fill="F5C4B3" w:val="clear"/>
            </w:pPr>
            <w:r>
              <w:rPr>
                <w:rFonts w:ascii="Arial" w:cs="Arial" w:eastAsia="Arial" w:hAnsi="Arial"/>
                <w:b/>
                <w:bCs/>
                <w:color w:val="993C1D"/>
                <w:sz w:val="15"/>
                <w:szCs w:val="15"/>
              </w:rPr>
              <w:t xml:space="preserve">SETA L6</w:t>
            </w:r>
          </w:p>
        </w:tc>
        <w:tc>
          <w:tcPr>
            <w:tcW w:type="dxa" w:w="1980"/>
            <w:tcBorders>
              <w:top w:val="single" w:color="AAAAAA" w:sz="4"/>
              <w:left w:val="single" w:color="AAAAAA" w:sz="4"/>
              <w:bottom w:val="single" w:color="AAAAAA" w:sz="4"/>
              <w:right w:val="single" w:color="AAAAAA" w:sz="4"/>
            </w:tcBorders>
            <w:shd w:fill="FAECE7" w:val="clear"/>
            <w:tcMar>
              <w:top w:type="dxa" w:w="80"/>
              <w:left w:type="dxa" w:w="100"/>
              <w:bottom w:type="dxa" w:w="80"/>
              <w:right w:type="dxa" w:w="100"/>
            </w:tcMar>
            <w:vAlign w:val="top"/>
          </w:tcPr>
          <w:p>
            <w:r>
              <w:rPr>
                <w:rFonts w:ascii="Arial" w:cs="Arial" w:eastAsia="Arial" w:hAnsi="Arial"/>
                <w:b/>
                <w:bCs/>
                <w:color w:val="993C1D"/>
                <w:sz w:val="19"/>
                <w:szCs w:val="19"/>
              </w:rPr>
              <w:t xml:space="preserve">CISO Programme</w:t>
            </w:r>
          </w:p>
          <w:p>
            <w:pPr>
              <w:spacing w:after="30" w:before="20"/>
            </w:pPr>
            <w:r>
              <w:rPr>
                <w:rFonts w:ascii="Arial" w:cs="Arial" w:eastAsia="Arial" w:hAnsi="Arial"/>
                <w:i/>
                <w:iCs/>
                <w:color w:val="993C1D"/>
                <w:sz w:val="16"/>
                <w:szCs w:val="16"/>
              </w:rPr>
              <w:t xml:space="preserve">Risk · Compliance · POPIA · ISO 27001</w:t>
            </w:r>
          </w:p>
          <w:p>
            <w:pPr>
              <w:shd w:fill="F5C4B3" w:val="clear"/>
            </w:pPr>
            <w:r>
              <w:rPr>
                <w:rFonts w:ascii="Arial" w:cs="Arial" w:eastAsia="Arial" w:hAnsi="Arial"/>
                <w:b/>
                <w:bCs/>
                <w:color w:val="993C1D"/>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FAEEDA"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854F0B"/>
                <w:sz w:val="17"/>
                <w:szCs w:val="17"/>
              </w:rPr>
              <w:t xml:space="preserve">Data &amp; Analytics</w:t>
            </w:r>
          </w:p>
        </w:tc>
        <w:tc>
          <w:tcPr>
            <w:tcW w:type="dxa" w:w="1980"/>
            <w:tcBorders>
              <w:top w:val="single" w:color="AAAAAA" w:sz="4"/>
              <w:left w:val="single" w:color="AAAAAA" w:sz="4"/>
              <w:bottom w:val="single" w:color="AAAAAA" w:sz="4"/>
              <w:right w:val="single" w:color="AAAAAA" w:sz="4"/>
            </w:tcBorders>
            <w:shd w:fill="FAEEDA" w:val="clear"/>
            <w:tcMar>
              <w:top w:type="dxa" w:w="80"/>
              <w:left w:type="dxa" w:w="100"/>
              <w:bottom w:type="dxa" w:w="80"/>
              <w:right w:type="dxa" w:w="100"/>
            </w:tcMar>
            <w:vAlign w:val="top"/>
          </w:tcPr>
          <w:p>
            <w:r>
              <w:rPr>
                <w:rFonts w:ascii="Arial" w:cs="Arial" w:eastAsia="Arial" w:hAnsi="Arial"/>
                <w:b/>
                <w:bCs/>
                <w:color w:val="854F0B"/>
                <w:sz w:val="19"/>
                <w:szCs w:val="19"/>
              </w:rPr>
              <w:t xml:space="preserve">Data Literacy</w:t>
            </w:r>
          </w:p>
          <w:p>
            <w:pPr>
              <w:spacing w:after="30" w:before="20"/>
            </w:pPr>
            <w:r>
              <w:rPr>
                <w:rFonts w:ascii="Arial" w:cs="Arial" w:eastAsia="Arial" w:hAnsi="Arial"/>
                <w:i/>
                <w:iCs/>
                <w:color w:val="854F0B"/>
                <w:sz w:val="16"/>
                <w:szCs w:val="16"/>
              </w:rPr>
              <w:t xml:space="preserve">Spreadsheets · Charts · Basic SQL</w:t>
            </w:r>
          </w:p>
          <w:p>
            <w:pPr>
              <w:shd w:fill="FAC775" w:val="clear"/>
            </w:pPr>
            <w:r>
              <w:rPr>
                <w:rFonts w:ascii="Arial" w:cs="Arial" w:eastAsia="Arial" w:hAnsi="Arial"/>
                <w:b/>
                <w:bCs/>
                <w:color w:val="854F0B"/>
                <w:sz w:val="15"/>
                <w:szCs w:val="15"/>
              </w:rPr>
              <w:t xml:space="preserve">SETA L3–L4</w:t>
            </w:r>
          </w:p>
        </w:tc>
        <w:tc>
          <w:tcPr>
            <w:tcW w:type="dxa" w:w="1980"/>
            <w:tcBorders>
              <w:top w:val="single" w:color="AAAAAA" w:sz="4"/>
              <w:left w:val="single" w:color="AAAAAA" w:sz="4"/>
              <w:bottom w:val="single" w:color="AAAAAA" w:sz="4"/>
              <w:right w:val="single" w:color="AAAAAA" w:sz="4"/>
            </w:tcBorders>
            <w:shd w:fill="FAEEDA" w:val="clear"/>
            <w:tcMar>
              <w:top w:type="dxa" w:w="80"/>
              <w:left w:type="dxa" w:w="100"/>
              <w:bottom w:type="dxa" w:w="80"/>
              <w:right w:type="dxa" w:w="100"/>
            </w:tcMar>
            <w:vAlign w:val="top"/>
          </w:tcPr>
          <w:p>
            <w:r>
              <w:rPr>
                <w:rFonts w:ascii="Arial" w:cs="Arial" w:eastAsia="Arial" w:hAnsi="Arial"/>
                <w:b/>
                <w:bCs/>
                <w:color w:val="854F0B"/>
                <w:sz w:val="19"/>
                <w:szCs w:val="19"/>
              </w:rPr>
              <w:t xml:space="preserve">Data Analysis &amp; BI</w:t>
            </w:r>
          </w:p>
          <w:p>
            <w:pPr>
              <w:spacing w:after="30" w:before="20"/>
            </w:pPr>
            <w:r>
              <w:rPr>
                <w:rFonts w:ascii="Arial" w:cs="Arial" w:eastAsia="Arial" w:hAnsi="Arial"/>
                <w:i/>
                <w:iCs/>
                <w:color w:val="854F0B"/>
                <w:sz w:val="16"/>
                <w:szCs w:val="16"/>
              </w:rPr>
              <w:t xml:space="preserve">Power BI · Python · Statistics</w:t>
            </w:r>
          </w:p>
          <w:p>
            <w:pPr>
              <w:shd w:fill="FAC775" w:val="clear"/>
            </w:pPr>
            <w:r>
              <w:rPr>
                <w:rFonts w:ascii="Arial" w:cs="Arial" w:eastAsia="Arial" w:hAnsi="Arial"/>
                <w:b/>
                <w:bCs/>
                <w:color w:val="854F0B"/>
                <w:sz w:val="15"/>
                <w:szCs w:val="15"/>
              </w:rPr>
              <w:t xml:space="preserve">SETA L5</w:t>
            </w:r>
          </w:p>
        </w:tc>
        <w:tc>
          <w:tcPr>
            <w:tcW w:type="dxa" w:w="1980"/>
            <w:tcBorders>
              <w:top w:val="single" w:color="AAAAAA" w:sz="4"/>
              <w:left w:val="single" w:color="AAAAAA" w:sz="4"/>
              <w:bottom w:val="single" w:color="AAAAAA" w:sz="4"/>
              <w:right w:val="single" w:color="AAAAAA" w:sz="4"/>
            </w:tcBorders>
            <w:shd w:fill="FAEEDA" w:val="clear"/>
            <w:tcMar>
              <w:top w:type="dxa" w:w="80"/>
              <w:left w:type="dxa" w:w="100"/>
              <w:bottom w:type="dxa" w:w="80"/>
              <w:right w:type="dxa" w:w="100"/>
            </w:tcMar>
            <w:vAlign w:val="top"/>
          </w:tcPr>
          <w:p>
            <w:r>
              <w:rPr>
                <w:rFonts w:ascii="Arial" w:cs="Arial" w:eastAsia="Arial" w:hAnsi="Arial"/>
                <w:b/>
                <w:bCs/>
                <w:color w:val="854F0B"/>
                <w:sz w:val="19"/>
                <w:szCs w:val="19"/>
              </w:rPr>
              <w:t xml:space="preserve">Data Engineering</w:t>
            </w:r>
          </w:p>
          <w:p>
            <w:pPr>
              <w:spacing w:after="30" w:before="20"/>
            </w:pPr>
            <w:r>
              <w:rPr>
                <w:rFonts w:ascii="Arial" w:cs="Arial" w:eastAsia="Arial" w:hAnsi="Arial"/>
                <w:i/>
                <w:iCs/>
                <w:color w:val="854F0B"/>
                <w:sz w:val="16"/>
                <w:szCs w:val="16"/>
              </w:rPr>
              <w:t xml:space="preserve">Pipelines · dbt · Spark · Cloud DW</w:t>
            </w:r>
          </w:p>
          <w:p>
            <w:pPr>
              <w:shd w:fill="FAC775" w:val="clear"/>
            </w:pPr>
            <w:r>
              <w:rPr>
                <w:rFonts w:ascii="Arial" w:cs="Arial" w:eastAsia="Arial" w:hAnsi="Arial"/>
                <w:b/>
                <w:bCs/>
                <w:color w:val="854F0B"/>
                <w:sz w:val="15"/>
                <w:szCs w:val="15"/>
              </w:rPr>
              <w:t xml:space="preserve">SETA L6</w:t>
            </w:r>
          </w:p>
        </w:tc>
        <w:tc>
          <w:tcPr>
            <w:tcW w:type="dxa" w:w="1980"/>
            <w:tcBorders>
              <w:top w:val="single" w:color="AAAAAA" w:sz="4"/>
              <w:left w:val="single" w:color="AAAAAA" w:sz="4"/>
              <w:bottom w:val="single" w:color="AAAAAA" w:sz="4"/>
              <w:right w:val="single" w:color="AAAAAA" w:sz="4"/>
            </w:tcBorders>
            <w:shd w:fill="FAEEDA" w:val="clear"/>
            <w:tcMar>
              <w:top w:type="dxa" w:w="80"/>
              <w:left w:type="dxa" w:w="100"/>
              <w:bottom w:type="dxa" w:w="80"/>
              <w:right w:type="dxa" w:w="100"/>
            </w:tcMar>
            <w:vAlign w:val="top"/>
          </w:tcPr>
          <w:p>
            <w:r>
              <w:rPr>
                <w:rFonts w:ascii="Arial" w:cs="Arial" w:eastAsia="Arial" w:hAnsi="Arial"/>
                <w:b/>
                <w:bCs/>
                <w:color w:val="854F0B"/>
                <w:sz w:val="19"/>
                <w:szCs w:val="19"/>
              </w:rPr>
              <w:t xml:space="preserve">AI-Driven Analytics</w:t>
            </w:r>
          </w:p>
          <w:p>
            <w:pPr>
              <w:spacing w:after="30" w:before="20"/>
            </w:pPr>
            <w:r>
              <w:rPr>
                <w:rFonts w:ascii="Arial" w:cs="Arial" w:eastAsia="Arial" w:hAnsi="Arial"/>
                <w:i/>
                <w:iCs/>
                <w:color w:val="854F0B"/>
                <w:sz w:val="16"/>
                <w:szCs w:val="16"/>
              </w:rPr>
              <w:t xml:space="preserve">CDO skills · Data mesh · Strategy</w:t>
            </w:r>
          </w:p>
          <w:p>
            <w:pPr>
              <w:shd w:fill="FAC775" w:val="clear"/>
            </w:pPr>
            <w:r>
              <w:rPr>
                <w:rFonts w:ascii="Arial" w:cs="Arial" w:eastAsia="Arial" w:hAnsi="Arial"/>
                <w:b/>
                <w:bCs/>
                <w:color w:val="854F0B"/>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E1F5EE"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0F6E56"/>
                <w:sz w:val="17"/>
                <w:szCs w:val="17"/>
              </w:rPr>
              <w:t xml:space="preserve">Digital Transformation</w:t>
            </w:r>
          </w:p>
        </w:tc>
        <w:tc>
          <w:tcPr>
            <w:tcW w:type="dxa" w:w="1980"/>
            <w:tcBorders>
              <w:top w:val="single" w:color="AAAAAA" w:sz="4"/>
              <w:left w:val="single" w:color="AAAAAA" w:sz="4"/>
              <w:bottom w:val="single" w:color="AAAAAA" w:sz="4"/>
              <w:right w:val="single" w:color="AAAAAA" w:sz="4"/>
            </w:tcBorders>
            <w:shd w:fill="E1F5EE" w:val="clear"/>
            <w:tcMar>
              <w:top w:type="dxa" w:w="80"/>
              <w:left w:type="dxa" w:w="100"/>
              <w:bottom w:type="dxa" w:w="80"/>
              <w:right w:type="dxa" w:w="100"/>
            </w:tcMar>
            <w:vAlign w:val="top"/>
          </w:tcPr>
          <w:p>
            <w:r>
              <w:rPr>
                <w:rFonts w:ascii="Arial" w:cs="Arial" w:eastAsia="Arial" w:hAnsi="Arial"/>
                <w:b/>
                <w:bCs/>
                <w:color w:val="0F6E56"/>
                <w:sz w:val="19"/>
                <w:szCs w:val="19"/>
              </w:rPr>
              <w:t xml:space="preserve">Digital Literacy for Work</w:t>
            </w:r>
          </w:p>
          <w:p>
            <w:pPr>
              <w:spacing w:after="30" w:before="20"/>
            </w:pPr>
            <w:r>
              <w:rPr>
                <w:rFonts w:ascii="Arial" w:cs="Arial" w:eastAsia="Arial" w:hAnsi="Arial"/>
                <w:i/>
                <w:iCs/>
                <w:color w:val="0F6E56"/>
                <w:sz w:val="16"/>
                <w:szCs w:val="16"/>
              </w:rPr>
              <w:t xml:space="preserve">M365 · Google Workspace · Comms</w:t>
            </w:r>
          </w:p>
          <w:p>
            <w:pPr>
              <w:shd w:fill="9FE1CB" w:val="clear"/>
            </w:pPr>
            <w:r>
              <w:rPr>
                <w:rFonts w:ascii="Arial" w:cs="Arial" w:eastAsia="Arial" w:hAnsi="Arial"/>
                <w:b/>
                <w:bCs/>
                <w:color w:val="0F6E56"/>
                <w:sz w:val="15"/>
                <w:szCs w:val="15"/>
              </w:rPr>
              <w:t xml:space="preserve">SETA L3–L4</w:t>
            </w:r>
          </w:p>
        </w:tc>
        <w:tc>
          <w:tcPr>
            <w:tcW w:type="dxa" w:w="1980"/>
            <w:tcBorders>
              <w:top w:val="single" w:color="AAAAAA" w:sz="4"/>
              <w:left w:val="single" w:color="AAAAAA" w:sz="4"/>
              <w:bottom w:val="single" w:color="AAAAAA" w:sz="4"/>
              <w:right w:val="single" w:color="AAAAAA" w:sz="4"/>
            </w:tcBorders>
            <w:shd w:fill="E1F5EE" w:val="clear"/>
            <w:tcMar>
              <w:top w:type="dxa" w:w="80"/>
              <w:left w:type="dxa" w:w="100"/>
              <w:bottom w:type="dxa" w:w="80"/>
              <w:right w:type="dxa" w:w="100"/>
            </w:tcMar>
            <w:vAlign w:val="top"/>
          </w:tcPr>
          <w:p>
            <w:r>
              <w:rPr>
                <w:rFonts w:ascii="Arial" w:cs="Arial" w:eastAsia="Arial" w:hAnsi="Arial"/>
                <w:b/>
                <w:bCs/>
                <w:color w:val="0F6E56"/>
                <w:sz w:val="19"/>
                <w:szCs w:val="19"/>
              </w:rPr>
              <w:t xml:space="preserve">Process Digitisation</w:t>
            </w:r>
          </w:p>
          <w:p>
            <w:pPr>
              <w:spacing w:after="30" w:before="20"/>
            </w:pPr>
            <w:r>
              <w:rPr>
                <w:rFonts w:ascii="Arial" w:cs="Arial" w:eastAsia="Arial" w:hAnsi="Arial"/>
                <w:i/>
                <w:iCs/>
                <w:color w:val="0F6E56"/>
                <w:sz w:val="16"/>
                <w:szCs w:val="16"/>
              </w:rPr>
              <w:t xml:space="preserve">No-code/low-code · Automation · BPM</w:t>
            </w:r>
          </w:p>
          <w:p>
            <w:pPr>
              <w:shd w:fill="9FE1CB" w:val="clear"/>
            </w:pPr>
            <w:r>
              <w:rPr>
                <w:rFonts w:ascii="Arial" w:cs="Arial" w:eastAsia="Arial" w:hAnsi="Arial"/>
                <w:b/>
                <w:bCs/>
                <w:color w:val="0F6E56"/>
                <w:sz w:val="15"/>
                <w:szCs w:val="15"/>
              </w:rPr>
              <w:t xml:space="preserve">SETA L5</w:t>
            </w:r>
          </w:p>
        </w:tc>
        <w:tc>
          <w:tcPr>
            <w:tcW w:type="dxa" w:w="1980"/>
            <w:tcBorders>
              <w:top w:val="single" w:color="AAAAAA" w:sz="4"/>
              <w:left w:val="single" w:color="AAAAAA" w:sz="4"/>
              <w:bottom w:val="single" w:color="AAAAAA" w:sz="4"/>
              <w:right w:val="single" w:color="AAAAAA" w:sz="4"/>
            </w:tcBorders>
            <w:shd w:fill="E1F5EE" w:val="clear"/>
            <w:tcMar>
              <w:top w:type="dxa" w:w="80"/>
              <w:left w:type="dxa" w:w="100"/>
              <w:bottom w:type="dxa" w:w="80"/>
              <w:right w:type="dxa" w:w="100"/>
            </w:tcMar>
            <w:vAlign w:val="top"/>
          </w:tcPr>
          <w:p>
            <w:r>
              <w:rPr>
                <w:rFonts w:ascii="Arial" w:cs="Arial" w:eastAsia="Arial" w:hAnsi="Arial"/>
                <w:b/>
                <w:bCs/>
                <w:color w:val="0F6E56"/>
                <w:sz w:val="19"/>
                <w:szCs w:val="19"/>
              </w:rPr>
              <w:t xml:space="preserve">Digital Transformation Lead</w:t>
            </w:r>
          </w:p>
          <w:p>
            <w:pPr>
              <w:spacing w:after="30" w:before="20"/>
            </w:pPr>
            <w:r>
              <w:rPr>
                <w:rFonts w:ascii="Arial" w:cs="Arial" w:eastAsia="Arial" w:hAnsi="Arial"/>
                <w:i/>
                <w:iCs/>
                <w:color w:val="0F6E56"/>
                <w:sz w:val="16"/>
                <w:szCs w:val="16"/>
              </w:rPr>
              <w:t xml:space="preserve">Change mgmt · DX roadmap · CX</w:t>
            </w:r>
          </w:p>
          <w:p>
            <w:pPr>
              <w:shd w:fill="9FE1CB" w:val="clear"/>
            </w:pPr>
            <w:r>
              <w:rPr>
                <w:rFonts w:ascii="Arial" w:cs="Arial" w:eastAsia="Arial" w:hAnsi="Arial"/>
                <w:b/>
                <w:bCs/>
                <w:color w:val="0F6E56"/>
                <w:sz w:val="15"/>
                <w:szCs w:val="15"/>
              </w:rPr>
              <w:t xml:space="preserve">SETA L6</w:t>
            </w:r>
          </w:p>
        </w:tc>
        <w:tc>
          <w:tcPr>
            <w:tcW w:type="dxa" w:w="1980"/>
            <w:tcBorders>
              <w:top w:val="single" w:color="AAAAAA" w:sz="4"/>
              <w:left w:val="single" w:color="AAAAAA" w:sz="4"/>
              <w:bottom w:val="single" w:color="AAAAAA" w:sz="4"/>
              <w:right w:val="single" w:color="AAAAAA" w:sz="4"/>
            </w:tcBorders>
            <w:shd w:fill="E1F5EE" w:val="clear"/>
            <w:tcMar>
              <w:top w:type="dxa" w:w="80"/>
              <w:left w:type="dxa" w:w="100"/>
              <w:bottom w:type="dxa" w:w="80"/>
              <w:right w:type="dxa" w:w="100"/>
            </w:tcMar>
            <w:vAlign w:val="top"/>
          </w:tcPr>
          <w:p>
            <w:r>
              <w:rPr>
                <w:rFonts w:ascii="Arial" w:cs="Arial" w:eastAsia="Arial" w:hAnsi="Arial"/>
                <w:b/>
                <w:bCs/>
                <w:color w:val="0F6E56"/>
                <w:sz w:val="19"/>
                <w:szCs w:val="19"/>
              </w:rPr>
              <w:t xml:space="preserve">CDO Programme</w:t>
            </w:r>
          </w:p>
          <w:p>
            <w:pPr>
              <w:spacing w:after="30" w:before="20"/>
            </w:pPr>
            <w:r>
              <w:rPr>
                <w:rFonts w:ascii="Arial" w:cs="Arial" w:eastAsia="Arial" w:hAnsi="Arial"/>
                <w:i/>
                <w:iCs/>
                <w:color w:val="0F6E56"/>
                <w:sz w:val="16"/>
                <w:szCs w:val="16"/>
              </w:rPr>
              <w:t xml:space="preserve">Digital strategy · Innovation · KPIs</w:t>
            </w:r>
          </w:p>
          <w:p>
            <w:pPr>
              <w:shd w:fill="9FE1CB" w:val="clear"/>
            </w:pPr>
            <w:r>
              <w:rPr>
                <w:rFonts w:ascii="Arial" w:cs="Arial" w:eastAsia="Arial" w:hAnsi="Arial"/>
                <w:b/>
                <w:bCs/>
                <w:color w:val="0F6E56"/>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EAF3DE" w:val="clear"/>
            <w:tcMar>
              <w:top w:type="dxa" w:w="80"/>
              <w:left w:type="dxa" w:w="100"/>
              <w:bottom w:type="dxa" w:w="80"/>
              <w:right w:type="dxa" w:w="80"/>
            </w:tcMar>
            <w:vAlign w:val="center"/>
          </w:tcPr>
          <w:p>
            <w:pPr>
              <w:jc w:val="center"/>
            </w:pPr>
            <w:r>
              <w:rPr>
                <w:rFonts w:ascii="Arial" w:cs="Arial" w:eastAsia="Arial" w:hAnsi="Arial"/>
                <w:sz w:val="22"/>
                <w:szCs w:val="22"/>
              </w:rPr>
              <w:t xml:space="preserve">&lt;/&gt; </w:t>
            </w:r>
          </w:p>
          <w:p>
            <w:pPr>
              <w:jc w:val="center"/>
            </w:pPr>
            <w:r>
              <w:rPr>
                <w:rFonts w:ascii="Arial" w:cs="Arial" w:eastAsia="Arial" w:hAnsi="Arial"/>
                <w:b/>
                <w:bCs/>
                <w:color w:val="3B6D11"/>
                <w:sz w:val="17"/>
                <w:szCs w:val="17"/>
              </w:rPr>
              <w:t xml:space="preserve">Software &amp; DevOps</w:t>
            </w:r>
          </w:p>
        </w:tc>
        <w:tc>
          <w:tcPr>
            <w:tcW w:type="dxa" w:w="1980"/>
            <w:tcBorders>
              <w:top w:val="single" w:color="AAAAAA" w:sz="4"/>
              <w:left w:val="single" w:color="AAAAAA" w:sz="4"/>
              <w:bottom w:val="single" w:color="AAAAAA" w:sz="4"/>
              <w:right w:val="single" w:color="AAAAAA" w:sz="4"/>
            </w:tcBorders>
            <w:shd w:fill="EAF3DE" w:val="clear"/>
            <w:tcMar>
              <w:top w:type="dxa" w:w="80"/>
              <w:left w:type="dxa" w:w="100"/>
              <w:bottom w:type="dxa" w:w="80"/>
              <w:right w:type="dxa" w:w="100"/>
            </w:tcMar>
            <w:vAlign w:val="top"/>
          </w:tcPr>
          <w:p>
            <w:r>
              <w:rPr>
                <w:rFonts w:ascii="Arial" w:cs="Arial" w:eastAsia="Arial" w:hAnsi="Arial"/>
                <w:b/>
                <w:bCs/>
                <w:color w:val="3B6D11"/>
                <w:sz w:val="19"/>
                <w:szCs w:val="19"/>
              </w:rPr>
              <w:t xml:space="preserve">Code Launchpad</w:t>
            </w:r>
          </w:p>
          <w:p>
            <w:pPr>
              <w:spacing w:after="30" w:before="20"/>
            </w:pPr>
            <w:r>
              <w:rPr>
                <w:rFonts w:ascii="Arial" w:cs="Arial" w:eastAsia="Arial" w:hAnsi="Arial"/>
                <w:i/>
                <w:iCs/>
                <w:color w:val="3B6D11"/>
                <w:sz w:val="16"/>
                <w:szCs w:val="16"/>
              </w:rPr>
              <w:t xml:space="preserve">HTML/CSS · Python · Git · Web basics</w:t>
            </w:r>
          </w:p>
          <w:p>
            <w:pPr>
              <w:shd w:fill="C0DD97" w:val="clear"/>
            </w:pPr>
            <w:r>
              <w:rPr>
                <w:rFonts w:ascii="Arial" w:cs="Arial" w:eastAsia="Arial" w:hAnsi="Arial"/>
                <w:b/>
                <w:bCs/>
                <w:color w:val="3B6D11"/>
                <w:sz w:val="15"/>
                <w:szCs w:val="15"/>
              </w:rPr>
              <w:t xml:space="preserve">SETA L3–L4</w:t>
            </w:r>
          </w:p>
        </w:tc>
        <w:tc>
          <w:tcPr>
            <w:tcW w:type="dxa" w:w="1980"/>
            <w:tcBorders>
              <w:top w:val="single" w:color="AAAAAA" w:sz="4"/>
              <w:left w:val="single" w:color="AAAAAA" w:sz="4"/>
              <w:bottom w:val="single" w:color="AAAAAA" w:sz="4"/>
              <w:right w:val="single" w:color="AAAAAA" w:sz="4"/>
            </w:tcBorders>
            <w:shd w:fill="EAF3DE" w:val="clear"/>
            <w:tcMar>
              <w:top w:type="dxa" w:w="80"/>
              <w:left w:type="dxa" w:w="100"/>
              <w:bottom w:type="dxa" w:w="80"/>
              <w:right w:type="dxa" w:w="100"/>
            </w:tcMar>
            <w:vAlign w:val="top"/>
          </w:tcPr>
          <w:p>
            <w:r>
              <w:rPr>
                <w:rFonts w:ascii="Arial" w:cs="Arial" w:eastAsia="Arial" w:hAnsi="Arial"/>
                <w:b/>
                <w:bCs/>
                <w:color w:val="3B6D11"/>
                <w:sz w:val="19"/>
                <w:szCs w:val="19"/>
              </w:rPr>
              <w:t xml:space="preserve">Full-Stack Development</w:t>
            </w:r>
          </w:p>
          <w:p>
            <w:pPr>
              <w:spacing w:after="30" w:before="20"/>
            </w:pPr>
            <w:r>
              <w:rPr>
                <w:rFonts w:ascii="Arial" w:cs="Arial" w:eastAsia="Arial" w:hAnsi="Arial"/>
                <w:i/>
                <w:iCs/>
                <w:color w:val="3B6D11"/>
                <w:sz w:val="16"/>
                <w:szCs w:val="16"/>
              </w:rPr>
              <w:t xml:space="preserve">React · Node.js · APIs · Databases</w:t>
            </w:r>
          </w:p>
          <w:p>
            <w:pPr>
              <w:shd w:fill="C0DD97" w:val="clear"/>
            </w:pPr>
            <w:r>
              <w:rPr>
                <w:rFonts w:ascii="Arial" w:cs="Arial" w:eastAsia="Arial" w:hAnsi="Arial"/>
                <w:b/>
                <w:bCs/>
                <w:color w:val="3B6D11"/>
                <w:sz w:val="15"/>
                <w:szCs w:val="15"/>
              </w:rPr>
              <w:t xml:space="preserve">SETA L5</w:t>
            </w:r>
          </w:p>
        </w:tc>
        <w:tc>
          <w:tcPr>
            <w:tcW w:type="dxa" w:w="1980"/>
            <w:tcBorders>
              <w:top w:val="single" w:color="AAAAAA" w:sz="4"/>
              <w:left w:val="single" w:color="AAAAAA" w:sz="4"/>
              <w:bottom w:val="single" w:color="AAAAAA" w:sz="4"/>
              <w:right w:val="single" w:color="AAAAAA" w:sz="4"/>
            </w:tcBorders>
            <w:shd w:fill="EAF3DE" w:val="clear"/>
            <w:tcMar>
              <w:top w:type="dxa" w:w="80"/>
              <w:left w:type="dxa" w:w="100"/>
              <w:bottom w:type="dxa" w:w="80"/>
              <w:right w:type="dxa" w:w="100"/>
            </w:tcMar>
            <w:vAlign w:val="top"/>
          </w:tcPr>
          <w:p>
            <w:r>
              <w:rPr>
                <w:rFonts w:ascii="Arial" w:cs="Arial" w:eastAsia="Arial" w:hAnsi="Arial"/>
                <w:b/>
                <w:bCs/>
                <w:color w:val="3B6D11"/>
                <w:sz w:val="19"/>
                <w:szCs w:val="19"/>
              </w:rPr>
              <w:t xml:space="preserve">DevOps &amp; Cloud-Native</w:t>
            </w:r>
          </w:p>
          <w:p>
            <w:pPr>
              <w:spacing w:after="30" w:before="20"/>
            </w:pPr>
            <w:r>
              <w:rPr>
                <w:rFonts w:ascii="Arial" w:cs="Arial" w:eastAsia="Arial" w:hAnsi="Arial"/>
                <w:i/>
                <w:iCs/>
                <w:color w:val="3B6D11"/>
                <w:sz w:val="16"/>
                <w:szCs w:val="16"/>
              </w:rPr>
              <w:t xml:space="preserve">Docker · K8s · CI/CD · Terraform</w:t>
            </w:r>
          </w:p>
          <w:p>
            <w:pPr>
              <w:shd w:fill="C0DD97" w:val="clear"/>
            </w:pPr>
            <w:r>
              <w:rPr>
                <w:rFonts w:ascii="Arial" w:cs="Arial" w:eastAsia="Arial" w:hAnsi="Arial"/>
                <w:b/>
                <w:bCs/>
                <w:color w:val="3B6D11"/>
                <w:sz w:val="15"/>
                <w:szCs w:val="15"/>
              </w:rPr>
              <w:t xml:space="preserve">SETA L6</w:t>
            </w:r>
          </w:p>
        </w:tc>
        <w:tc>
          <w:tcPr>
            <w:tcW w:type="dxa" w:w="1980"/>
            <w:tcBorders>
              <w:top w:val="single" w:color="AAAAAA" w:sz="4"/>
              <w:left w:val="single" w:color="AAAAAA" w:sz="4"/>
              <w:bottom w:val="single" w:color="AAAAAA" w:sz="4"/>
              <w:right w:val="single" w:color="AAAAAA" w:sz="4"/>
            </w:tcBorders>
            <w:shd w:fill="EAF3DE" w:val="clear"/>
            <w:tcMar>
              <w:top w:type="dxa" w:w="80"/>
              <w:left w:type="dxa" w:w="100"/>
              <w:bottom w:type="dxa" w:w="80"/>
              <w:right w:type="dxa" w:w="100"/>
            </w:tcMar>
            <w:vAlign w:val="top"/>
          </w:tcPr>
          <w:p>
            <w:r>
              <w:rPr>
                <w:rFonts w:ascii="Arial" w:cs="Arial" w:eastAsia="Arial" w:hAnsi="Arial"/>
                <w:b/>
                <w:bCs/>
                <w:color w:val="3B6D11"/>
                <w:sz w:val="19"/>
                <w:szCs w:val="19"/>
              </w:rPr>
              <w:t xml:space="preserve">Platform Engineering</w:t>
            </w:r>
          </w:p>
          <w:p>
            <w:pPr>
              <w:spacing w:after="30" w:before="20"/>
            </w:pPr>
            <w:r>
              <w:rPr>
                <w:rFonts w:ascii="Arial" w:cs="Arial" w:eastAsia="Arial" w:hAnsi="Arial"/>
                <w:i/>
                <w:iCs/>
                <w:color w:val="3B6D11"/>
                <w:sz w:val="16"/>
                <w:szCs w:val="16"/>
              </w:rPr>
              <w:t xml:space="preserve">SRE · Internal platforms · FinOps</w:t>
            </w:r>
          </w:p>
          <w:p>
            <w:pPr>
              <w:shd w:fill="C0DD97" w:val="clear"/>
            </w:pPr>
            <w:r>
              <w:rPr>
                <w:rFonts w:ascii="Arial" w:cs="Arial" w:eastAsia="Arial" w:hAnsi="Arial"/>
                <w:b/>
                <w:bCs/>
                <w:color w:val="3B6D11"/>
                <w:sz w:val="15"/>
                <w:szCs w:val="15"/>
              </w:rPr>
              <w:t xml:space="preserve">SETA L7–L8</w:t>
            </w:r>
          </w:p>
        </w:tc>
      </w:tr>
      <w:tr>
        <w:tc>
          <w:tcPr>
            <w:tcW w:type="dxa" w:w="1440"/>
            <w:tcBorders>
              <w:top w:val="single" w:color="AAAAAA" w:sz="4"/>
              <w:left w:val="single" w:color="AAAAAA" w:sz="4"/>
              <w:bottom w:val="single" w:color="AAAAAA" w:sz="4"/>
              <w:right w:val="single" w:color="AAAAAA" w:sz="4"/>
            </w:tcBorders>
            <w:shd w:fill="FBEAF0" w:val="clear"/>
            <w:tcMar>
              <w:top w:type="dxa" w:w="80"/>
              <w:left w:type="dxa" w:w="100"/>
              <w:bottom w:type="dxa" w:w="80"/>
              <w:right w:type="dxa" w:w="80"/>
            </w:tcMar>
            <w:vAlign w:val="center"/>
          </w:tcPr>
          <w:p>
            <w:pPr>
              <w:jc w:val="center"/>
            </w:pPr>
            <w:r>
              <w:rPr>
                <w:rFonts w:ascii="Arial" w:cs="Arial" w:eastAsia="Arial" w:hAnsi="Arial"/>
                <w:sz w:val="22"/>
                <w:szCs w:val="22"/>
              </w:rPr>
              <w:t xml:space="preserve">◆</w:t>
            </w:r>
          </w:p>
          <w:p>
            <w:pPr>
              <w:jc w:val="center"/>
            </w:pPr>
            <w:r>
              <w:rPr>
                <w:rFonts w:ascii="Arial" w:cs="Arial" w:eastAsia="Arial" w:hAnsi="Arial"/>
                <w:b/>
                <w:bCs/>
                <w:color w:val="993556"/>
                <w:sz w:val="17"/>
                <w:szCs w:val="17"/>
              </w:rPr>
              <w:t xml:space="preserve">Digital Business</w:t>
            </w:r>
          </w:p>
        </w:tc>
        <w:tc>
          <w:tcPr>
            <w:tcW w:type="dxa" w:w="1980"/>
            <w:tcBorders>
              <w:top w:val="single" w:color="AAAAAA" w:sz="4"/>
              <w:left w:val="single" w:color="AAAAAA" w:sz="4"/>
              <w:bottom w:val="single" w:color="AAAAAA" w:sz="4"/>
              <w:right w:val="single" w:color="AAAAAA" w:sz="4"/>
            </w:tcBorders>
            <w:shd w:fill="FBEAF0" w:val="clear"/>
            <w:tcMar>
              <w:top w:type="dxa" w:w="80"/>
              <w:left w:type="dxa" w:w="100"/>
              <w:bottom w:type="dxa" w:w="80"/>
              <w:right w:type="dxa" w:w="100"/>
            </w:tcMar>
            <w:vAlign w:val="top"/>
          </w:tcPr>
          <w:p>
            <w:r>
              <w:rPr>
                <w:rFonts w:ascii="Arial" w:cs="Arial" w:eastAsia="Arial" w:hAnsi="Arial"/>
                <w:b/>
                <w:bCs/>
                <w:color w:val="993556"/>
                <w:sz w:val="19"/>
                <w:szCs w:val="19"/>
              </w:rPr>
              <w:t xml:space="preserve">Digital Entrepreneurship 101</w:t>
            </w:r>
          </w:p>
          <w:p>
            <w:pPr>
              <w:spacing w:after="30" w:before="20"/>
            </w:pPr>
            <w:r>
              <w:rPr>
                <w:rFonts w:ascii="Arial" w:cs="Arial" w:eastAsia="Arial" w:hAnsi="Arial"/>
                <w:i/>
                <w:iCs/>
                <w:color w:val="993556"/>
                <w:sz w:val="16"/>
                <w:szCs w:val="16"/>
              </w:rPr>
              <w:t xml:space="preserve">Business model · Online presence · SEO</w:t>
            </w:r>
          </w:p>
          <w:p>
            <w:pPr>
              <w:shd w:fill="F4C0D1" w:val="clear"/>
            </w:pPr>
            <w:r>
              <w:rPr>
                <w:rFonts w:ascii="Arial" w:cs="Arial" w:eastAsia="Arial" w:hAnsi="Arial"/>
                <w:b/>
                <w:bCs/>
                <w:color w:val="993556"/>
                <w:sz w:val="15"/>
                <w:szCs w:val="15"/>
              </w:rPr>
              <w:t xml:space="preserve">SETA L3–L4</w:t>
            </w:r>
          </w:p>
        </w:tc>
        <w:tc>
          <w:tcPr>
            <w:tcW w:type="dxa" w:w="1980"/>
            <w:tcBorders>
              <w:top w:val="single" w:color="AAAAAA" w:sz="4"/>
              <w:left w:val="single" w:color="AAAAAA" w:sz="4"/>
              <w:bottom w:val="single" w:color="AAAAAA" w:sz="4"/>
              <w:right w:val="single" w:color="AAAAAA" w:sz="4"/>
            </w:tcBorders>
            <w:shd w:fill="FBEAF0" w:val="clear"/>
            <w:tcMar>
              <w:top w:type="dxa" w:w="80"/>
              <w:left w:type="dxa" w:w="100"/>
              <w:bottom w:type="dxa" w:w="80"/>
              <w:right w:type="dxa" w:w="100"/>
            </w:tcMar>
            <w:vAlign w:val="top"/>
          </w:tcPr>
          <w:p>
            <w:r>
              <w:rPr>
                <w:rFonts w:ascii="Arial" w:cs="Arial" w:eastAsia="Arial" w:hAnsi="Arial"/>
                <w:b/>
                <w:bCs/>
                <w:color w:val="993556"/>
                <w:sz w:val="19"/>
                <w:szCs w:val="19"/>
              </w:rPr>
              <w:t xml:space="preserve">E-Commerce &amp; Marketing</w:t>
            </w:r>
          </w:p>
          <w:p>
            <w:pPr>
              <w:spacing w:after="30" w:before="20"/>
            </w:pPr>
            <w:r>
              <w:rPr>
                <w:rFonts w:ascii="Arial" w:cs="Arial" w:eastAsia="Arial" w:hAnsi="Arial"/>
                <w:i/>
                <w:iCs/>
                <w:color w:val="993556"/>
                <w:sz w:val="16"/>
                <w:szCs w:val="16"/>
              </w:rPr>
              <w:t xml:space="preserve">Shopify · Ads · Social · Analytics</w:t>
            </w:r>
          </w:p>
          <w:p>
            <w:pPr>
              <w:shd w:fill="F4C0D1" w:val="clear"/>
            </w:pPr>
            <w:r>
              <w:rPr>
                <w:rFonts w:ascii="Arial" w:cs="Arial" w:eastAsia="Arial" w:hAnsi="Arial"/>
                <w:b/>
                <w:bCs/>
                <w:color w:val="993556"/>
                <w:sz w:val="15"/>
                <w:szCs w:val="15"/>
              </w:rPr>
              <w:t xml:space="preserve">SETA L5</w:t>
            </w:r>
          </w:p>
        </w:tc>
        <w:tc>
          <w:tcPr>
            <w:tcW w:type="dxa" w:w="1980"/>
            <w:tcBorders>
              <w:top w:val="single" w:color="AAAAAA" w:sz="4"/>
              <w:left w:val="single" w:color="AAAAAA" w:sz="4"/>
              <w:bottom w:val="single" w:color="AAAAAA" w:sz="4"/>
              <w:right w:val="single" w:color="AAAAAA" w:sz="4"/>
            </w:tcBorders>
            <w:shd w:fill="FBEAF0" w:val="clear"/>
            <w:tcMar>
              <w:top w:type="dxa" w:w="80"/>
              <w:left w:type="dxa" w:w="100"/>
              <w:bottom w:type="dxa" w:w="80"/>
              <w:right w:type="dxa" w:w="100"/>
            </w:tcMar>
            <w:vAlign w:val="top"/>
          </w:tcPr>
          <w:p>
            <w:r>
              <w:rPr>
                <w:rFonts w:ascii="Arial" w:cs="Arial" w:eastAsia="Arial" w:hAnsi="Arial"/>
                <w:b/>
                <w:bCs/>
                <w:color w:val="993556"/>
                <w:sz w:val="19"/>
                <w:szCs w:val="19"/>
              </w:rPr>
              <w:t xml:space="preserve">Digital Business Strategy</w:t>
            </w:r>
          </w:p>
          <w:p>
            <w:pPr>
              <w:spacing w:after="30" w:before="20"/>
            </w:pPr>
            <w:r>
              <w:rPr>
                <w:rFonts w:ascii="Arial" w:cs="Arial" w:eastAsia="Arial" w:hAnsi="Arial"/>
                <w:i/>
                <w:iCs/>
                <w:color w:val="993556"/>
                <w:sz w:val="16"/>
                <w:szCs w:val="16"/>
              </w:rPr>
              <w:t xml:space="preserve">Product mgmt · Growth · Monetisation</w:t>
            </w:r>
          </w:p>
          <w:p>
            <w:pPr>
              <w:shd w:fill="F4C0D1" w:val="clear"/>
            </w:pPr>
            <w:r>
              <w:rPr>
                <w:rFonts w:ascii="Arial" w:cs="Arial" w:eastAsia="Arial" w:hAnsi="Arial"/>
                <w:b/>
                <w:bCs/>
                <w:color w:val="993556"/>
                <w:sz w:val="15"/>
                <w:szCs w:val="15"/>
              </w:rPr>
              <w:t xml:space="preserve">SETA L6</w:t>
            </w:r>
          </w:p>
        </w:tc>
        <w:tc>
          <w:tcPr>
            <w:tcW w:type="dxa" w:w="1980"/>
            <w:tcBorders>
              <w:top w:val="single" w:color="AAAAAA" w:sz="4"/>
              <w:left w:val="single" w:color="AAAAAA" w:sz="4"/>
              <w:bottom w:val="single" w:color="AAAAAA" w:sz="4"/>
              <w:right w:val="single" w:color="AAAAAA" w:sz="4"/>
            </w:tcBorders>
            <w:shd w:fill="FBEAF0" w:val="clear"/>
            <w:tcMar>
              <w:top w:type="dxa" w:w="80"/>
              <w:left w:type="dxa" w:w="100"/>
              <w:bottom w:type="dxa" w:w="80"/>
              <w:right w:type="dxa" w:w="100"/>
            </w:tcMar>
            <w:vAlign w:val="top"/>
          </w:tcPr>
          <w:p>
            <w:r>
              <w:rPr>
                <w:rFonts w:ascii="Arial" w:cs="Arial" w:eastAsia="Arial" w:hAnsi="Arial"/>
                <w:b/>
                <w:bCs/>
                <w:color w:val="993556"/>
                <w:sz w:val="19"/>
                <w:szCs w:val="19"/>
              </w:rPr>
              <w:t xml:space="preserve">Innovation &amp; Ventures</w:t>
            </w:r>
          </w:p>
          <w:p>
            <w:pPr>
              <w:spacing w:after="30" w:before="20"/>
            </w:pPr>
            <w:r>
              <w:rPr>
                <w:rFonts w:ascii="Arial" w:cs="Arial" w:eastAsia="Arial" w:hAnsi="Arial"/>
                <w:i/>
                <w:iCs/>
                <w:color w:val="993556"/>
                <w:sz w:val="16"/>
                <w:szCs w:val="16"/>
              </w:rPr>
              <w:t xml:space="preserve">Funding · Scaling · African markets</w:t>
            </w:r>
          </w:p>
          <w:p>
            <w:pPr>
              <w:shd w:fill="F4C0D1" w:val="clear"/>
            </w:pPr>
            <w:r>
              <w:rPr>
                <w:rFonts w:ascii="Arial" w:cs="Arial" w:eastAsia="Arial" w:hAnsi="Arial"/>
                <w:b/>
                <w:bCs/>
                <w:color w:val="993556"/>
                <w:sz w:val="15"/>
                <w:szCs w:val="15"/>
              </w:rPr>
              <w:t xml:space="preserve">SETA L7–L8</w:t>
            </w:r>
          </w:p>
        </w:tc>
      </w:tr>
    </w:tbl>
    <w:p>
      <w:r>
        <w:br w:type="page"/>
      </w:r>
    </w:p>
    <w:p>
      <w:pPr>
        <w:pStyle w:val="Heading1"/>
        <w:pBdr>
          <w:bottom w:val="single" w:color="185FA5" w:sz="6" w:space="6"/>
        </w:pBdr>
        <w:spacing w:after="120" w:before="360"/>
      </w:pPr>
      <w:r>
        <w:rPr>
          <w:rFonts w:ascii="Arial" w:cs="Arial" w:eastAsia="Arial" w:hAnsi="Arial"/>
          <w:b/>
          <w:bCs/>
          <w:color w:val="000000"/>
          <w:sz w:val="36"/>
          <w:szCs w:val="36"/>
        </w:rPr>
        <w:t xml:space="preserve">Level Descriptions</w:t>
      </w:r>
    </w:p>
    <w:p>
      <w:pPr>
        <w:pStyle w:val="Heading2"/>
        <w:spacing w:after="100" w:before="240"/>
      </w:pPr>
      <w:r>
        <w:rPr>
          <w:rFonts w:ascii="Arial" w:cs="Arial" w:eastAsia="Arial" w:hAnsi="Arial"/>
          <w:b/>
          <w:bCs/>
          <w:color w:val="2C2C2C"/>
          <w:sz w:val="28"/>
          <w:szCs w:val="28"/>
        </w:rPr>
        <w:t xml:space="preserve">Foundation — SETA NQF Level 3–4</w:t>
      </w:r>
    </w:p>
    <w:p>
      <w:pPr>
        <w:spacing w:after="100" w:before="0"/>
        <w:jc w:val="left"/>
      </w:pPr>
      <w:r>
        <w:rPr>
          <w:rFonts w:ascii="Arial" w:cs="Arial" w:eastAsia="Arial" w:hAnsi="Arial"/>
          <w:color w:val="2C2C2C"/>
          <w:sz w:val="22"/>
          <w:szCs w:val="22"/>
        </w:rPr>
        <w:t xml:space="preserve">Designed for school leavers, first-job seekers, and individuals entering the digital economy with no prior specialist knowledge. No formal qualifications beyond Grade 9–11 are required. Courses at this level provide practical, job-ready skills in 8–12 weeks, and are ideal for TVET partnerships, YES programme participants, and government-funded learnership pipelines.</w:t>
      </w:r>
    </w:p>
    <w:p>
      <w:pPr>
        <w:pStyle w:val="Heading2"/>
        <w:spacing w:after="100" w:before="240"/>
      </w:pPr>
      <w:r>
        <w:rPr>
          <w:rFonts w:ascii="Arial" w:cs="Arial" w:eastAsia="Arial" w:hAnsi="Arial"/>
          <w:b/>
          <w:bCs/>
          <w:color w:val="2C2C2C"/>
          <w:sz w:val="28"/>
          <w:szCs w:val="28"/>
        </w:rPr>
        <w:t xml:space="preserve">Associate — SETA NQF Level 5</w:t>
      </w:r>
    </w:p>
    <w:p>
      <w:pPr>
        <w:spacing w:after="100" w:before="0"/>
        <w:jc w:val="left"/>
      </w:pPr>
      <w:r>
        <w:rPr>
          <w:rFonts w:ascii="Arial" w:cs="Arial" w:eastAsia="Arial" w:hAnsi="Arial"/>
          <w:color w:val="2C2C2C"/>
          <w:sz w:val="22"/>
          <w:szCs w:val="22"/>
        </w:rPr>
        <w:t xml:space="preserve">Targets early-career professionals, career changers, and upskilling workers in the first 1–3 years of their career. Entry requires a Foundation certificate or equivalent work experience. Courses run 10–16 weeks and prepare learners for vendor associate certifications (AWS, Azure, Google Cloud, CompTIA, Microsoft).</w:t>
      </w:r>
    </w:p>
    <w:p>
      <w:pPr>
        <w:pStyle w:val="Heading2"/>
        <w:spacing w:after="100" w:before="240"/>
      </w:pPr>
      <w:r>
        <w:rPr>
          <w:rFonts w:ascii="Arial" w:cs="Arial" w:eastAsia="Arial" w:hAnsi="Arial"/>
          <w:b/>
          <w:bCs/>
          <w:color w:val="2C2C2C"/>
          <w:sz w:val="28"/>
          <w:szCs w:val="28"/>
        </w:rPr>
        <w:t xml:space="preserve">Professional — SETA NQF Level 6</w:t>
      </w:r>
    </w:p>
    <w:p>
      <w:pPr>
        <w:spacing w:after="100" w:before="0"/>
        <w:jc w:val="left"/>
      </w:pPr>
      <w:r>
        <w:rPr>
          <w:rFonts w:ascii="Arial" w:cs="Arial" w:eastAsia="Arial" w:hAnsi="Arial"/>
          <w:color w:val="2C2C2C"/>
          <w:sz w:val="22"/>
          <w:szCs w:val="22"/>
        </w:rPr>
        <w:t xml:space="preserve">For mid-career specialists, senior practitioners, and team leads seeking to deepen expertise or formalise experience. Courses run 12–20 weeks, include capstone projects, and align with professional certifications (AWS Solutions Architect, CISSP, Azure Expert, etc.). Learners should have 2+ years of industry experience or hold an Associate-level certificate.</w:t>
      </w:r>
    </w:p>
    <w:p>
      <w:pPr>
        <w:pStyle w:val="Heading2"/>
        <w:spacing w:after="100" w:before="240"/>
      </w:pPr>
      <w:r>
        <w:rPr>
          <w:rFonts w:ascii="Arial" w:cs="Arial" w:eastAsia="Arial" w:hAnsi="Arial"/>
          <w:b/>
          <w:bCs/>
          <w:color w:val="2C2C2C"/>
          <w:sz w:val="28"/>
          <w:szCs w:val="28"/>
        </w:rPr>
        <w:t xml:space="preserve">Enterprise — SETA NQF Level 7–8</w:t>
      </w:r>
    </w:p>
    <w:p>
      <w:pPr>
        <w:spacing w:after="100" w:before="0"/>
        <w:jc w:val="left"/>
      </w:pPr>
      <w:r>
        <w:rPr>
          <w:rFonts w:ascii="Arial" w:cs="Arial" w:eastAsia="Arial" w:hAnsi="Arial"/>
          <w:color w:val="2C2C2C"/>
          <w:sz w:val="22"/>
          <w:szCs w:val="22"/>
        </w:rPr>
        <w:t xml:space="preserve">Executive and senior leadership programmes. Targets CTOs, CISOs, CDOs, senior engineers, and strategic leaders responsible for digital transformation at organisational scale. Delivered in cohort or modular format over 16–24 weeks. Includes executive workshops, industry mentors, and board-presentation practicals.</w:t>
      </w:r>
    </w:p>
    <w:p>
      <w:r>
        <w:br w:type="page"/>
      </w:r>
    </w:p>
    <w:p>
      <w:pPr>
        <w:pStyle w:val="Heading1"/>
        <w:pBdr>
          <w:bottom w:val="single" w:color="185FA5" w:sz="6" w:space="6"/>
        </w:pBdr>
        <w:spacing w:after="120" w:before="360"/>
      </w:pPr>
      <w:r>
        <w:rPr>
          <w:rFonts w:ascii="Arial" w:cs="Arial" w:eastAsia="Arial" w:hAnsi="Arial"/>
          <w:b/>
          <w:bCs/>
          <w:color w:val="000000"/>
          <w:sz w:val="36"/>
          <w:szCs w:val="36"/>
        </w:rPr>
        <w:t xml:space="preserve">Regulatory &amp; Accreditation Framework</w:t>
      </w:r>
    </w:p>
    <w:p>
      <w:pPr>
        <w:pStyle w:val="Heading2"/>
        <w:spacing w:after="100" w:before="240"/>
      </w:pPr>
      <w:r>
        <w:rPr>
          <w:rFonts w:ascii="Arial" w:cs="Arial" w:eastAsia="Arial" w:hAnsi="Arial"/>
          <w:b/>
          <w:bCs/>
          <w:color w:val="2C2C2C"/>
          <w:sz w:val="28"/>
          <w:szCs w:val="28"/>
        </w:rPr>
        <w:t xml:space="preserve">South African Qualifications Authority (SAQA)</w:t>
      </w:r>
    </w:p>
    <w:p>
      <w:pPr>
        <w:spacing w:after="100" w:before="0"/>
        <w:jc w:val="left"/>
      </w:pPr>
      <w:r>
        <w:rPr>
          <w:rFonts w:ascii="Arial" w:cs="Arial" w:eastAsia="Arial" w:hAnsi="Arial"/>
          <w:color w:val="2C2C2C"/>
          <w:sz w:val="22"/>
          <w:szCs w:val="22"/>
        </w:rPr>
        <w:t xml:space="preserve">All GDA qualifications will be registered on the National Qualifications Framework (NQF) via SAQA. Each course maps to formal NQF unit standards with clearly stated exit-level outcomes, assessment criteria, and credit values. This enables learners to accumulate credits toward formal qualifications recognised by employers and government.</w:t>
      </w:r>
    </w:p>
    <w:p>
      <w:pPr>
        <w:pStyle w:val="Heading2"/>
        <w:spacing w:after="100" w:before="240"/>
      </w:pPr>
      <w:r>
        <w:rPr>
          <w:rFonts w:ascii="Arial" w:cs="Arial" w:eastAsia="Arial" w:hAnsi="Arial"/>
          <w:b/>
          <w:bCs/>
          <w:color w:val="2C2C2C"/>
          <w:sz w:val="28"/>
          <w:szCs w:val="28"/>
        </w:rPr>
        <w:t xml:space="preserve">Quality Council for Trades and Occupations (QCTO)</w:t>
      </w:r>
    </w:p>
    <w:p>
      <w:pPr>
        <w:spacing w:after="100" w:before="0"/>
        <w:jc w:val="left"/>
      </w:pPr>
      <w:r>
        <w:rPr>
          <w:rFonts w:ascii="Arial" w:cs="Arial" w:eastAsia="Arial" w:hAnsi="Arial"/>
          <w:color w:val="2C2C2C"/>
          <w:sz w:val="22"/>
          <w:szCs w:val="22"/>
        </w:rPr>
        <w:t xml:space="preserve">Foundation, Associate, and Professional courses will be submitted to QCTO for occupational qualification registration. This places GDA graduates on recognised occupational pathways relevant to ICT, digital media, and business services — sectors identified by the South African Government's Operation Vulindlela and Digital Economy Strategy.</w:t>
      </w:r>
    </w:p>
    <w:p>
      <w:pPr>
        <w:pStyle w:val="Heading2"/>
        <w:spacing w:after="100" w:before="240"/>
      </w:pPr>
      <w:r>
        <w:rPr>
          <w:rFonts w:ascii="Arial" w:cs="Arial" w:eastAsia="Arial" w:hAnsi="Arial"/>
          <w:b/>
          <w:bCs/>
          <w:color w:val="2C2C2C"/>
          <w:sz w:val="28"/>
          <w:szCs w:val="28"/>
        </w:rPr>
        <w:t xml:space="preserve">SETA Alignment</w:t>
      </w:r>
    </w:p>
    <w:p>
      <w:pPr>
        <w:spacing w:after="100" w:before="0"/>
        <w:jc w:val="left"/>
      </w:pPr>
      <w:r>
        <w:rPr>
          <w:rFonts w:ascii="Arial" w:cs="Arial" w:eastAsia="Arial" w:hAnsi="Arial"/>
          <w:color w:val="2C2C2C"/>
          <w:sz w:val="22"/>
          <w:szCs w:val="22"/>
        </w:rPr>
        <w:t xml:space="preserve">Courses are mapped to unit standards under MICT SETA (Media, Information and Communication Technology) and SERVICES SETA where applicable. This enables employer Skills Development Levies (SDL) to fund learner bursaries, and qualifies GDA as a provider for W&amp;RSETA, BANKSETA, and other sector SETAs.</w:t>
      </w:r>
    </w:p>
    <w:p>
      <w:pPr>
        <w:pStyle w:val="Heading2"/>
        <w:spacing w:after="100" w:before="240"/>
      </w:pPr>
      <w:r>
        <w:rPr>
          <w:rFonts w:ascii="Arial" w:cs="Arial" w:eastAsia="Arial" w:hAnsi="Arial"/>
          <w:b/>
          <w:bCs/>
          <w:color w:val="2C2C2C"/>
          <w:sz w:val="28"/>
          <w:szCs w:val="28"/>
        </w:rPr>
        <w:t xml:space="preserve">Pan-African Recognition</w:t>
      </w:r>
    </w:p>
    <w:p>
      <w:pPr>
        <w:spacing w:after="100" w:before="0"/>
        <w:jc w:val="left"/>
      </w:pPr>
      <w:r>
        <w:rPr>
          <w:rFonts w:ascii="Arial" w:cs="Arial" w:eastAsia="Arial" w:hAnsi="Arial"/>
          <w:color w:val="2C2C2C"/>
          <w:sz w:val="22"/>
          <w:szCs w:val="22"/>
        </w:rPr>
        <w:t xml:space="preserve">Curriculum content and assessments are designed to be relevant across Sub-Saharan African markets. The academy will pursue mutual recognition agreements with equivalent bodies in SADC, ECOWAS, and EAC member states, supporting learner mobility and cross-border employment opportunities in the growing African digital economy.</w:t>
      </w:r>
    </w:p>
    <w:p>
      <w:pPr>
        <w:pStyle w:val="ListParagraph"/>
        <w:numPr>
          <w:ilvl w:val="0"/>
          <w:numId w:val="2"/>
        </w:numPr>
        <w:spacing w:after="60" w:before="0"/>
      </w:pPr>
      <w:r>
        <w:rPr>
          <w:rFonts w:ascii="Arial" w:cs="Arial" w:eastAsia="Arial" w:hAnsi="Arial"/>
          <w:color w:val="2C2C2C"/>
          <w:sz w:val="22"/>
          <w:szCs w:val="22"/>
        </w:rPr>
        <w:t xml:space="preserve">SADC Qualifications Framework (SADCQF) alignment pursued from Year 2</w:t>
      </w:r>
    </w:p>
    <w:p>
      <w:pPr>
        <w:pStyle w:val="ListParagraph"/>
        <w:numPr>
          <w:ilvl w:val="0"/>
          <w:numId w:val="2"/>
        </w:numPr>
        <w:spacing w:after="60" w:before="0"/>
      </w:pPr>
      <w:r>
        <w:rPr>
          <w:rFonts w:ascii="Arial" w:cs="Arial" w:eastAsia="Arial" w:hAnsi="Arial"/>
          <w:color w:val="2C2C2C"/>
          <w:sz w:val="22"/>
          <w:szCs w:val="22"/>
        </w:rPr>
        <w:t xml:space="preserve">ECOWAS digital skills framework compatibility built into all Foundation and Associate curricula</w:t>
      </w:r>
    </w:p>
    <w:p>
      <w:pPr>
        <w:pStyle w:val="ListParagraph"/>
        <w:numPr>
          <w:ilvl w:val="0"/>
          <w:numId w:val="2"/>
        </w:numPr>
        <w:spacing w:after="60" w:before="0"/>
      </w:pPr>
      <w:r>
        <w:rPr>
          <w:rFonts w:ascii="Arial" w:cs="Arial" w:eastAsia="Arial" w:hAnsi="Arial"/>
          <w:color w:val="2C2C2C"/>
          <w:sz w:val="22"/>
          <w:szCs w:val="22"/>
        </w:rPr>
        <w:t xml:space="preserve">Partnership pathway with African Union Commission's Digital Transformation Strategy</w:t>
      </w:r>
    </w:p>
    <w:p>
      <w:pPr>
        <w:pStyle w:val="ListParagraph"/>
        <w:numPr>
          <w:ilvl w:val="0"/>
          <w:numId w:val="2"/>
        </w:numPr>
        <w:spacing w:after="60" w:before="0"/>
      </w:pPr>
      <w:r>
        <w:rPr>
          <w:rFonts w:ascii="Arial" w:cs="Arial" w:eastAsia="Arial" w:hAnsi="Arial"/>
          <w:color w:val="2C2C2C"/>
          <w:sz w:val="22"/>
          <w:szCs w:val="22"/>
        </w:rPr>
        <w:t xml:space="preserve">Content localised for South Africa with adaptation guides for Nigeria, Kenya, Ghana, and Zimbabwe</w:t>
      </w:r>
    </w:p>
    <w:p>
      <w:r>
        <w:br w:type="page"/>
      </w:r>
    </w:p>
    <w:p>
      <w:pPr>
        <w:pStyle w:val="Heading1"/>
        <w:pBdr>
          <w:bottom w:val="single" w:color="185FA5" w:sz="6" w:space="6"/>
        </w:pBdr>
        <w:spacing w:after="120" w:before="360"/>
      </w:pPr>
      <w:r>
        <w:rPr>
          <w:rFonts w:ascii="Arial" w:cs="Arial" w:eastAsia="Arial" w:hAnsi="Arial"/>
          <w:b/>
          <w:bCs/>
          <w:color w:val="000000"/>
          <w:sz w:val="36"/>
          <w:szCs w:val="36"/>
        </w:rPr>
        <w:t xml:space="preserve">Course Descriptions — All 28 Courses</w:t>
      </w:r>
    </w:p>
    <w:p>
      <w:pPr>
        <w:spacing w:after="160" w:before="0"/>
        <w:jc w:val="left"/>
      </w:pPr>
      <w:r>
        <w:rPr>
          <w:rFonts w:ascii="Arial" w:cs="Arial" w:eastAsia="Arial" w:hAnsi="Arial"/>
          <w:color w:val="2C2C2C"/>
          <w:sz w:val="22"/>
          <w:szCs w:val="22"/>
        </w:rPr>
        <w:t xml:space="preserve">Each course below is mapped to a SETA NQF level and designed to stack progressively within its track. Courses are suitable for accreditation under QCTO and SAQA frameworks.</w:t>
      </w:r>
    </w:p>
    <w:p>
      <w:pPr>
        <w:pStyle w:val="Heading2"/>
        <w:spacing w:after="100" w:before="240"/>
      </w:pPr>
      <w:r>
        <w:rPr>
          <w:rFonts w:ascii="Arial" w:cs="Arial" w:eastAsia="Arial" w:hAnsi="Arial"/>
          <w:b/>
          <w:bCs/>
          <w:color w:val="2C2C2C"/>
          <w:sz w:val="28"/>
          <w:szCs w:val="28"/>
        </w:rPr>
        <w:t xml:space="preserve">Cloud Computing</w:t>
      </w:r>
    </w:p>
    <w:p>
      <w:pPr>
        <w:pBdr>
          <w:bottom w:val="single" w:color="D3D1C7" w:sz="2" w:space="4"/>
        </w:pBdr>
        <w:spacing w:after="60" w:before="200"/>
      </w:pPr>
      <w:r>
        <w:rPr>
          <w:rFonts w:ascii="Arial" w:cs="Arial" w:eastAsia="Arial" w:hAnsi="Arial"/>
          <w:b/>
          <w:bCs/>
          <w:color w:val="000000"/>
          <w:sz w:val="24"/>
          <w:szCs w:val="24"/>
        </w:rPr>
        <w:t xml:space="preserve">Cloud Launchpad</w:t>
      </w:r>
      <w:r>
        <w:rPr>
          <w:rFonts w:ascii="Arial" w:cs="Arial" w:eastAsia="Arial" w:hAnsi="Arial"/>
          <w:i/>
          <w:iCs/>
          <w:color w:val="5F5E5A"/>
          <w:sz w:val="20"/>
          <w:szCs w:val="20"/>
        </w:rPr>
        <w:t xml:space="preserve">   Foundation — SETA L3–L4</w:t>
      </w:r>
      <w:r>
        <w:rPr>
          <w:rFonts w:ascii="Arial" w:cs="Arial" w:eastAsia="Arial" w:hAnsi="Arial"/>
          <w:b/>
          <w:bCs/>
          <w:color w:val="185FA5"/>
          <w:sz w:val="19"/>
          <w:szCs w:val="19"/>
        </w:rPr>
        <w:t xml:space="preserve">  ★ First course to be fully developed</w:t>
      </w:r>
    </w:p>
    <w:p>
      <w:pPr>
        <w:spacing w:after="80" w:before="0"/>
        <w:jc w:val="left"/>
      </w:pPr>
      <w:r>
        <w:rPr>
          <w:rFonts w:ascii="Arial" w:cs="Arial" w:eastAsia="Arial" w:hAnsi="Arial"/>
          <w:color w:val="2C2C2C"/>
          <w:sz w:val="22"/>
          <w:szCs w:val="22"/>
        </w:rPr>
        <w:t xml:space="preserve">The gateway to cloud computing, designed for school leavers and early-career individuals. Covers fundamentals of cloud infrastructure, networking, security, and Linux. Fully mapped to SETA unit standards. Prepares learners for AWS Cloud Practitioner or Microsoft Azure Fundamentals certifications.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Explain core cloud concepts: IaaS, PaaS, SaaS</w:t>
      </w:r>
    </w:p>
    <w:p>
      <w:pPr>
        <w:pStyle w:val="ListParagraph"/>
        <w:numPr>
          <w:ilvl w:val="0"/>
          <w:numId w:val="2"/>
        </w:numPr>
        <w:spacing w:after="60" w:before="0"/>
      </w:pPr>
      <w:r>
        <w:rPr>
          <w:rFonts w:ascii="Arial" w:cs="Arial" w:eastAsia="Arial" w:hAnsi="Arial"/>
          <w:color w:val="2C2C2C"/>
          <w:sz w:val="22"/>
          <w:szCs w:val="22"/>
        </w:rPr>
        <w:t xml:space="preserve">Navigate the Linux command line confidently</w:t>
      </w:r>
    </w:p>
    <w:p>
      <w:pPr>
        <w:pStyle w:val="ListParagraph"/>
        <w:numPr>
          <w:ilvl w:val="0"/>
          <w:numId w:val="2"/>
        </w:numPr>
        <w:spacing w:after="60" w:before="0"/>
      </w:pPr>
      <w:r>
        <w:rPr>
          <w:rFonts w:ascii="Arial" w:cs="Arial" w:eastAsia="Arial" w:hAnsi="Arial"/>
          <w:color w:val="2C2C2C"/>
          <w:sz w:val="22"/>
          <w:szCs w:val="22"/>
        </w:rPr>
        <w:t xml:space="preserve">Understand IP networking, DNS, and firewalls</w:t>
      </w:r>
    </w:p>
    <w:p>
      <w:pPr>
        <w:pStyle w:val="ListParagraph"/>
        <w:numPr>
          <w:ilvl w:val="0"/>
          <w:numId w:val="2"/>
        </w:numPr>
        <w:spacing w:after="60" w:before="0"/>
      </w:pPr>
      <w:r>
        <w:rPr>
          <w:rFonts w:ascii="Arial" w:cs="Arial" w:eastAsia="Arial" w:hAnsi="Arial"/>
          <w:color w:val="2C2C2C"/>
          <w:sz w:val="22"/>
          <w:szCs w:val="22"/>
        </w:rPr>
        <w:t xml:space="preserve">Describe shared responsibility in cloud security</w:t>
      </w:r>
    </w:p>
    <w:p>
      <w:pPr>
        <w:pStyle w:val="ListParagraph"/>
        <w:numPr>
          <w:ilvl w:val="0"/>
          <w:numId w:val="2"/>
        </w:numPr>
        <w:spacing w:after="60" w:before="0"/>
      </w:pPr>
      <w:r>
        <w:rPr>
          <w:rFonts w:ascii="Arial" w:cs="Arial" w:eastAsia="Arial" w:hAnsi="Arial"/>
          <w:color w:val="2C2C2C"/>
          <w:sz w:val="22"/>
          <w:szCs w:val="22"/>
        </w:rPr>
        <w:t xml:space="preserve">Deploy a simple workload on AWS or Azure</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Cloud Practitioner Pro</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Builds on foundation skills with hands-on experience in cloud service configuration, identity and access management, object storage, and compute services. Aligned to AWS Cloud Practitioner and Azure Fundamentals certification tracks.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Configure IAM users, roles, and policies</w:t>
      </w:r>
    </w:p>
    <w:p>
      <w:pPr>
        <w:pStyle w:val="ListParagraph"/>
        <w:numPr>
          <w:ilvl w:val="0"/>
          <w:numId w:val="2"/>
        </w:numPr>
        <w:spacing w:after="60" w:before="0"/>
      </w:pPr>
      <w:r>
        <w:rPr>
          <w:rFonts w:ascii="Arial" w:cs="Arial" w:eastAsia="Arial" w:hAnsi="Arial"/>
          <w:color w:val="2C2C2C"/>
          <w:sz w:val="22"/>
          <w:szCs w:val="22"/>
        </w:rPr>
        <w:t xml:space="preserve">Deploy and manage virtual machines</w:t>
      </w:r>
    </w:p>
    <w:p>
      <w:pPr>
        <w:pStyle w:val="ListParagraph"/>
        <w:numPr>
          <w:ilvl w:val="0"/>
          <w:numId w:val="2"/>
        </w:numPr>
        <w:spacing w:after="60" w:before="0"/>
      </w:pPr>
      <w:r>
        <w:rPr>
          <w:rFonts w:ascii="Arial" w:cs="Arial" w:eastAsia="Arial" w:hAnsi="Arial"/>
          <w:color w:val="2C2C2C"/>
          <w:sz w:val="22"/>
          <w:szCs w:val="22"/>
        </w:rPr>
        <w:t xml:space="preserve">Work with object and block storage services</w:t>
      </w:r>
    </w:p>
    <w:p>
      <w:pPr>
        <w:pStyle w:val="ListParagraph"/>
        <w:numPr>
          <w:ilvl w:val="0"/>
          <w:numId w:val="2"/>
        </w:numPr>
        <w:spacing w:after="60" w:before="0"/>
      </w:pPr>
      <w:r>
        <w:rPr>
          <w:rFonts w:ascii="Arial" w:cs="Arial" w:eastAsia="Arial" w:hAnsi="Arial"/>
          <w:color w:val="2C2C2C"/>
          <w:sz w:val="22"/>
          <w:szCs w:val="22"/>
        </w:rPr>
        <w:t xml:space="preserve">Monitor cloud resources and set billing alerts</w:t>
      </w:r>
    </w:p>
    <w:p>
      <w:pPr>
        <w:pStyle w:val="ListParagraph"/>
        <w:numPr>
          <w:ilvl w:val="0"/>
          <w:numId w:val="2"/>
        </w:numPr>
        <w:spacing w:after="60" w:before="0"/>
      </w:pPr>
      <w:r>
        <w:rPr>
          <w:rFonts w:ascii="Arial" w:cs="Arial" w:eastAsia="Arial" w:hAnsi="Arial"/>
          <w:color w:val="2C2C2C"/>
          <w:sz w:val="22"/>
          <w:szCs w:val="22"/>
        </w:rPr>
        <w:t xml:space="preserve">Understand cloud compliance and shared responsibility</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Cloud Architect</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Equips learners to design resilient, scalable cloud architectures. Covers high-availability patterns, disaster recovery, multi-region deployments, and cost optimisation. Aligned to AWS Solutions Architect Associate and Azure Solutions Architect Expert.</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Design fault-tolerant, highly available systems</w:t>
      </w:r>
    </w:p>
    <w:p>
      <w:pPr>
        <w:pStyle w:val="ListParagraph"/>
        <w:numPr>
          <w:ilvl w:val="0"/>
          <w:numId w:val="2"/>
        </w:numPr>
        <w:spacing w:after="60" w:before="0"/>
      </w:pPr>
      <w:r>
        <w:rPr>
          <w:rFonts w:ascii="Arial" w:cs="Arial" w:eastAsia="Arial" w:hAnsi="Arial"/>
          <w:color w:val="2C2C2C"/>
          <w:sz w:val="22"/>
          <w:szCs w:val="22"/>
        </w:rPr>
        <w:t xml:space="preserve">Apply the Well-Architected Framework</w:t>
      </w:r>
    </w:p>
    <w:p>
      <w:pPr>
        <w:pStyle w:val="ListParagraph"/>
        <w:numPr>
          <w:ilvl w:val="0"/>
          <w:numId w:val="2"/>
        </w:numPr>
        <w:spacing w:after="60" w:before="0"/>
      </w:pPr>
      <w:r>
        <w:rPr>
          <w:rFonts w:ascii="Arial" w:cs="Arial" w:eastAsia="Arial" w:hAnsi="Arial"/>
          <w:color w:val="2C2C2C"/>
          <w:sz w:val="22"/>
          <w:szCs w:val="22"/>
        </w:rPr>
        <w:t xml:space="preserve">Implement disaster recovery strategies</w:t>
      </w:r>
    </w:p>
    <w:p>
      <w:pPr>
        <w:pStyle w:val="ListParagraph"/>
        <w:numPr>
          <w:ilvl w:val="0"/>
          <w:numId w:val="2"/>
        </w:numPr>
        <w:spacing w:after="60" w:before="0"/>
      </w:pPr>
      <w:r>
        <w:rPr>
          <w:rFonts w:ascii="Arial" w:cs="Arial" w:eastAsia="Arial" w:hAnsi="Arial"/>
          <w:color w:val="2C2C2C"/>
          <w:sz w:val="22"/>
          <w:szCs w:val="22"/>
        </w:rPr>
        <w:t xml:space="preserve">Optimise cloud spend and resource utilisation</w:t>
      </w:r>
    </w:p>
    <w:p>
      <w:pPr>
        <w:pStyle w:val="ListParagraph"/>
        <w:numPr>
          <w:ilvl w:val="0"/>
          <w:numId w:val="2"/>
        </w:numPr>
        <w:spacing w:after="60" w:before="0"/>
      </w:pPr>
      <w:r>
        <w:rPr>
          <w:rFonts w:ascii="Arial" w:cs="Arial" w:eastAsia="Arial" w:hAnsi="Arial"/>
          <w:color w:val="2C2C2C"/>
          <w:sz w:val="22"/>
          <w:szCs w:val="22"/>
        </w:rPr>
        <w:t xml:space="preserve">Document and present architecture decisions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Multi-Cloud Enterprise</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Senior-level programme for architects and technology leaders. Covers enterprise cloud governance, FinOps practices, landing zone design, multi-cloud strategy, and organisational cloud maturity.</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Define cloud governance policies and guardrails</w:t>
      </w:r>
    </w:p>
    <w:p>
      <w:pPr>
        <w:pStyle w:val="ListParagraph"/>
        <w:numPr>
          <w:ilvl w:val="0"/>
          <w:numId w:val="2"/>
        </w:numPr>
        <w:spacing w:after="60" w:before="0"/>
      </w:pPr>
      <w:r>
        <w:rPr>
          <w:rFonts w:ascii="Arial" w:cs="Arial" w:eastAsia="Arial" w:hAnsi="Arial"/>
          <w:color w:val="2C2C2C"/>
          <w:sz w:val="22"/>
          <w:szCs w:val="22"/>
        </w:rPr>
        <w:t xml:space="preserve">Design and implement enterprise landing zones</w:t>
      </w:r>
    </w:p>
    <w:p>
      <w:pPr>
        <w:pStyle w:val="ListParagraph"/>
        <w:numPr>
          <w:ilvl w:val="0"/>
          <w:numId w:val="2"/>
        </w:numPr>
        <w:spacing w:after="60" w:before="0"/>
      </w:pPr>
      <w:r>
        <w:rPr>
          <w:rFonts w:ascii="Arial" w:cs="Arial" w:eastAsia="Arial" w:hAnsi="Arial"/>
          <w:color w:val="2C2C2C"/>
          <w:sz w:val="22"/>
          <w:szCs w:val="22"/>
        </w:rPr>
        <w:t xml:space="preserve">Lead FinOps practices across business units</w:t>
      </w:r>
    </w:p>
    <w:p>
      <w:pPr>
        <w:pStyle w:val="ListParagraph"/>
        <w:numPr>
          <w:ilvl w:val="0"/>
          <w:numId w:val="2"/>
        </w:numPr>
        <w:spacing w:after="60" w:before="0"/>
      </w:pPr>
      <w:r>
        <w:rPr>
          <w:rFonts w:ascii="Arial" w:cs="Arial" w:eastAsia="Arial" w:hAnsi="Arial"/>
          <w:color w:val="2C2C2C"/>
          <w:sz w:val="22"/>
          <w:szCs w:val="22"/>
        </w:rPr>
        <w:t xml:space="preserve">Evaluate and select multi-cloud vendors</w:t>
      </w:r>
    </w:p>
    <w:p>
      <w:pPr>
        <w:pStyle w:val="ListParagraph"/>
        <w:numPr>
          <w:ilvl w:val="0"/>
          <w:numId w:val="2"/>
        </w:numPr>
        <w:spacing w:after="60" w:before="0"/>
      </w:pPr>
      <w:r>
        <w:rPr>
          <w:rFonts w:ascii="Arial" w:cs="Arial" w:eastAsia="Arial" w:hAnsi="Arial"/>
          <w:color w:val="2C2C2C"/>
          <w:sz w:val="22"/>
          <w:szCs w:val="22"/>
        </w:rPr>
        <w:t xml:space="preserve">Present cloud strategy to executive stakeholders</w:t>
      </w:r>
    </w:p>
    <w:p>
      <w:pPr>
        <w:spacing w:after="0" w:before="0"/>
      </w:pPr>
      <w:r>
        <w:t xml:space="preserve"/>
      </w:r>
    </w:p>
    <w:p>
      <w:pPr>
        <w:pStyle w:val="Heading2"/>
        <w:spacing w:after="100" w:before="240"/>
      </w:pPr>
      <w:r>
        <w:rPr>
          <w:rFonts w:ascii="Arial" w:cs="Arial" w:eastAsia="Arial" w:hAnsi="Arial"/>
          <w:b/>
          <w:bCs/>
          <w:color w:val="2C2C2C"/>
          <w:sz w:val="28"/>
          <w:szCs w:val="28"/>
        </w:rPr>
        <w:t xml:space="preserve">AI &amp; Machine Learning</w:t>
      </w:r>
    </w:p>
    <w:p>
      <w:pPr>
        <w:pBdr>
          <w:bottom w:val="single" w:color="D3D1C7" w:sz="2" w:space="4"/>
        </w:pBdr>
        <w:spacing w:after="60" w:before="200"/>
      </w:pPr>
      <w:r>
        <w:rPr>
          <w:rFonts w:ascii="Arial" w:cs="Arial" w:eastAsia="Arial" w:hAnsi="Arial"/>
          <w:b/>
          <w:bCs/>
          <w:color w:val="000000"/>
          <w:sz w:val="24"/>
          <w:szCs w:val="24"/>
        </w:rPr>
        <w:t xml:space="preserve">AI Fundamentals</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An accessible introduction to artificial intelligence for non-technical learners. Covers how AI works, the role of data, everyday AI applications, prompt engineering, and responsible AI use. No prior coding required.</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Describe what AI, ML, and deep learning are</w:t>
      </w:r>
    </w:p>
    <w:p>
      <w:pPr>
        <w:pStyle w:val="ListParagraph"/>
        <w:numPr>
          <w:ilvl w:val="0"/>
          <w:numId w:val="2"/>
        </w:numPr>
        <w:spacing w:after="60" w:before="0"/>
      </w:pPr>
      <w:r>
        <w:rPr>
          <w:rFonts w:ascii="Arial" w:cs="Arial" w:eastAsia="Arial" w:hAnsi="Arial"/>
          <w:color w:val="2C2C2C"/>
          <w:sz w:val="22"/>
          <w:szCs w:val="22"/>
        </w:rPr>
        <w:t xml:space="preserve">Use generative AI tools productively and safely</w:t>
      </w:r>
    </w:p>
    <w:p>
      <w:pPr>
        <w:pStyle w:val="ListParagraph"/>
        <w:numPr>
          <w:ilvl w:val="0"/>
          <w:numId w:val="2"/>
        </w:numPr>
        <w:spacing w:after="60" w:before="0"/>
      </w:pPr>
      <w:r>
        <w:rPr>
          <w:rFonts w:ascii="Arial" w:cs="Arial" w:eastAsia="Arial" w:hAnsi="Arial"/>
          <w:color w:val="2C2C2C"/>
          <w:sz w:val="22"/>
          <w:szCs w:val="22"/>
        </w:rPr>
        <w:t xml:space="preserve">Identify AI applications in everyday business</w:t>
      </w:r>
    </w:p>
    <w:p>
      <w:pPr>
        <w:pStyle w:val="ListParagraph"/>
        <w:numPr>
          <w:ilvl w:val="0"/>
          <w:numId w:val="2"/>
        </w:numPr>
        <w:spacing w:after="60" w:before="0"/>
      </w:pPr>
      <w:r>
        <w:rPr>
          <w:rFonts w:ascii="Arial" w:cs="Arial" w:eastAsia="Arial" w:hAnsi="Arial"/>
          <w:color w:val="2C2C2C"/>
          <w:sz w:val="22"/>
          <w:szCs w:val="22"/>
        </w:rPr>
        <w:t xml:space="preserve">Understand basic AI ethics and bias</w:t>
      </w:r>
    </w:p>
    <w:p>
      <w:pPr>
        <w:pStyle w:val="ListParagraph"/>
        <w:numPr>
          <w:ilvl w:val="0"/>
          <w:numId w:val="2"/>
        </w:numPr>
        <w:spacing w:after="60" w:before="0"/>
      </w:pPr>
      <w:r>
        <w:rPr>
          <w:rFonts w:ascii="Arial" w:cs="Arial" w:eastAsia="Arial" w:hAnsi="Arial"/>
          <w:color w:val="2C2C2C"/>
          <w:sz w:val="22"/>
          <w:szCs w:val="22"/>
        </w:rPr>
        <w:t xml:space="preserve">Craft effective prompts for AI tools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ML Essentials</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Practical machine learning using Python. Covers data wrangling, supervised and unsupervised learning, model evaluation, and interpretation. Uses scikit-learn and real South African datasets.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Prepare and clean data for ML pipelines</w:t>
      </w:r>
    </w:p>
    <w:p>
      <w:pPr>
        <w:pStyle w:val="ListParagraph"/>
        <w:numPr>
          <w:ilvl w:val="0"/>
          <w:numId w:val="2"/>
        </w:numPr>
        <w:spacing w:after="60" w:before="0"/>
      </w:pPr>
      <w:r>
        <w:rPr>
          <w:rFonts w:ascii="Arial" w:cs="Arial" w:eastAsia="Arial" w:hAnsi="Arial"/>
          <w:color w:val="2C2C2C"/>
          <w:sz w:val="22"/>
          <w:szCs w:val="22"/>
        </w:rPr>
        <w:t xml:space="preserve">Train and evaluate classification and regression models</w:t>
      </w:r>
    </w:p>
    <w:p>
      <w:pPr>
        <w:pStyle w:val="ListParagraph"/>
        <w:numPr>
          <w:ilvl w:val="0"/>
          <w:numId w:val="2"/>
        </w:numPr>
        <w:spacing w:after="60" w:before="0"/>
      </w:pPr>
      <w:r>
        <w:rPr>
          <w:rFonts w:ascii="Arial" w:cs="Arial" w:eastAsia="Arial" w:hAnsi="Arial"/>
          <w:color w:val="2C2C2C"/>
          <w:sz w:val="22"/>
          <w:szCs w:val="22"/>
        </w:rPr>
        <w:t xml:space="preserve">Apply clustering and dimensionality reduction</w:t>
      </w:r>
    </w:p>
    <w:p>
      <w:pPr>
        <w:pStyle w:val="ListParagraph"/>
        <w:numPr>
          <w:ilvl w:val="0"/>
          <w:numId w:val="2"/>
        </w:numPr>
        <w:spacing w:after="60" w:before="0"/>
      </w:pPr>
      <w:r>
        <w:rPr>
          <w:rFonts w:ascii="Arial" w:cs="Arial" w:eastAsia="Arial" w:hAnsi="Arial"/>
          <w:color w:val="2C2C2C"/>
          <w:sz w:val="22"/>
          <w:szCs w:val="22"/>
        </w:rPr>
        <w:t xml:space="preserve">Interpret model outputs and communicate results</w:t>
      </w:r>
    </w:p>
    <w:p>
      <w:pPr>
        <w:pStyle w:val="ListParagraph"/>
        <w:numPr>
          <w:ilvl w:val="0"/>
          <w:numId w:val="2"/>
        </w:numPr>
        <w:spacing w:after="60" w:before="0"/>
      </w:pPr>
      <w:r>
        <w:rPr>
          <w:rFonts w:ascii="Arial" w:cs="Arial" w:eastAsia="Arial" w:hAnsi="Arial"/>
          <w:color w:val="2C2C2C"/>
          <w:sz w:val="22"/>
          <w:szCs w:val="22"/>
        </w:rPr>
        <w:t xml:space="preserve">Use Python, pandas, and scikit-learn fluently</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Applied AI Engineering</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Engineering-level course covering large language models, retrieval-augmented generation, AI APIs, vector databases, and MLOps. Learners build production-ready AI-powered applications.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Integrate LLM APIs into real applications</w:t>
      </w:r>
    </w:p>
    <w:p>
      <w:pPr>
        <w:pStyle w:val="ListParagraph"/>
        <w:numPr>
          <w:ilvl w:val="0"/>
          <w:numId w:val="2"/>
        </w:numPr>
        <w:spacing w:after="60" w:before="0"/>
      </w:pPr>
      <w:r>
        <w:rPr>
          <w:rFonts w:ascii="Arial" w:cs="Arial" w:eastAsia="Arial" w:hAnsi="Arial"/>
          <w:color w:val="2C2C2C"/>
          <w:sz w:val="22"/>
          <w:szCs w:val="22"/>
        </w:rPr>
        <w:t xml:space="preserve">Build RAG systems with vector databases</w:t>
      </w:r>
    </w:p>
    <w:p>
      <w:pPr>
        <w:pStyle w:val="ListParagraph"/>
        <w:numPr>
          <w:ilvl w:val="0"/>
          <w:numId w:val="2"/>
        </w:numPr>
        <w:spacing w:after="60" w:before="0"/>
      </w:pPr>
      <w:r>
        <w:rPr>
          <w:rFonts w:ascii="Arial" w:cs="Arial" w:eastAsia="Arial" w:hAnsi="Arial"/>
          <w:color w:val="2C2C2C"/>
          <w:sz w:val="22"/>
          <w:szCs w:val="22"/>
        </w:rPr>
        <w:t xml:space="preserve">Design and deploy MLOps pipelines</w:t>
      </w:r>
    </w:p>
    <w:p>
      <w:pPr>
        <w:pStyle w:val="ListParagraph"/>
        <w:numPr>
          <w:ilvl w:val="0"/>
          <w:numId w:val="2"/>
        </w:numPr>
        <w:spacing w:after="60" w:before="0"/>
      </w:pPr>
      <w:r>
        <w:rPr>
          <w:rFonts w:ascii="Arial" w:cs="Arial" w:eastAsia="Arial" w:hAnsi="Arial"/>
          <w:color w:val="2C2C2C"/>
          <w:sz w:val="22"/>
          <w:szCs w:val="22"/>
        </w:rPr>
        <w:t xml:space="preserve">Evaluate LLM outputs for quality and safety</w:t>
      </w:r>
    </w:p>
    <w:p>
      <w:pPr>
        <w:pStyle w:val="ListParagraph"/>
        <w:numPr>
          <w:ilvl w:val="0"/>
          <w:numId w:val="2"/>
        </w:numPr>
        <w:spacing w:after="60" w:before="0"/>
      </w:pPr>
      <w:r>
        <w:rPr>
          <w:rFonts w:ascii="Arial" w:cs="Arial" w:eastAsia="Arial" w:hAnsi="Arial"/>
          <w:color w:val="2C2C2C"/>
          <w:sz w:val="22"/>
          <w:szCs w:val="22"/>
        </w:rPr>
        <w:t xml:space="preserve">Apply responsible AI principles in production</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AI Strategy &amp; Enterprise</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Executive-level programme for leaders driving AI adoption. Covers AI governance frameworks, measuring ROI on AI investments, responsible AI policies, and managing AI-related organisational change.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Develop an enterprise AI strategy and roadmap</w:t>
      </w:r>
    </w:p>
    <w:p>
      <w:pPr>
        <w:pStyle w:val="ListParagraph"/>
        <w:numPr>
          <w:ilvl w:val="0"/>
          <w:numId w:val="2"/>
        </w:numPr>
        <w:spacing w:after="60" w:before="0"/>
      </w:pPr>
      <w:r>
        <w:rPr>
          <w:rFonts w:ascii="Arial" w:cs="Arial" w:eastAsia="Arial" w:hAnsi="Arial"/>
          <w:color w:val="2C2C2C"/>
          <w:sz w:val="22"/>
          <w:szCs w:val="22"/>
        </w:rPr>
        <w:t xml:space="preserve">Build AI governance and ethics frameworks</w:t>
      </w:r>
    </w:p>
    <w:p>
      <w:pPr>
        <w:pStyle w:val="ListParagraph"/>
        <w:numPr>
          <w:ilvl w:val="0"/>
          <w:numId w:val="2"/>
        </w:numPr>
        <w:spacing w:after="60" w:before="0"/>
      </w:pPr>
      <w:r>
        <w:rPr>
          <w:rFonts w:ascii="Arial" w:cs="Arial" w:eastAsia="Arial" w:hAnsi="Arial"/>
          <w:color w:val="2C2C2C"/>
          <w:sz w:val="22"/>
          <w:szCs w:val="22"/>
        </w:rPr>
        <w:t xml:space="preserve">Measure and communicate AI business value</w:t>
      </w:r>
    </w:p>
    <w:p>
      <w:pPr>
        <w:pStyle w:val="ListParagraph"/>
        <w:numPr>
          <w:ilvl w:val="0"/>
          <w:numId w:val="2"/>
        </w:numPr>
        <w:spacing w:after="60" w:before="0"/>
      </w:pPr>
      <w:r>
        <w:rPr>
          <w:rFonts w:ascii="Arial" w:cs="Arial" w:eastAsia="Arial" w:hAnsi="Arial"/>
          <w:color w:val="2C2C2C"/>
          <w:sz w:val="22"/>
          <w:szCs w:val="22"/>
        </w:rPr>
        <w:t xml:space="preserve">Manage AI-related risk and compliance</w:t>
      </w:r>
    </w:p>
    <w:p>
      <w:pPr>
        <w:pStyle w:val="ListParagraph"/>
        <w:numPr>
          <w:ilvl w:val="0"/>
          <w:numId w:val="2"/>
        </w:numPr>
        <w:spacing w:after="60" w:before="0"/>
      </w:pPr>
      <w:r>
        <w:rPr>
          <w:rFonts w:ascii="Arial" w:cs="Arial" w:eastAsia="Arial" w:hAnsi="Arial"/>
          <w:color w:val="2C2C2C"/>
          <w:sz w:val="22"/>
          <w:szCs w:val="22"/>
        </w:rPr>
        <w:t xml:space="preserve">Lead AI transformation across departments</w:t>
      </w:r>
    </w:p>
    <w:p>
      <w:pPr>
        <w:spacing w:after="0" w:before="0"/>
      </w:pPr>
      <w:r>
        <w:t xml:space="preserve"/>
      </w:r>
    </w:p>
    <w:p>
      <w:pPr>
        <w:pStyle w:val="Heading2"/>
        <w:spacing w:after="100" w:before="240"/>
      </w:pPr>
      <w:r>
        <w:rPr>
          <w:rFonts w:ascii="Arial" w:cs="Arial" w:eastAsia="Arial" w:hAnsi="Arial"/>
          <w:b/>
          <w:bCs/>
          <w:color w:val="2C2C2C"/>
          <w:sz w:val="28"/>
          <w:szCs w:val="28"/>
        </w:rPr>
        <w:t xml:space="preserve">Cybersecurity</w:t>
      </w:r>
    </w:p>
    <w:p>
      <w:pPr>
        <w:pBdr>
          <w:bottom w:val="single" w:color="D3D1C7" w:sz="2" w:space="4"/>
        </w:pBdr>
        <w:spacing w:after="60" w:before="200"/>
      </w:pPr>
      <w:r>
        <w:rPr>
          <w:rFonts w:ascii="Arial" w:cs="Arial" w:eastAsia="Arial" w:hAnsi="Arial"/>
          <w:b/>
          <w:bCs/>
          <w:color w:val="000000"/>
          <w:sz w:val="24"/>
          <w:szCs w:val="24"/>
        </w:rPr>
        <w:t xml:space="preserve">Cyber Essentials</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Digital safety fundamentals for all workers. Covers common threats, safe browsing, password security, phishing awareness, device security, and data protection under POPIA. No technical background needed.</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Identify common cybersecurity threats and scams</w:t>
      </w:r>
    </w:p>
    <w:p>
      <w:pPr>
        <w:pStyle w:val="ListParagraph"/>
        <w:numPr>
          <w:ilvl w:val="0"/>
          <w:numId w:val="2"/>
        </w:numPr>
        <w:spacing w:after="60" w:before="0"/>
      </w:pPr>
      <w:r>
        <w:rPr>
          <w:rFonts w:ascii="Arial" w:cs="Arial" w:eastAsia="Arial" w:hAnsi="Arial"/>
          <w:color w:val="2C2C2C"/>
          <w:sz w:val="22"/>
          <w:szCs w:val="22"/>
        </w:rPr>
        <w:t xml:space="preserve">Apply strong password and authentication practices</w:t>
      </w:r>
    </w:p>
    <w:p>
      <w:pPr>
        <w:pStyle w:val="ListParagraph"/>
        <w:numPr>
          <w:ilvl w:val="0"/>
          <w:numId w:val="2"/>
        </w:numPr>
        <w:spacing w:after="60" w:before="0"/>
      </w:pPr>
      <w:r>
        <w:rPr>
          <w:rFonts w:ascii="Arial" w:cs="Arial" w:eastAsia="Arial" w:hAnsi="Arial"/>
          <w:color w:val="2C2C2C"/>
          <w:sz w:val="22"/>
          <w:szCs w:val="22"/>
        </w:rPr>
        <w:t xml:space="preserve">Recognise and report phishing attempts</w:t>
      </w:r>
    </w:p>
    <w:p>
      <w:pPr>
        <w:pStyle w:val="ListParagraph"/>
        <w:numPr>
          <w:ilvl w:val="0"/>
          <w:numId w:val="2"/>
        </w:numPr>
        <w:spacing w:after="60" w:before="0"/>
      </w:pPr>
      <w:r>
        <w:rPr>
          <w:rFonts w:ascii="Arial" w:cs="Arial" w:eastAsia="Arial" w:hAnsi="Arial"/>
          <w:color w:val="2C2C2C"/>
          <w:sz w:val="22"/>
          <w:szCs w:val="22"/>
        </w:rPr>
        <w:t xml:space="preserve">Secure personal and work devices</w:t>
      </w:r>
    </w:p>
    <w:p>
      <w:pPr>
        <w:pStyle w:val="ListParagraph"/>
        <w:numPr>
          <w:ilvl w:val="0"/>
          <w:numId w:val="2"/>
        </w:numPr>
        <w:spacing w:after="60" w:before="0"/>
      </w:pPr>
      <w:r>
        <w:rPr>
          <w:rFonts w:ascii="Arial" w:cs="Arial" w:eastAsia="Arial" w:hAnsi="Arial"/>
          <w:color w:val="2C2C2C"/>
          <w:sz w:val="22"/>
          <w:szCs w:val="22"/>
        </w:rPr>
        <w:t xml:space="preserve">Understand rights and obligations under POPIA</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Ethical Hacking</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Hands-on penetration testing and ethical hacking. Uses Kali Linux to perform reconnaissance, scanning, exploitation, and reporting. Aligned to CompTIA Security+ certification and EC-Council CEH fundamentals.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Perform structured penetration testing engagements</w:t>
      </w:r>
    </w:p>
    <w:p>
      <w:pPr>
        <w:pStyle w:val="ListParagraph"/>
        <w:numPr>
          <w:ilvl w:val="0"/>
          <w:numId w:val="2"/>
        </w:numPr>
        <w:spacing w:after="60" w:before="0"/>
      </w:pPr>
      <w:r>
        <w:rPr>
          <w:rFonts w:ascii="Arial" w:cs="Arial" w:eastAsia="Arial" w:hAnsi="Arial"/>
          <w:color w:val="2C2C2C"/>
          <w:sz w:val="22"/>
          <w:szCs w:val="22"/>
        </w:rPr>
        <w:t xml:space="preserve">Use Kali Linux tools for scanning and exploitation</w:t>
      </w:r>
    </w:p>
    <w:p>
      <w:pPr>
        <w:pStyle w:val="ListParagraph"/>
        <w:numPr>
          <w:ilvl w:val="0"/>
          <w:numId w:val="2"/>
        </w:numPr>
        <w:spacing w:after="60" w:before="0"/>
      </w:pPr>
      <w:r>
        <w:rPr>
          <w:rFonts w:ascii="Arial" w:cs="Arial" w:eastAsia="Arial" w:hAnsi="Arial"/>
          <w:color w:val="2C2C2C"/>
          <w:sz w:val="22"/>
          <w:szCs w:val="22"/>
        </w:rPr>
        <w:t xml:space="preserve">Write professional security assessment reports</w:t>
      </w:r>
    </w:p>
    <w:p>
      <w:pPr>
        <w:pStyle w:val="ListParagraph"/>
        <w:numPr>
          <w:ilvl w:val="0"/>
          <w:numId w:val="2"/>
        </w:numPr>
        <w:spacing w:after="60" w:before="0"/>
      </w:pPr>
      <w:r>
        <w:rPr>
          <w:rFonts w:ascii="Arial" w:cs="Arial" w:eastAsia="Arial" w:hAnsi="Arial"/>
          <w:color w:val="2C2C2C"/>
          <w:sz w:val="22"/>
          <w:szCs w:val="22"/>
        </w:rPr>
        <w:t xml:space="preserve">Understand and apply responsible disclosure</w:t>
      </w:r>
    </w:p>
    <w:p>
      <w:pPr>
        <w:pStyle w:val="ListParagraph"/>
        <w:numPr>
          <w:ilvl w:val="0"/>
          <w:numId w:val="2"/>
        </w:numPr>
        <w:spacing w:after="60" w:before="0"/>
      </w:pPr>
      <w:r>
        <w:rPr>
          <w:rFonts w:ascii="Arial" w:cs="Arial" w:eastAsia="Arial" w:hAnsi="Arial"/>
          <w:color w:val="2C2C2C"/>
          <w:sz w:val="22"/>
          <w:szCs w:val="22"/>
        </w:rPr>
        <w:t xml:space="preserve">Prepare for CompTIA Security+ certification</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Security Operations</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Develops SOC analyst and security engineer skills. Covers SIEM platforms, log analysis, threat hunting, incident response playbooks, and digital forensics basics. Aligned to real-world SOC workflows.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Operate a SIEM and analyse security events</w:t>
      </w:r>
    </w:p>
    <w:p>
      <w:pPr>
        <w:pStyle w:val="ListParagraph"/>
        <w:numPr>
          <w:ilvl w:val="0"/>
          <w:numId w:val="2"/>
        </w:numPr>
        <w:spacing w:after="60" w:before="0"/>
      </w:pPr>
      <w:r>
        <w:rPr>
          <w:rFonts w:ascii="Arial" w:cs="Arial" w:eastAsia="Arial" w:hAnsi="Arial"/>
          <w:color w:val="2C2C2C"/>
          <w:sz w:val="22"/>
          <w:szCs w:val="22"/>
        </w:rPr>
        <w:t xml:space="preserve">Develop and execute incident response playbooks</w:t>
      </w:r>
    </w:p>
    <w:p>
      <w:pPr>
        <w:pStyle w:val="ListParagraph"/>
        <w:numPr>
          <w:ilvl w:val="0"/>
          <w:numId w:val="2"/>
        </w:numPr>
        <w:spacing w:after="60" w:before="0"/>
      </w:pPr>
      <w:r>
        <w:rPr>
          <w:rFonts w:ascii="Arial" w:cs="Arial" w:eastAsia="Arial" w:hAnsi="Arial"/>
          <w:color w:val="2C2C2C"/>
          <w:sz w:val="22"/>
          <w:szCs w:val="22"/>
        </w:rPr>
        <w:t xml:space="preserve">Perform threat hunting and log forensics</w:t>
      </w:r>
    </w:p>
    <w:p>
      <w:pPr>
        <w:pStyle w:val="ListParagraph"/>
        <w:numPr>
          <w:ilvl w:val="0"/>
          <w:numId w:val="2"/>
        </w:numPr>
        <w:spacing w:after="60" w:before="0"/>
      </w:pPr>
      <w:r>
        <w:rPr>
          <w:rFonts w:ascii="Arial" w:cs="Arial" w:eastAsia="Arial" w:hAnsi="Arial"/>
          <w:color w:val="2C2C2C"/>
          <w:sz w:val="22"/>
          <w:szCs w:val="22"/>
        </w:rPr>
        <w:t xml:space="preserve">Classify and triage security incidents</w:t>
      </w:r>
    </w:p>
    <w:p>
      <w:pPr>
        <w:pStyle w:val="ListParagraph"/>
        <w:numPr>
          <w:ilvl w:val="0"/>
          <w:numId w:val="2"/>
        </w:numPr>
        <w:spacing w:after="60" w:before="0"/>
      </w:pPr>
      <w:r>
        <w:rPr>
          <w:rFonts w:ascii="Arial" w:cs="Arial" w:eastAsia="Arial" w:hAnsi="Arial"/>
          <w:color w:val="2C2C2C"/>
          <w:sz w:val="22"/>
          <w:szCs w:val="22"/>
        </w:rPr>
        <w:t xml:space="preserve">Collaborate across technical and business teams during incidents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CISO Programme</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Prepares experienced security professionals for executive leadership roles. Covers risk management frameworks, POPIA and GDPR compliance, ISO 27001 implementation, board-level reporting, and security programme governance.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Lead enterprise security risk management</w:t>
      </w:r>
    </w:p>
    <w:p>
      <w:pPr>
        <w:pStyle w:val="ListParagraph"/>
        <w:numPr>
          <w:ilvl w:val="0"/>
          <w:numId w:val="2"/>
        </w:numPr>
        <w:spacing w:after="60" w:before="0"/>
      </w:pPr>
      <w:r>
        <w:rPr>
          <w:rFonts w:ascii="Arial" w:cs="Arial" w:eastAsia="Arial" w:hAnsi="Arial"/>
          <w:color w:val="2C2C2C"/>
          <w:sz w:val="22"/>
          <w:szCs w:val="22"/>
        </w:rPr>
        <w:t xml:space="preserve">Build and maintain ISO 27001-aligned programmes</w:t>
      </w:r>
    </w:p>
    <w:p>
      <w:pPr>
        <w:pStyle w:val="ListParagraph"/>
        <w:numPr>
          <w:ilvl w:val="0"/>
          <w:numId w:val="2"/>
        </w:numPr>
        <w:spacing w:after="60" w:before="0"/>
      </w:pPr>
      <w:r>
        <w:rPr>
          <w:rFonts w:ascii="Arial" w:cs="Arial" w:eastAsia="Arial" w:hAnsi="Arial"/>
          <w:color w:val="2C2C2C"/>
          <w:sz w:val="22"/>
          <w:szCs w:val="22"/>
        </w:rPr>
        <w:t xml:space="preserve">Navigate POPIA, GDPR, and sector regulations</w:t>
      </w:r>
    </w:p>
    <w:p>
      <w:pPr>
        <w:pStyle w:val="ListParagraph"/>
        <w:numPr>
          <w:ilvl w:val="0"/>
          <w:numId w:val="2"/>
        </w:numPr>
        <w:spacing w:after="60" w:before="0"/>
      </w:pPr>
      <w:r>
        <w:rPr>
          <w:rFonts w:ascii="Arial" w:cs="Arial" w:eastAsia="Arial" w:hAnsi="Arial"/>
          <w:color w:val="2C2C2C"/>
          <w:sz w:val="22"/>
          <w:szCs w:val="22"/>
        </w:rPr>
        <w:t xml:space="preserve">Report security posture to boards and executives</w:t>
      </w:r>
    </w:p>
    <w:p>
      <w:pPr>
        <w:pStyle w:val="ListParagraph"/>
        <w:numPr>
          <w:ilvl w:val="0"/>
          <w:numId w:val="2"/>
        </w:numPr>
        <w:spacing w:after="60" w:before="0"/>
      </w:pPr>
      <w:r>
        <w:rPr>
          <w:rFonts w:ascii="Arial" w:cs="Arial" w:eastAsia="Arial" w:hAnsi="Arial"/>
          <w:color w:val="2C2C2C"/>
          <w:sz w:val="22"/>
          <w:szCs w:val="22"/>
        </w:rPr>
        <w:t xml:space="preserve">Build and mentor high-performance security teams</w:t>
      </w:r>
    </w:p>
    <w:p>
      <w:pPr>
        <w:spacing w:after="0" w:before="0"/>
      </w:pPr>
      <w:r>
        <w:t xml:space="preserve"/>
      </w:r>
    </w:p>
    <w:p>
      <w:pPr>
        <w:pStyle w:val="Heading2"/>
        <w:spacing w:after="100" w:before="240"/>
      </w:pPr>
      <w:r>
        <w:rPr>
          <w:rFonts w:ascii="Arial" w:cs="Arial" w:eastAsia="Arial" w:hAnsi="Arial"/>
          <w:b/>
          <w:bCs/>
          <w:color w:val="2C2C2C"/>
          <w:sz w:val="28"/>
          <w:szCs w:val="28"/>
        </w:rPr>
        <w:t xml:space="preserve">Data &amp; Analytics</w:t>
      </w:r>
    </w:p>
    <w:p>
      <w:pPr>
        <w:pBdr>
          <w:bottom w:val="single" w:color="D3D1C7" w:sz="2" w:space="4"/>
        </w:pBdr>
        <w:spacing w:after="60" w:before="200"/>
      </w:pPr>
      <w:r>
        <w:rPr>
          <w:rFonts w:ascii="Arial" w:cs="Arial" w:eastAsia="Arial" w:hAnsi="Arial"/>
          <w:b/>
          <w:bCs/>
          <w:color w:val="000000"/>
          <w:sz w:val="24"/>
          <w:szCs w:val="24"/>
        </w:rPr>
        <w:t xml:space="preserve">Data Literacy</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Foundational data skills for the modern workplace. Covers spreadsheets, charts, basic SQL queries, understanding dashboards, and data-driven decision-making. Tailored for South African business contexts.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Read and create data charts and dashboards</w:t>
      </w:r>
    </w:p>
    <w:p>
      <w:pPr>
        <w:pStyle w:val="ListParagraph"/>
        <w:numPr>
          <w:ilvl w:val="0"/>
          <w:numId w:val="2"/>
        </w:numPr>
        <w:spacing w:after="60" w:before="0"/>
      </w:pPr>
      <w:r>
        <w:rPr>
          <w:rFonts w:ascii="Arial" w:cs="Arial" w:eastAsia="Arial" w:hAnsi="Arial"/>
          <w:color w:val="2C2C2C"/>
          <w:sz w:val="22"/>
          <w:szCs w:val="22"/>
        </w:rPr>
        <w:t xml:space="preserve">Use spreadsheets for data analysis and visualisation</w:t>
      </w:r>
    </w:p>
    <w:p>
      <w:pPr>
        <w:pStyle w:val="ListParagraph"/>
        <w:numPr>
          <w:ilvl w:val="0"/>
          <w:numId w:val="2"/>
        </w:numPr>
        <w:spacing w:after="60" w:before="0"/>
      </w:pPr>
      <w:r>
        <w:rPr>
          <w:rFonts w:ascii="Arial" w:cs="Arial" w:eastAsia="Arial" w:hAnsi="Arial"/>
          <w:color w:val="2C2C2C"/>
          <w:sz w:val="22"/>
          <w:szCs w:val="22"/>
        </w:rPr>
        <w:t xml:space="preserve">Write basic SQL SELECT queries</w:t>
      </w:r>
    </w:p>
    <w:p>
      <w:pPr>
        <w:pStyle w:val="ListParagraph"/>
        <w:numPr>
          <w:ilvl w:val="0"/>
          <w:numId w:val="2"/>
        </w:numPr>
        <w:spacing w:after="60" w:before="0"/>
      </w:pPr>
      <w:r>
        <w:rPr>
          <w:rFonts w:ascii="Arial" w:cs="Arial" w:eastAsia="Arial" w:hAnsi="Arial"/>
          <w:color w:val="2C2C2C"/>
          <w:sz w:val="22"/>
          <w:szCs w:val="22"/>
        </w:rPr>
        <w:t xml:space="preserve">Distinguish correlation from causation</w:t>
      </w:r>
    </w:p>
    <w:p>
      <w:pPr>
        <w:pStyle w:val="ListParagraph"/>
        <w:numPr>
          <w:ilvl w:val="0"/>
          <w:numId w:val="2"/>
        </w:numPr>
        <w:spacing w:after="60" w:before="0"/>
      </w:pPr>
      <w:r>
        <w:rPr>
          <w:rFonts w:ascii="Arial" w:cs="Arial" w:eastAsia="Arial" w:hAnsi="Arial"/>
          <w:color w:val="2C2C2C"/>
          <w:sz w:val="22"/>
          <w:szCs w:val="22"/>
        </w:rPr>
        <w:t xml:space="preserve">Make evidence-based recommendations using data</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Data Analysis &amp; BI</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Hands-on business intelligence and analytics. Covers Power BI dashboards, Python for data analysis, descriptive statistics, and storytelling with data. Uses real African economic and business datasets.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Build interactive Power BI dashboards</w:t>
      </w:r>
    </w:p>
    <w:p>
      <w:pPr>
        <w:pStyle w:val="ListParagraph"/>
        <w:numPr>
          <w:ilvl w:val="0"/>
          <w:numId w:val="2"/>
        </w:numPr>
        <w:spacing w:after="60" w:before="0"/>
      </w:pPr>
      <w:r>
        <w:rPr>
          <w:rFonts w:ascii="Arial" w:cs="Arial" w:eastAsia="Arial" w:hAnsi="Arial"/>
          <w:color w:val="2C2C2C"/>
          <w:sz w:val="22"/>
          <w:szCs w:val="22"/>
        </w:rPr>
        <w:t xml:space="preserve">Analyse datasets with Python and pandas</w:t>
      </w:r>
    </w:p>
    <w:p>
      <w:pPr>
        <w:pStyle w:val="ListParagraph"/>
        <w:numPr>
          <w:ilvl w:val="0"/>
          <w:numId w:val="2"/>
        </w:numPr>
        <w:spacing w:after="60" w:before="0"/>
      </w:pPr>
      <w:r>
        <w:rPr>
          <w:rFonts w:ascii="Arial" w:cs="Arial" w:eastAsia="Arial" w:hAnsi="Arial"/>
          <w:color w:val="2C2C2C"/>
          <w:sz w:val="22"/>
          <w:szCs w:val="22"/>
        </w:rPr>
        <w:t xml:space="preserve">Apply descriptive statistics to business problems</w:t>
      </w:r>
    </w:p>
    <w:p>
      <w:pPr>
        <w:pStyle w:val="ListParagraph"/>
        <w:numPr>
          <w:ilvl w:val="0"/>
          <w:numId w:val="2"/>
        </w:numPr>
        <w:spacing w:after="60" w:before="0"/>
      </w:pPr>
      <w:r>
        <w:rPr>
          <w:rFonts w:ascii="Arial" w:cs="Arial" w:eastAsia="Arial" w:hAnsi="Arial"/>
          <w:color w:val="2C2C2C"/>
          <w:sz w:val="22"/>
          <w:szCs w:val="22"/>
        </w:rPr>
        <w:t xml:space="preserve">Create compelling data narratives for non-technical audiences</w:t>
      </w:r>
    </w:p>
    <w:p>
      <w:pPr>
        <w:pStyle w:val="ListParagraph"/>
        <w:numPr>
          <w:ilvl w:val="0"/>
          <w:numId w:val="2"/>
        </w:numPr>
        <w:spacing w:after="60" w:before="0"/>
      </w:pPr>
      <w:r>
        <w:rPr>
          <w:rFonts w:ascii="Arial" w:cs="Arial" w:eastAsia="Arial" w:hAnsi="Arial"/>
          <w:color w:val="2C2C2C"/>
          <w:sz w:val="22"/>
          <w:szCs w:val="22"/>
        </w:rPr>
        <w:t xml:space="preserve">Design and automate recurring reports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Data Engineering</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Modern data engineering practice. Covers building ETL/ELT pipelines, dbt for data modelling, Apache Spark, cloud data warehouses (BigQuery/Snowflake/Redshift), and pipeline orchestration with Airflow.</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Design and build production data pipelines</w:t>
      </w:r>
    </w:p>
    <w:p>
      <w:pPr>
        <w:pStyle w:val="ListParagraph"/>
        <w:numPr>
          <w:ilvl w:val="0"/>
          <w:numId w:val="2"/>
        </w:numPr>
        <w:spacing w:after="60" w:before="0"/>
      </w:pPr>
      <w:r>
        <w:rPr>
          <w:rFonts w:ascii="Arial" w:cs="Arial" w:eastAsia="Arial" w:hAnsi="Arial"/>
          <w:color w:val="2C2C2C"/>
          <w:sz w:val="22"/>
          <w:szCs w:val="22"/>
        </w:rPr>
        <w:t xml:space="preserve">Model data with dbt in a cloud warehouse</w:t>
      </w:r>
    </w:p>
    <w:p>
      <w:pPr>
        <w:pStyle w:val="ListParagraph"/>
        <w:numPr>
          <w:ilvl w:val="0"/>
          <w:numId w:val="2"/>
        </w:numPr>
        <w:spacing w:after="60" w:before="0"/>
      </w:pPr>
      <w:r>
        <w:rPr>
          <w:rFonts w:ascii="Arial" w:cs="Arial" w:eastAsia="Arial" w:hAnsi="Arial"/>
          <w:color w:val="2C2C2C"/>
          <w:sz w:val="22"/>
          <w:szCs w:val="22"/>
        </w:rPr>
        <w:t xml:space="preserve">Process large datasets with Spark</w:t>
      </w:r>
    </w:p>
    <w:p>
      <w:pPr>
        <w:pStyle w:val="ListParagraph"/>
        <w:numPr>
          <w:ilvl w:val="0"/>
          <w:numId w:val="2"/>
        </w:numPr>
        <w:spacing w:after="60" w:before="0"/>
      </w:pPr>
      <w:r>
        <w:rPr>
          <w:rFonts w:ascii="Arial" w:cs="Arial" w:eastAsia="Arial" w:hAnsi="Arial"/>
          <w:color w:val="2C2C2C"/>
          <w:sz w:val="22"/>
          <w:szCs w:val="22"/>
        </w:rPr>
        <w:t xml:space="preserve">Orchestrate workflows with Apache Airflow</w:t>
      </w:r>
    </w:p>
    <w:p>
      <w:pPr>
        <w:pStyle w:val="ListParagraph"/>
        <w:numPr>
          <w:ilvl w:val="0"/>
          <w:numId w:val="2"/>
        </w:numPr>
        <w:spacing w:after="60" w:before="0"/>
      </w:pPr>
      <w:r>
        <w:rPr>
          <w:rFonts w:ascii="Arial" w:cs="Arial" w:eastAsia="Arial" w:hAnsi="Arial"/>
          <w:color w:val="2C2C2C"/>
          <w:sz w:val="22"/>
          <w:szCs w:val="22"/>
        </w:rPr>
        <w:t xml:space="preserve">Implement data quality checks and monitoring</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AI-Driven Analytics</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Executive and senior practitioner course on next-generation data strategy. Covers CDO competencies, data mesh architecture, AI-augmented analytics, data governance, and monetising data assets.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Develop an enterprise data strategy and roadmap</w:t>
      </w:r>
    </w:p>
    <w:p>
      <w:pPr>
        <w:pStyle w:val="ListParagraph"/>
        <w:numPr>
          <w:ilvl w:val="0"/>
          <w:numId w:val="2"/>
        </w:numPr>
        <w:spacing w:after="60" w:before="0"/>
      </w:pPr>
      <w:r>
        <w:rPr>
          <w:rFonts w:ascii="Arial" w:cs="Arial" w:eastAsia="Arial" w:hAnsi="Arial"/>
          <w:color w:val="2C2C2C"/>
          <w:sz w:val="22"/>
          <w:szCs w:val="22"/>
        </w:rPr>
        <w:t xml:space="preserve">Design data mesh and data product architectures</w:t>
      </w:r>
    </w:p>
    <w:p>
      <w:pPr>
        <w:pStyle w:val="ListParagraph"/>
        <w:numPr>
          <w:ilvl w:val="0"/>
          <w:numId w:val="2"/>
        </w:numPr>
        <w:spacing w:after="60" w:before="0"/>
      </w:pPr>
      <w:r>
        <w:rPr>
          <w:rFonts w:ascii="Arial" w:cs="Arial" w:eastAsia="Arial" w:hAnsi="Arial"/>
          <w:color w:val="2C2C2C"/>
          <w:sz w:val="22"/>
          <w:szCs w:val="22"/>
        </w:rPr>
        <w:t xml:space="preserve">Lead data governance and quality programmes</w:t>
      </w:r>
    </w:p>
    <w:p>
      <w:pPr>
        <w:pStyle w:val="ListParagraph"/>
        <w:numPr>
          <w:ilvl w:val="0"/>
          <w:numId w:val="2"/>
        </w:numPr>
        <w:spacing w:after="60" w:before="0"/>
      </w:pPr>
      <w:r>
        <w:rPr>
          <w:rFonts w:ascii="Arial" w:cs="Arial" w:eastAsia="Arial" w:hAnsi="Arial"/>
          <w:color w:val="2C2C2C"/>
          <w:sz w:val="22"/>
          <w:szCs w:val="22"/>
        </w:rPr>
        <w:t xml:space="preserve">Integrate AI into analytics workflows at scale</w:t>
      </w:r>
    </w:p>
    <w:p>
      <w:pPr>
        <w:pStyle w:val="ListParagraph"/>
        <w:numPr>
          <w:ilvl w:val="0"/>
          <w:numId w:val="2"/>
        </w:numPr>
        <w:spacing w:after="60" w:before="0"/>
      </w:pPr>
      <w:r>
        <w:rPr>
          <w:rFonts w:ascii="Arial" w:cs="Arial" w:eastAsia="Arial" w:hAnsi="Arial"/>
          <w:color w:val="2C2C2C"/>
          <w:sz w:val="22"/>
          <w:szCs w:val="22"/>
        </w:rPr>
        <w:t xml:space="preserve">Quantify and communicate the value of data assets</w:t>
      </w:r>
    </w:p>
    <w:p>
      <w:pPr>
        <w:spacing w:after="0" w:before="0"/>
      </w:pPr>
      <w:r>
        <w:t xml:space="preserve"/>
      </w:r>
    </w:p>
    <w:p>
      <w:pPr>
        <w:pStyle w:val="Heading2"/>
        <w:spacing w:after="100" w:before="240"/>
      </w:pPr>
      <w:r>
        <w:rPr>
          <w:rFonts w:ascii="Arial" w:cs="Arial" w:eastAsia="Arial" w:hAnsi="Arial"/>
          <w:b/>
          <w:bCs/>
          <w:color w:val="2C2C2C"/>
          <w:sz w:val="28"/>
          <w:szCs w:val="28"/>
        </w:rPr>
        <w:t xml:space="preserve">Digital Transformation</w:t>
      </w:r>
    </w:p>
    <w:p>
      <w:pPr>
        <w:pBdr>
          <w:bottom w:val="single" w:color="D3D1C7" w:sz="2" w:space="4"/>
        </w:pBdr>
        <w:spacing w:after="60" w:before="200"/>
      </w:pPr>
      <w:r>
        <w:rPr>
          <w:rFonts w:ascii="Arial" w:cs="Arial" w:eastAsia="Arial" w:hAnsi="Arial"/>
          <w:b/>
          <w:bCs/>
          <w:color w:val="000000"/>
          <w:sz w:val="24"/>
          <w:szCs w:val="24"/>
        </w:rPr>
        <w:t xml:space="preserve">Digital Literacy for Work</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Essential digital workplace skills for all employees. Covers Microsoft 365, Google Workspace, professional digital communication, cybersafe habits, online collaboration tools, and productivity fundamentals.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Use M365 and Google Workspace confidently</w:t>
      </w:r>
    </w:p>
    <w:p>
      <w:pPr>
        <w:pStyle w:val="ListParagraph"/>
        <w:numPr>
          <w:ilvl w:val="0"/>
          <w:numId w:val="2"/>
        </w:numPr>
        <w:spacing w:after="60" w:before="0"/>
      </w:pPr>
      <w:r>
        <w:rPr>
          <w:rFonts w:ascii="Arial" w:cs="Arial" w:eastAsia="Arial" w:hAnsi="Arial"/>
          <w:color w:val="2C2C2C"/>
          <w:sz w:val="22"/>
          <w:szCs w:val="22"/>
        </w:rPr>
        <w:t xml:space="preserve">Communicate professionally via email and messaging platforms</w:t>
      </w:r>
    </w:p>
    <w:p>
      <w:pPr>
        <w:pStyle w:val="ListParagraph"/>
        <w:numPr>
          <w:ilvl w:val="0"/>
          <w:numId w:val="2"/>
        </w:numPr>
        <w:spacing w:after="60" w:before="0"/>
      </w:pPr>
      <w:r>
        <w:rPr>
          <w:rFonts w:ascii="Arial" w:cs="Arial" w:eastAsia="Arial" w:hAnsi="Arial"/>
          <w:color w:val="2C2C2C"/>
          <w:sz w:val="22"/>
          <w:szCs w:val="22"/>
        </w:rPr>
        <w:t xml:space="preserve">Collaborate effectively using online tools and video conferencing</w:t>
      </w:r>
    </w:p>
    <w:p>
      <w:pPr>
        <w:pStyle w:val="ListParagraph"/>
        <w:numPr>
          <w:ilvl w:val="0"/>
          <w:numId w:val="2"/>
        </w:numPr>
        <w:spacing w:after="60" w:before="0"/>
      </w:pPr>
      <w:r>
        <w:rPr>
          <w:rFonts w:ascii="Arial" w:cs="Arial" w:eastAsia="Arial" w:hAnsi="Arial"/>
          <w:color w:val="2C2C2C"/>
          <w:sz w:val="22"/>
          <w:szCs w:val="22"/>
        </w:rPr>
        <w:t xml:space="preserve">Manage files and documents in the cloud</w:t>
      </w:r>
    </w:p>
    <w:p>
      <w:pPr>
        <w:pStyle w:val="ListParagraph"/>
        <w:numPr>
          <w:ilvl w:val="0"/>
          <w:numId w:val="2"/>
        </w:numPr>
        <w:spacing w:after="60" w:before="0"/>
      </w:pPr>
      <w:r>
        <w:rPr>
          <w:rFonts w:ascii="Arial" w:cs="Arial" w:eastAsia="Arial" w:hAnsi="Arial"/>
          <w:color w:val="2C2C2C"/>
          <w:sz w:val="22"/>
          <w:szCs w:val="22"/>
        </w:rPr>
        <w:t xml:space="preserve">Maintain safe digital habits in the workplace</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Process Digitisation</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Practical course in automating and digitising business processes. Covers no-code and low-code platforms (Power Automate, Zapier, Bubble), business process mapping, and selecting digitisation opportunities.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Map and analyse current business processes</w:t>
      </w:r>
    </w:p>
    <w:p>
      <w:pPr>
        <w:pStyle w:val="ListParagraph"/>
        <w:numPr>
          <w:ilvl w:val="0"/>
          <w:numId w:val="2"/>
        </w:numPr>
        <w:spacing w:after="60" w:before="0"/>
      </w:pPr>
      <w:r>
        <w:rPr>
          <w:rFonts w:ascii="Arial" w:cs="Arial" w:eastAsia="Arial" w:hAnsi="Arial"/>
          <w:color w:val="2C2C2C"/>
          <w:sz w:val="22"/>
          <w:szCs w:val="22"/>
        </w:rPr>
        <w:t xml:space="preserve">Identify and prioritise digitisation opportunities</w:t>
      </w:r>
    </w:p>
    <w:p>
      <w:pPr>
        <w:pStyle w:val="ListParagraph"/>
        <w:numPr>
          <w:ilvl w:val="0"/>
          <w:numId w:val="2"/>
        </w:numPr>
        <w:spacing w:after="60" w:before="0"/>
      </w:pPr>
      <w:r>
        <w:rPr>
          <w:rFonts w:ascii="Arial" w:cs="Arial" w:eastAsia="Arial" w:hAnsi="Arial"/>
          <w:color w:val="2C2C2C"/>
          <w:sz w:val="22"/>
          <w:szCs w:val="22"/>
        </w:rPr>
        <w:t xml:space="preserve">Build automation workflows with no-code tools</w:t>
      </w:r>
    </w:p>
    <w:p>
      <w:pPr>
        <w:pStyle w:val="ListParagraph"/>
        <w:numPr>
          <w:ilvl w:val="0"/>
          <w:numId w:val="2"/>
        </w:numPr>
        <w:spacing w:after="60" w:before="0"/>
      </w:pPr>
      <w:r>
        <w:rPr>
          <w:rFonts w:ascii="Arial" w:cs="Arial" w:eastAsia="Arial" w:hAnsi="Arial"/>
          <w:color w:val="2C2C2C"/>
          <w:sz w:val="22"/>
          <w:szCs w:val="22"/>
        </w:rPr>
        <w:t xml:space="preserve">Implement simple business applications with low-code platforms</w:t>
      </w:r>
    </w:p>
    <w:p>
      <w:pPr>
        <w:pStyle w:val="ListParagraph"/>
        <w:numPr>
          <w:ilvl w:val="0"/>
          <w:numId w:val="2"/>
        </w:numPr>
        <w:spacing w:after="60" w:before="0"/>
      </w:pPr>
      <w:r>
        <w:rPr>
          <w:rFonts w:ascii="Arial" w:cs="Arial" w:eastAsia="Arial" w:hAnsi="Arial"/>
          <w:color w:val="2C2C2C"/>
          <w:sz w:val="22"/>
          <w:szCs w:val="22"/>
        </w:rPr>
        <w:t xml:space="preserve">Measure the impact of process digitisation</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Digital Transformation Lead</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Develops the skills to lead digital transformation programmes. Covers change management, building the DX business case, customer experience redesign, stakeholder engagement, and building digital culture.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Build and present a digital transformation business case</w:t>
      </w:r>
    </w:p>
    <w:p>
      <w:pPr>
        <w:pStyle w:val="ListParagraph"/>
        <w:numPr>
          <w:ilvl w:val="0"/>
          <w:numId w:val="2"/>
        </w:numPr>
        <w:spacing w:after="60" w:before="0"/>
      </w:pPr>
      <w:r>
        <w:rPr>
          <w:rFonts w:ascii="Arial" w:cs="Arial" w:eastAsia="Arial" w:hAnsi="Arial"/>
          <w:color w:val="2C2C2C"/>
          <w:sz w:val="22"/>
          <w:szCs w:val="22"/>
        </w:rPr>
        <w:t xml:space="preserve">Lead organisational change management for DX</w:t>
      </w:r>
    </w:p>
    <w:p>
      <w:pPr>
        <w:pStyle w:val="ListParagraph"/>
        <w:numPr>
          <w:ilvl w:val="0"/>
          <w:numId w:val="2"/>
        </w:numPr>
        <w:spacing w:after="60" w:before="0"/>
      </w:pPr>
      <w:r>
        <w:rPr>
          <w:rFonts w:ascii="Arial" w:cs="Arial" w:eastAsia="Arial" w:hAnsi="Arial"/>
          <w:color w:val="2C2C2C"/>
          <w:sz w:val="22"/>
          <w:szCs w:val="22"/>
        </w:rPr>
        <w:t xml:space="preserve">Apply CX design thinking in digital projects</w:t>
      </w:r>
    </w:p>
    <w:p>
      <w:pPr>
        <w:pStyle w:val="ListParagraph"/>
        <w:numPr>
          <w:ilvl w:val="0"/>
          <w:numId w:val="2"/>
        </w:numPr>
        <w:spacing w:after="60" w:before="0"/>
      </w:pPr>
      <w:r>
        <w:rPr>
          <w:rFonts w:ascii="Arial" w:cs="Arial" w:eastAsia="Arial" w:hAnsi="Arial"/>
          <w:color w:val="2C2C2C"/>
          <w:sz w:val="22"/>
          <w:szCs w:val="22"/>
        </w:rPr>
        <w:t xml:space="preserve">Develop and communicate a DX roadmap</w:t>
      </w:r>
    </w:p>
    <w:p>
      <w:pPr>
        <w:pStyle w:val="ListParagraph"/>
        <w:numPr>
          <w:ilvl w:val="0"/>
          <w:numId w:val="2"/>
        </w:numPr>
        <w:spacing w:after="60" w:before="0"/>
      </w:pPr>
      <w:r>
        <w:rPr>
          <w:rFonts w:ascii="Arial" w:cs="Arial" w:eastAsia="Arial" w:hAnsi="Arial"/>
          <w:color w:val="2C2C2C"/>
          <w:sz w:val="22"/>
          <w:szCs w:val="22"/>
        </w:rPr>
        <w:t xml:space="preserve">Build digital capability within teams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CDO Programme</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Comprehensive executive programme for Chief Digital Officers and senior transformation leaders. Covers enterprise digital strategy, innovation management, digital KPIs, ecosystem partnerships, and measuring digital maturity.</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Define and execute enterprise digital strategy</w:t>
      </w:r>
    </w:p>
    <w:p>
      <w:pPr>
        <w:pStyle w:val="ListParagraph"/>
        <w:numPr>
          <w:ilvl w:val="0"/>
          <w:numId w:val="2"/>
        </w:numPr>
        <w:spacing w:after="60" w:before="0"/>
      </w:pPr>
      <w:r>
        <w:rPr>
          <w:rFonts w:ascii="Arial" w:cs="Arial" w:eastAsia="Arial" w:hAnsi="Arial"/>
          <w:color w:val="2C2C2C"/>
          <w:sz w:val="22"/>
          <w:szCs w:val="22"/>
        </w:rPr>
        <w:t xml:space="preserve">Build and lead cross-functional transformation offices</w:t>
      </w:r>
    </w:p>
    <w:p>
      <w:pPr>
        <w:pStyle w:val="ListParagraph"/>
        <w:numPr>
          <w:ilvl w:val="0"/>
          <w:numId w:val="2"/>
        </w:numPr>
        <w:spacing w:after="60" w:before="0"/>
      </w:pPr>
      <w:r>
        <w:rPr>
          <w:rFonts w:ascii="Arial" w:cs="Arial" w:eastAsia="Arial" w:hAnsi="Arial"/>
          <w:color w:val="2C2C2C"/>
          <w:sz w:val="22"/>
          <w:szCs w:val="22"/>
        </w:rPr>
        <w:t xml:space="preserve">Manage innovation portfolios and emerging tech adoption</w:t>
      </w:r>
    </w:p>
    <w:p>
      <w:pPr>
        <w:pStyle w:val="ListParagraph"/>
        <w:numPr>
          <w:ilvl w:val="0"/>
          <w:numId w:val="2"/>
        </w:numPr>
        <w:spacing w:after="60" w:before="0"/>
      </w:pPr>
      <w:r>
        <w:rPr>
          <w:rFonts w:ascii="Arial" w:cs="Arial" w:eastAsia="Arial" w:hAnsi="Arial"/>
          <w:color w:val="2C2C2C"/>
          <w:sz w:val="22"/>
          <w:szCs w:val="22"/>
        </w:rPr>
        <w:t xml:space="preserve">Design digital KPI frameworks and maturity models</w:t>
      </w:r>
    </w:p>
    <w:p>
      <w:pPr>
        <w:pStyle w:val="ListParagraph"/>
        <w:numPr>
          <w:ilvl w:val="0"/>
          <w:numId w:val="2"/>
        </w:numPr>
        <w:spacing w:after="60" w:before="0"/>
      </w:pPr>
      <w:r>
        <w:rPr>
          <w:rFonts w:ascii="Arial" w:cs="Arial" w:eastAsia="Arial" w:hAnsi="Arial"/>
          <w:color w:val="2C2C2C"/>
          <w:sz w:val="22"/>
          <w:szCs w:val="22"/>
        </w:rPr>
        <w:t xml:space="preserve">Represent digital strategy at board level</w:t>
      </w:r>
    </w:p>
    <w:p>
      <w:pPr>
        <w:spacing w:after="0" w:before="0"/>
      </w:pPr>
      <w:r>
        <w:t xml:space="preserve"/>
      </w:r>
    </w:p>
    <w:p>
      <w:pPr>
        <w:pStyle w:val="Heading2"/>
        <w:spacing w:after="100" w:before="240"/>
      </w:pPr>
      <w:r>
        <w:rPr>
          <w:rFonts w:ascii="Arial" w:cs="Arial" w:eastAsia="Arial" w:hAnsi="Arial"/>
          <w:b/>
          <w:bCs/>
          <w:color w:val="2C2C2C"/>
          <w:sz w:val="28"/>
          <w:szCs w:val="28"/>
        </w:rPr>
        <w:t xml:space="preserve">Software &amp; DevOps</w:t>
      </w:r>
    </w:p>
    <w:p>
      <w:pPr>
        <w:pBdr>
          <w:bottom w:val="single" w:color="D3D1C7" w:sz="2" w:space="4"/>
        </w:pBdr>
        <w:spacing w:after="60" w:before="200"/>
      </w:pPr>
      <w:r>
        <w:rPr>
          <w:rFonts w:ascii="Arial" w:cs="Arial" w:eastAsia="Arial" w:hAnsi="Arial"/>
          <w:b/>
          <w:bCs/>
          <w:color w:val="000000"/>
          <w:sz w:val="24"/>
          <w:szCs w:val="24"/>
        </w:rPr>
        <w:t xml:space="preserve">Code Launchpad</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First steps into software development. Covers HTML/CSS for web pages, Python programming basics, Git version control, and an introduction to databases. Designed for absolute beginners with no prior coding experience.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Build and style basic web pages with HTML and CSS</w:t>
      </w:r>
    </w:p>
    <w:p>
      <w:pPr>
        <w:pStyle w:val="ListParagraph"/>
        <w:numPr>
          <w:ilvl w:val="0"/>
          <w:numId w:val="2"/>
        </w:numPr>
        <w:spacing w:after="60" w:before="0"/>
      </w:pPr>
      <w:r>
        <w:rPr>
          <w:rFonts w:ascii="Arial" w:cs="Arial" w:eastAsia="Arial" w:hAnsi="Arial"/>
          <w:color w:val="2C2C2C"/>
          <w:sz w:val="22"/>
          <w:szCs w:val="22"/>
        </w:rPr>
        <w:t xml:space="preserve">Write Python scripts to automate simple tasks</w:t>
      </w:r>
    </w:p>
    <w:p>
      <w:pPr>
        <w:pStyle w:val="ListParagraph"/>
        <w:numPr>
          <w:ilvl w:val="0"/>
          <w:numId w:val="2"/>
        </w:numPr>
        <w:spacing w:after="60" w:before="0"/>
      </w:pPr>
      <w:r>
        <w:rPr>
          <w:rFonts w:ascii="Arial" w:cs="Arial" w:eastAsia="Arial" w:hAnsi="Arial"/>
          <w:color w:val="2C2C2C"/>
          <w:sz w:val="22"/>
          <w:szCs w:val="22"/>
        </w:rPr>
        <w:t xml:space="preserve">Use Git for version control and collaboration</w:t>
      </w:r>
    </w:p>
    <w:p>
      <w:pPr>
        <w:pStyle w:val="ListParagraph"/>
        <w:numPr>
          <w:ilvl w:val="0"/>
          <w:numId w:val="2"/>
        </w:numPr>
        <w:spacing w:after="60" w:before="0"/>
      </w:pPr>
      <w:r>
        <w:rPr>
          <w:rFonts w:ascii="Arial" w:cs="Arial" w:eastAsia="Arial" w:hAnsi="Arial"/>
          <w:color w:val="2C2C2C"/>
          <w:sz w:val="22"/>
          <w:szCs w:val="22"/>
        </w:rPr>
        <w:t xml:space="preserve">Understand and query a simple relational database</w:t>
      </w:r>
    </w:p>
    <w:p>
      <w:pPr>
        <w:pStyle w:val="ListParagraph"/>
        <w:numPr>
          <w:ilvl w:val="0"/>
          <w:numId w:val="2"/>
        </w:numPr>
        <w:spacing w:after="60" w:before="0"/>
      </w:pPr>
      <w:r>
        <w:rPr>
          <w:rFonts w:ascii="Arial" w:cs="Arial" w:eastAsia="Arial" w:hAnsi="Arial"/>
          <w:color w:val="2C2C2C"/>
          <w:sz w:val="22"/>
          <w:szCs w:val="22"/>
        </w:rPr>
        <w:t xml:space="preserve">Debug and troubleshoot basic code problems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Full-Stack Development</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End-to-end web development covering React front-end, Node.js back-end, RESTful APIs, and relational and NoSQL databases. Learners build and deploy a full-stack web application as the capstone project.</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Build responsive UIs with React and modern CSS</w:t>
      </w:r>
    </w:p>
    <w:p>
      <w:pPr>
        <w:pStyle w:val="ListParagraph"/>
        <w:numPr>
          <w:ilvl w:val="0"/>
          <w:numId w:val="2"/>
        </w:numPr>
        <w:spacing w:after="60" w:before="0"/>
      </w:pPr>
      <w:r>
        <w:rPr>
          <w:rFonts w:ascii="Arial" w:cs="Arial" w:eastAsia="Arial" w:hAnsi="Arial"/>
          <w:color w:val="2C2C2C"/>
          <w:sz w:val="22"/>
          <w:szCs w:val="22"/>
        </w:rPr>
        <w:t xml:space="preserve">Develop RESTful APIs with Node.js and Express</w:t>
      </w:r>
    </w:p>
    <w:p>
      <w:pPr>
        <w:pStyle w:val="ListParagraph"/>
        <w:numPr>
          <w:ilvl w:val="0"/>
          <w:numId w:val="2"/>
        </w:numPr>
        <w:spacing w:after="60" w:before="0"/>
      </w:pPr>
      <w:r>
        <w:rPr>
          <w:rFonts w:ascii="Arial" w:cs="Arial" w:eastAsia="Arial" w:hAnsi="Arial"/>
          <w:color w:val="2C2C2C"/>
          <w:sz w:val="22"/>
          <w:szCs w:val="22"/>
        </w:rPr>
        <w:t xml:space="preserve">Design and query relational and document databases</w:t>
      </w:r>
    </w:p>
    <w:p>
      <w:pPr>
        <w:pStyle w:val="ListParagraph"/>
        <w:numPr>
          <w:ilvl w:val="0"/>
          <w:numId w:val="2"/>
        </w:numPr>
        <w:spacing w:after="60" w:before="0"/>
      </w:pPr>
      <w:r>
        <w:rPr>
          <w:rFonts w:ascii="Arial" w:cs="Arial" w:eastAsia="Arial" w:hAnsi="Arial"/>
          <w:color w:val="2C2C2C"/>
          <w:sz w:val="22"/>
          <w:szCs w:val="22"/>
        </w:rPr>
        <w:t xml:space="preserve">Integrate third-party APIs and services</w:t>
      </w:r>
    </w:p>
    <w:p>
      <w:pPr>
        <w:pStyle w:val="ListParagraph"/>
        <w:numPr>
          <w:ilvl w:val="0"/>
          <w:numId w:val="2"/>
        </w:numPr>
        <w:spacing w:after="60" w:before="0"/>
      </w:pPr>
      <w:r>
        <w:rPr>
          <w:rFonts w:ascii="Arial" w:cs="Arial" w:eastAsia="Arial" w:hAnsi="Arial"/>
          <w:color w:val="2C2C2C"/>
          <w:sz w:val="22"/>
          <w:szCs w:val="22"/>
        </w:rPr>
        <w:t xml:space="preserve">Deploy a full-stack application to the cloud</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DevOps &amp; Cloud-Native</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Modern DevOps and cloud-native engineering. Covers Docker containerisation, Kubernetes orchestration, CI/CD pipelines (GitHub Actions), infrastructure as code with Terraform, and observability.</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Containerise applications with Docker</w:t>
      </w:r>
    </w:p>
    <w:p>
      <w:pPr>
        <w:pStyle w:val="ListParagraph"/>
        <w:numPr>
          <w:ilvl w:val="0"/>
          <w:numId w:val="2"/>
        </w:numPr>
        <w:spacing w:after="60" w:before="0"/>
      </w:pPr>
      <w:r>
        <w:rPr>
          <w:rFonts w:ascii="Arial" w:cs="Arial" w:eastAsia="Arial" w:hAnsi="Arial"/>
          <w:color w:val="2C2C2C"/>
          <w:sz w:val="22"/>
          <w:szCs w:val="22"/>
        </w:rPr>
        <w:t xml:space="preserve">Deploy and manage workloads on Kubernetes</w:t>
      </w:r>
    </w:p>
    <w:p>
      <w:pPr>
        <w:pStyle w:val="ListParagraph"/>
        <w:numPr>
          <w:ilvl w:val="0"/>
          <w:numId w:val="2"/>
        </w:numPr>
        <w:spacing w:after="60" w:before="0"/>
      </w:pPr>
      <w:r>
        <w:rPr>
          <w:rFonts w:ascii="Arial" w:cs="Arial" w:eastAsia="Arial" w:hAnsi="Arial"/>
          <w:color w:val="2C2C2C"/>
          <w:sz w:val="22"/>
          <w:szCs w:val="22"/>
        </w:rPr>
        <w:t xml:space="preserve">Design and implement CI/CD pipelines</w:t>
      </w:r>
    </w:p>
    <w:p>
      <w:pPr>
        <w:pStyle w:val="ListParagraph"/>
        <w:numPr>
          <w:ilvl w:val="0"/>
          <w:numId w:val="2"/>
        </w:numPr>
        <w:spacing w:after="60" w:before="0"/>
      </w:pPr>
      <w:r>
        <w:rPr>
          <w:rFonts w:ascii="Arial" w:cs="Arial" w:eastAsia="Arial" w:hAnsi="Arial"/>
          <w:color w:val="2C2C2C"/>
          <w:sz w:val="22"/>
          <w:szCs w:val="22"/>
        </w:rPr>
        <w:t xml:space="preserve">Provision cloud infrastructure with Terraform</w:t>
      </w:r>
    </w:p>
    <w:p>
      <w:pPr>
        <w:pStyle w:val="ListParagraph"/>
        <w:numPr>
          <w:ilvl w:val="0"/>
          <w:numId w:val="2"/>
        </w:numPr>
        <w:spacing w:after="60" w:before="0"/>
      </w:pPr>
      <w:r>
        <w:rPr>
          <w:rFonts w:ascii="Arial" w:cs="Arial" w:eastAsia="Arial" w:hAnsi="Arial"/>
          <w:color w:val="2C2C2C"/>
          <w:sz w:val="22"/>
          <w:szCs w:val="22"/>
        </w:rPr>
        <w:t xml:space="preserve">Implement monitoring, logging, and alerting systems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Platform Engineering</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Senior engineering programme on building internal developer platforms, SRE practices, platform product management, and FinOps. Prepares engineering leads to drive platform strategy at scale.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Design and build internal developer platforms</w:t>
      </w:r>
    </w:p>
    <w:p>
      <w:pPr>
        <w:pStyle w:val="ListParagraph"/>
        <w:numPr>
          <w:ilvl w:val="0"/>
          <w:numId w:val="2"/>
        </w:numPr>
        <w:spacing w:after="60" w:before="0"/>
      </w:pPr>
      <w:r>
        <w:rPr>
          <w:rFonts w:ascii="Arial" w:cs="Arial" w:eastAsia="Arial" w:hAnsi="Arial"/>
          <w:color w:val="2C2C2C"/>
          <w:sz w:val="22"/>
          <w:szCs w:val="22"/>
        </w:rPr>
        <w:t xml:space="preserve">Apply SRE principles: SLOs, SLAs, error budgets</w:t>
      </w:r>
    </w:p>
    <w:p>
      <w:pPr>
        <w:pStyle w:val="ListParagraph"/>
        <w:numPr>
          <w:ilvl w:val="0"/>
          <w:numId w:val="2"/>
        </w:numPr>
        <w:spacing w:after="60" w:before="0"/>
      </w:pPr>
      <w:r>
        <w:rPr>
          <w:rFonts w:ascii="Arial" w:cs="Arial" w:eastAsia="Arial" w:hAnsi="Arial"/>
          <w:color w:val="2C2C2C"/>
          <w:sz w:val="22"/>
          <w:szCs w:val="22"/>
        </w:rPr>
        <w:t xml:space="preserve">Lead FinOps practices for engineering teams</w:t>
      </w:r>
    </w:p>
    <w:p>
      <w:pPr>
        <w:pStyle w:val="ListParagraph"/>
        <w:numPr>
          <w:ilvl w:val="0"/>
          <w:numId w:val="2"/>
        </w:numPr>
        <w:spacing w:after="60" w:before="0"/>
      </w:pPr>
      <w:r>
        <w:rPr>
          <w:rFonts w:ascii="Arial" w:cs="Arial" w:eastAsia="Arial" w:hAnsi="Arial"/>
          <w:color w:val="2C2C2C"/>
          <w:sz w:val="22"/>
          <w:szCs w:val="22"/>
        </w:rPr>
        <w:t xml:space="preserve">Drive platform adoption and developer experience</w:t>
      </w:r>
    </w:p>
    <w:p>
      <w:pPr>
        <w:pStyle w:val="ListParagraph"/>
        <w:numPr>
          <w:ilvl w:val="0"/>
          <w:numId w:val="2"/>
        </w:numPr>
        <w:spacing w:after="60" w:before="0"/>
      </w:pPr>
      <w:r>
        <w:rPr>
          <w:rFonts w:ascii="Arial" w:cs="Arial" w:eastAsia="Arial" w:hAnsi="Arial"/>
          <w:color w:val="2C2C2C"/>
          <w:sz w:val="22"/>
          <w:szCs w:val="22"/>
        </w:rPr>
        <w:t xml:space="preserve">Manage platform roadmaps and stakeholder expectations</w:t>
      </w:r>
    </w:p>
    <w:p>
      <w:pPr>
        <w:spacing w:after="0" w:before="0"/>
      </w:pPr>
      <w:r>
        <w:t xml:space="preserve"/>
      </w:r>
    </w:p>
    <w:p>
      <w:pPr>
        <w:pStyle w:val="Heading2"/>
        <w:spacing w:after="100" w:before="240"/>
      </w:pPr>
      <w:r>
        <w:rPr>
          <w:rFonts w:ascii="Arial" w:cs="Arial" w:eastAsia="Arial" w:hAnsi="Arial"/>
          <w:b/>
          <w:bCs/>
          <w:color w:val="2C2C2C"/>
          <w:sz w:val="28"/>
          <w:szCs w:val="28"/>
        </w:rPr>
        <w:t xml:space="preserve">Digital Business</w:t>
      </w:r>
    </w:p>
    <w:p>
      <w:pPr>
        <w:pBdr>
          <w:bottom w:val="single" w:color="D3D1C7" w:sz="2" w:space="4"/>
        </w:pBdr>
        <w:spacing w:after="60" w:before="200"/>
      </w:pPr>
      <w:r>
        <w:rPr>
          <w:rFonts w:ascii="Arial" w:cs="Arial" w:eastAsia="Arial" w:hAnsi="Arial"/>
          <w:b/>
          <w:bCs/>
          <w:color w:val="000000"/>
          <w:sz w:val="24"/>
          <w:szCs w:val="24"/>
        </w:rPr>
        <w:t xml:space="preserve">Digital Entrepreneurship 101</w:t>
      </w:r>
      <w:r>
        <w:rPr>
          <w:rFonts w:ascii="Arial" w:cs="Arial" w:eastAsia="Arial" w:hAnsi="Arial"/>
          <w:i/>
          <w:iCs/>
          <w:color w:val="5F5E5A"/>
          <w:sz w:val="20"/>
          <w:szCs w:val="20"/>
        </w:rPr>
        <w:t xml:space="preserve">   Foundation — SETA L3–L4</w:t>
      </w:r>
    </w:p>
    <w:p>
      <w:pPr>
        <w:spacing w:after="80" w:before="0"/>
        <w:jc w:val="left"/>
      </w:pPr>
      <w:r>
        <w:rPr>
          <w:rFonts w:ascii="Arial" w:cs="Arial" w:eastAsia="Arial" w:hAnsi="Arial"/>
          <w:color w:val="2C2C2C"/>
          <w:sz w:val="22"/>
          <w:szCs w:val="22"/>
        </w:rPr>
        <w:t xml:space="preserve">Start and grow a digital venture from scratch. Covers digital business models, building an online presence, basic SEO, social media for business, and tools for managing a micro-enterprise online.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Define a viable digital business model</w:t>
      </w:r>
    </w:p>
    <w:p>
      <w:pPr>
        <w:pStyle w:val="ListParagraph"/>
        <w:numPr>
          <w:ilvl w:val="0"/>
          <w:numId w:val="2"/>
        </w:numPr>
        <w:spacing w:after="60" w:before="0"/>
      </w:pPr>
      <w:r>
        <w:rPr>
          <w:rFonts w:ascii="Arial" w:cs="Arial" w:eastAsia="Arial" w:hAnsi="Arial"/>
          <w:color w:val="2C2C2C"/>
          <w:sz w:val="22"/>
          <w:szCs w:val="22"/>
        </w:rPr>
        <w:t xml:space="preserve">Build a basic website or online store</w:t>
      </w:r>
    </w:p>
    <w:p>
      <w:pPr>
        <w:pStyle w:val="ListParagraph"/>
        <w:numPr>
          <w:ilvl w:val="0"/>
          <w:numId w:val="2"/>
        </w:numPr>
        <w:spacing w:after="60" w:before="0"/>
      </w:pPr>
      <w:r>
        <w:rPr>
          <w:rFonts w:ascii="Arial" w:cs="Arial" w:eastAsia="Arial" w:hAnsi="Arial"/>
          <w:color w:val="2C2C2C"/>
          <w:sz w:val="22"/>
          <w:szCs w:val="22"/>
        </w:rPr>
        <w:t xml:space="preserve">Apply SEO fundamentals to improve online visibility</w:t>
      </w:r>
    </w:p>
    <w:p>
      <w:pPr>
        <w:pStyle w:val="ListParagraph"/>
        <w:numPr>
          <w:ilvl w:val="0"/>
          <w:numId w:val="2"/>
        </w:numPr>
        <w:spacing w:after="60" w:before="0"/>
      </w:pPr>
      <w:r>
        <w:rPr>
          <w:rFonts w:ascii="Arial" w:cs="Arial" w:eastAsia="Arial" w:hAnsi="Arial"/>
          <w:color w:val="2C2C2C"/>
          <w:sz w:val="22"/>
          <w:szCs w:val="22"/>
        </w:rPr>
        <w:t xml:space="preserve">Use social media to grow an audience and sell</w:t>
      </w:r>
    </w:p>
    <w:p>
      <w:pPr>
        <w:pStyle w:val="ListParagraph"/>
        <w:numPr>
          <w:ilvl w:val="0"/>
          <w:numId w:val="2"/>
        </w:numPr>
        <w:spacing w:after="60" w:before="0"/>
      </w:pPr>
      <w:r>
        <w:rPr>
          <w:rFonts w:ascii="Arial" w:cs="Arial" w:eastAsia="Arial" w:hAnsi="Arial"/>
          <w:color w:val="2C2C2C"/>
          <w:sz w:val="22"/>
          <w:szCs w:val="22"/>
        </w:rPr>
        <w:t xml:space="preserve">Manage digital tools for a micro-enterprise</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E-Commerce &amp; Marketing</w:t>
      </w:r>
      <w:r>
        <w:rPr>
          <w:rFonts w:ascii="Arial" w:cs="Arial" w:eastAsia="Arial" w:hAnsi="Arial"/>
          <w:i/>
          <w:iCs/>
          <w:color w:val="5F5E5A"/>
          <w:sz w:val="20"/>
          <w:szCs w:val="20"/>
        </w:rPr>
        <w:t xml:space="preserve">   Associate — SETA L5</w:t>
      </w:r>
    </w:p>
    <w:p>
      <w:pPr>
        <w:spacing w:after="80" w:before="0"/>
        <w:jc w:val="left"/>
      </w:pPr>
      <w:r>
        <w:rPr>
          <w:rFonts w:ascii="Arial" w:cs="Arial" w:eastAsia="Arial" w:hAnsi="Arial"/>
          <w:color w:val="2C2C2C"/>
          <w:sz w:val="22"/>
          <w:szCs w:val="22"/>
        </w:rPr>
        <w:t xml:space="preserve">Grow and scale an online business. Covers Shopify store management, paid advertising (Google and Meta Ads), email marketing, social media strategy, and reading analytics to improve performance.</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Launch and manage a Shopify e-commerce store</w:t>
      </w:r>
    </w:p>
    <w:p>
      <w:pPr>
        <w:pStyle w:val="ListParagraph"/>
        <w:numPr>
          <w:ilvl w:val="0"/>
          <w:numId w:val="2"/>
        </w:numPr>
        <w:spacing w:after="60" w:before="0"/>
      </w:pPr>
      <w:r>
        <w:rPr>
          <w:rFonts w:ascii="Arial" w:cs="Arial" w:eastAsia="Arial" w:hAnsi="Arial"/>
          <w:color w:val="2C2C2C"/>
          <w:sz w:val="22"/>
          <w:szCs w:val="22"/>
        </w:rPr>
        <w:t xml:space="preserve">Plan and run Google and Meta ad campaigns</w:t>
      </w:r>
    </w:p>
    <w:p>
      <w:pPr>
        <w:pStyle w:val="ListParagraph"/>
        <w:numPr>
          <w:ilvl w:val="0"/>
          <w:numId w:val="2"/>
        </w:numPr>
        <w:spacing w:after="60" w:before="0"/>
      </w:pPr>
      <w:r>
        <w:rPr>
          <w:rFonts w:ascii="Arial" w:cs="Arial" w:eastAsia="Arial" w:hAnsi="Arial"/>
          <w:color w:val="2C2C2C"/>
          <w:sz w:val="22"/>
          <w:szCs w:val="22"/>
        </w:rPr>
        <w:t xml:space="preserve">Build and automate email marketing workflows</w:t>
      </w:r>
    </w:p>
    <w:p>
      <w:pPr>
        <w:pStyle w:val="ListParagraph"/>
        <w:numPr>
          <w:ilvl w:val="0"/>
          <w:numId w:val="2"/>
        </w:numPr>
        <w:spacing w:after="60" w:before="0"/>
      </w:pPr>
      <w:r>
        <w:rPr>
          <w:rFonts w:ascii="Arial" w:cs="Arial" w:eastAsia="Arial" w:hAnsi="Arial"/>
          <w:color w:val="2C2C2C"/>
          <w:sz w:val="22"/>
          <w:szCs w:val="22"/>
        </w:rPr>
        <w:t xml:space="preserve">Analyse web and social analytics for insights</w:t>
      </w:r>
    </w:p>
    <w:p>
      <w:pPr>
        <w:pStyle w:val="ListParagraph"/>
        <w:numPr>
          <w:ilvl w:val="0"/>
          <w:numId w:val="2"/>
        </w:numPr>
        <w:spacing w:after="60" w:before="0"/>
      </w:pPr>
      <w:r>
        <w:rPr>
          <w:rFonts w:ascii="Arial" w:cs="Arial" w:eastAsia="Arial" w:hAnsi="Arial"/>
          <w:color w:val="2C2C2C"/>
          <w:sz w:val="22"/>
          <w:szCs w:val="22"/>
        </w:rPr>
        <w:t xml:space="preserve">Develop a digital marketing strategy</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Digital Business Strategy</w:t>
      </w:r>
      <w:r>
        <w:rPr>
          <w:rFonts w:ascii="Arial" w:cs="Arial" w:eastAsia="Arial" w:hAnsi="Arial"/>
          <w:i/>
          <w:iCs/>
          <w:color w:val="5F5E5A"/>
          <w:sz w:val="20"/>
          <w:szCs w:val="20"/>
        </w:rPr>
        <w:t xml:space="preserve">   Professional — SETA L6</w:t>
      </w:r>
    </w:p>
    <w:p>
      <w:pPr>
        <w:spacing w:after="80" w:before="0"/>
        <w:jc w:val="left"/>
      </w:pPr>
      <w:r>
        <w:rPr>
          <w:rFonts w:ascii="Arial" w:cs="Arial" w:eastAsia="Arial" w:hAnsi="Arial"/>
          <w:color w:val="2C2C2C"/>
          <w:sz w:val="22"/>
          <w:szCs w:val="22"/>
        </w:rPr>
        <w:t xml:space="preserve">Develop skills to lead digital product and growth strategy. Covers product management methodologies, growth hacking, revenue model design, digital partnerships, and competitive analysis in African digital markets.</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Define and manage a digital product roadmap</w:t>
      </w:r>
    </w:p>
    <w:p>
      <w:pPr>
        <w:pStyle w:val="ListParagraph"/>
        <w:numPr>
          <w:ilvl w:val="0"/>
          <w:numId w:val="2"/>
        </w:numPr>
        <w:spacing w:after="60" w:before="0"/>
      </w:pPr>
      <w:r>
        <w:rPr>
          <w:rFonts w:ascii="Arial" w:cs="Arial" w:eastAsia="Arial" w:hAnsi="Arial"/>
          <w:color w:val="2C2C2C"/>
          <w:sz w:val="22"/>
          <w:szCs w:val="22"/>
        </w:rPr>
        <w:t xml:space="preserve">Apply agile and lean product development methods</w:t>
      </w:r>
    </w:p>
    <w:p>
      <w:pPr>
        <w:pStyle w:val="ListParagraph"/>
        <w:numPr>
          <w:ilvl w:val="0"/>
          <w:numId w:val="2"/>
        </w:numPr>
        <w:spacing w:after="60" w:before="0"/>
      </w:pPr>
      <w:r>
        <w:rPr>
          <w:rFonts w:ascii="Arial" w:cs="Arial" w:eastAsia="Arial" w:hAnsi="Arial"/>
          <w:color w:val="2C2C2C"/>
          <w:sz w:val="22"/>
          <w:szCs w:val="22"/>
        </w:rPr>
        <w:t xml:space="preserve">Design sustainable digital revenue models</w:t>
      </w:r>
    </w:p>
    <w:p>
      <w:pPr>
        <w:pStyle w:val="ListParagraph"/>
        <w:numPr>
          <w:ilvl w:val="0"/>
          <w:numId w:val="2"/>
        </w:numPr>
        <w:spacing w:after="60" w:before="0"/>
      </w:pPr>
      <w:r>
        <w:rPr>
          <w:rFonts w:ascii="Arial" w:cs="Arial" w:eastAsia="Arial" w:hAnsi="Arial"/>
          <w:color w:val="2C2C2C"/>
          <w:sz w:val="22"/>
          <w:szCs w:val="22"/>
        </w:rPr>
        <w:t xml:space="preserve">Identify growth levers and execute growth experiments</w:t>
      </w:r>
    </w:p>
    <w:p>
      <w:pPr>
        <w:pStyle w:val="ListParagraph"/>
        <w:numPr>
          <w:ilvl w:val="0"/>
          <w:numId w:val="2"/>
        </w:numPr>
        <w:spacing w:after="60" w:before="0"/>
      </w:pPr>
      <w:r>
        <w:rPr>
          <w:rFonts w:ascii="Arial" w:cs="Arial" w:eastAsia="Arial" w:hAnsi="Arial"/>
          <w:color w:val="2C2C2C"/>
          <w:sz w:val="22"/>
          <w:szCs w:val="22"/>
        </w:rPr>
        <w:t xml:space="preserve">Analyse competitive dynamics in African digital markets</w:t>
      </w:r>
    </w:p>
    <w:p>
      <w:pPr>
        <w:spacing w:after="0" w:before="0"/>
      </w:pPr>
      <w:r>
        <w:t xml:space="preserve"/>
      </w:r>
    </w:p>
    <w:p>
      <w:pPr>
        <w:pBdr>
          <w:bottom w:val="single" w:color="D3D1C7" w:sz="2" w:space="4"/>
        </w:pBdr>
        <w:spacing w:after="60" w:before="200"/>
      </w:pPr>
      <w:r>
        <w:rPr>
          <w:rFonts w:ascii="Arial" w:cs="Arial" w:eastAsia="Arial" w:hAnsi="Arial"/>
          <w:b/>
          <w:bCs/>
          <w:color w:val="000000"/>
          <w:sz w:val="24"/>
          <w:szCs w:val="24"/>
        </w:rPr>
        <w:t xml:space="preserve">Innovation &amp; Ventures</w:t>
      </w:r>
      <w:r>
        <w:rPr>
          <w:rFonts w:ascii="Arial" w:cs="Arial" w:eastAsia="Arial" w:hAnsi="Arial"/>
          <w:i/>
          <w:iCs/>
          <w:color w:val="5F5E5A"/>
          <w:sz w:val="20"/>
          <w:szCs w:val="20"/>
        </w:rPr>
        <w:t xml:space="preserve">   Enterprise — SETA L7–L8</w:t>
      </w:r>
    </w:p>
    <w:p>
      <w:pPr>
        <w:spacing w:after="80" w:before="0"/>
        <w:jc w:val="left"/>
      </w:pPr>
      <w:r>
        <w:rPr>
          <w:rFonts w:ascii="Arial" w:cs="Arial" w:eastAsia="Arial" w:hAnsi="Arial"/>
          <w:color w:val="2C2C2C"/>
          <w:sz w:val="22"/>
          <w:szCs w:val="22"/>
        </w:rPr>
        <w:t xml:space="preserve">Executive programme for founders, investors, and corporate innovation leaders. Covers venture building, startup fundraising, scaling across African markets, corporate innovation programmes, and impact measurement.</w:t>
      </w:r>
    </w:p>
    <w:p>
      <w:pPr>
        <w:spacing w:after="20" w:before="60"/>
        <w:jc w:val="left"/>
      </w:pPr>
      <w:r>
        <w:rPr>
          <w:rFonts w:ascii="Arial" w:cs="Arial" w:eastAsia="Arial" w:hAnsi="Arial"/>
          <w:b/>
          <w:bCs/>
          <w:color w:val="2C2C2C"/>
          <w:sz w:val="22"/>
          <w:szCs w:val="22"/>
        </w:rPr>
        <w:t xml:space="preserve">Learning outcomes:</w:t>
      </w:r>
    </w:p>
    <w:p>
      <w:pPr>
        <w:pStyle w:val="ListParagraph"/>
        <w:numPr>
          <w:ilvl w:val="0"/>
          <w:numId w:val="2"/>
        </w:numPr>
        <w:spacing w:after="60" w:before="0"/>
      </w:pPr>
      <w:r>
        <w:rPr>
          <w:rFonts w:ascii="Arial" w:cs="Arial" w:eastAsia="Arial" w:hAnsi="Arial"/>
          <w:color w:val="2C2C2C"/>
          <w:sz w:val="22"/>
          <w:szCs w:val="22"/>
        </w:rPr>
        <w:t xml:space="preserve">Build and pitch a venture-scale digital business</w:t>
      </w:r>
    </w:p>
    <w:p>
      <w:pPr>
        <w:pStyle w:val="ListParagraph"/>
        <w:numPr>
          <w:ilvl w:val="0"/>
          <w:numId w:val="2"/>
        </w:numPr>
        <w:spacing w:after="60" w:before="0"/>
      </w:pPr>
      <w:r>
        <w:rPr>
          <w:rFonts w:ascii="Arial" w:cs="Arial" w:eastAsia="Arial" w:hAnsi="Arial"/>
          <w:color w:val="2C2C2C"/>
          <w:sz w:val="22"/>
          <w:szCs w:val="22"/>
        </w:rPr>
        <w:t xml:space="preserve">Navigate fundraising from angels to Series A</w:t>
      </w:r>
    </w:p>
    <w:p>
      <w:pPr>
        <w:pStyle w:val="ListParagraph"/>
        <w:numPr>
          <w:ilvl w:val="0"/>
          <w:numId w:val="2"/>
        </w:numPr>
        <w:spacing w:after="60" w:before="0"/>
      </w:pPr>
      <w:r>
        <w:rPr>
          <w:rFonts w:ascii="Arial" w:cs="Arial" w:eastAsia="Arial" w:hAnsi="Arial"/>
          <w:color w:val="2C2C2C"/>
          <w:sz w:val="22"/>
          <w:szCs w:val="22"/>
        </w:rPr>
        <w:t xml:space="preserve">Develop a market entry strategy for African expansion</w:t>
      </w:r>
    </w:p>
    <w:p>
      <w:pPr>
        <w:pStyle w:val="ListParagraph"/>
        <w:numPr>
          <w:ilvl w:val="0"/>
          <w:numId w:val="2"/>
        </w:numPr>
        <w:spacing w:after="60" w:before="0"/>
      </w:pPr>
      <w:r>
        <w:rPr>
          <w:rFonts w:ascii="Arial" w:cs="Arial" w:eastAsia="Arial" w:hAnsi="Arial"/>
          <w:color w:val="2C2C2C"/>
          <w:sz w:val="22"/>
          <w:szCs w:val="22"/>
        </w:rPr>
        <w:t xml:space="preserve">Design corporate innovation programmes</w:t>
      </w:r>
    </w:p>
    <w:p>
      <w:pPr>
        <w:pStyle w:val="ListParagraph"/>
        <w:numPr>
          <w:ilvl w:val="0"/>
          <w:numId w:val="2"/>
        </w:numPr>
        <w:spacing w:after="60" w:before="0"/>
      </w:pPr>
      <w:r>
        <w:rPr>
          <w:rFonts w:ascii="Arial" w:cs="Arial" w:eastAsia="Arial" w:hAnsi="Arial"/>
          <w:color w:val="2C2C2C"/>
          <w:sz w:val="22"/>
          <w:szCs w:val="22"/>
        </w:rPr>
        <w:t xml:space="preserve">Measure social and economic impact of digital ventures</w:t>
      </w:r>
    </w:p>
    <w:p>
      <w:pPr>
        <w:spacing w:after="0" w:before="0"/>
      </w:pPr>
      <w:r>
        <w:t xml:space="preserve"/>
      </w:r>
    </w:p>
    <w:p>
      <w:r>
        <w:br w:type="page"/>
      </w:r>
    </w:p>
    <w:p>
      <w:pPr>
        <w:spacing w:after="80" w:before="720"/>
        <w:jc w:val="center"/>
      </w:pPr>
      <w:r>
        <w:rPr>
          <w:rFonts w:ascii="Arial" w:cs="Arial" w:eastAsia="Arial" w:hAnsi="Arial"/>
          <w:b/>
          <w:bCs/>
          <w:color w:val="000000"/>
          <w:sz w:val="40"/>
          <w:szCs w:val="40"/>
        </w:rPr>
        <w:t xml:space="preserve">GINASHE DIGITAL ACADEMY</w:t>
      </w:r>
    </w:p>
    <w:p>
      <w:pPr>
        <w:spacing w:after="40" w:before="0"/>
        <w:jc w:val="center"/>
      </w:pPr>
      <w:r>
        <w:rPr>
          <w:rFonts w:ascii="Arial" w:cs="Arial" w:eastAsia="Arial" w:hAnsi="Arial"/>
          <w:i/>
          <w:iCs/>
          <w:color w:val="5F5E5A"/>
          <w:sz w:val="24"/>
          <w:szCs w:val="24"/>
        </w:rPr>
        <w:t xml:space="preserve">Making Digital Transformation a Reality — for Every South African</w:t>
      </w:r>
    </w:p>
    <w:p>
      <w:pPr>
        <w:spacing w:after="0" w:before="40"/>
        <w:jc w:val="center"/>
      </w:pPr>
      <w:r>
        <w:rPr>
          <w:rFonts w:ascii="Arial" w:cs="Arial" w:eastAsia="Arial" w:hAnsi="Arial"/>
          <w:color w:val="185FA5"/>
          <w:sz w:val="22"/>
          <w:szCs w:val="22"/>
        </w:rPr>
        <w:t xml:space="preserve">A Ginashe Group Initiative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5F5E5A"/>
        <w:sz w:val="16"/>
        <w:szCs w:val="16"/>
      </w:rPr>
      <w:t xml:space="preserve">Confidential — Ginashe Digital Academy © 2025   |   SETA-aligned · QCTO-ready · Pan-African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pPr>
    <w:r>
      <w:rPr>
        <w:rFonts w:ascii="Arial" w:cs="Arial" w:eastAsia="Arial" w:hAnsi="Arial"/>
        <w:b/>
        <w:bCs/>
        <w:color w:val="185FA5"/>
        <w:sz w:val="18"/>
        <w:szCs w:val="18"/>
      </w:rPr>
      <w:t xml:space="preserve">GINASHE DIGITAL ACADEMY</w:t>
    </w:r>
    <w:r>
      <w:rPr>
        <w:rFonts w:ascii="Arial" w:cs="Arial" w:eastAsia="Arial" w:hAnsi="Arial"/>
        <w:color w:val="5F5E5A"/>
        <w:sz w:val="18"/>
        <w:szCs w:val="18"/>
      </w:rPr>
      <w:t xml:space="preserve">   |   Phase 1 — Curriculum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2026-04-11T16:30:10.151Z</dcterms:created>
  <dcterms:modified xsi:type="dcterms:W3CDTF">2026-04-11T16:30:10.152Z</dcterms:modified>
</cp:coreProperties>
</file>

<file path=docProps/custom.xml><?xml version="1.0" encoding="utf-8"?>
<Properties xmlns="http://schemas.openxmlformats.org/officeDocument/2006/custom-properties" xmlns:vt="http://schemas.openxmlformats.org/officeDocument/2006/docPropsVTypes"/>
</file>