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71625"/>
                    </a:xfrm>
                    <a:prstGeom prst="rect">
                      <a:avLst/>
                    </a:prstGeom>
                  </pic:spPr>
                </pic:pic>
              </a:graphicData>
            </a:graphic>
          </wp:inline>
        </w:drawing>
      </w:r>
    </w:p>
    <w:p>
      <w:pPr>
        <w:pBdr>
          <w:bottom w:val="single" w:color="0F6E56" w:sz="4" w:space="1"/>
        </w:pBdr>
        <w:spacing w:after="80" w:before="80"/>
      </w:pPr>
    </w:p>
    <w:p>
      <w:pPr>
        <w:spacing w:after="240" w:before="0"/>
      </w:pPr>
    </w:p>
    <w:p>
      <w:pPr>
        <w:spacing w:after="60" w:before="0"/>
        <w:jc w:val="center"/>
      </w:pPr>
      <w:r>
        <w:rPr>
          <w:rFonts w:ascii="Arial" w:cs="Arial" w:eastAsia="Arial" w:hAnsi="Arial"/>
          <w:color w:val="5A6A7A"/>
          <w:sz w:val="30"/>
          <w:szCs w:val="30"/>
        </w:rPr>
        <w:t xml:space="preserve">Strategic Blueprint</w:t>
      </w:r>
    </w:p>
    <w:p>
      <w:pPr>
        <w:spacing w:after="40" w:before="0"/>
        <w:jc w:val="center"/>
      </w:pPr>
      <w:r>
        <w:rPr>
          <w:rFonts w:ascii="Arial Black" w:cs="Arial Black" w:eastAsia="Arial Black" w:hAnsi="Arial Black"/>
          <w:b/>
          <w:bCs/>
          <w:color w:val="0B0C10"/>
          <w:spacing w:val="120"/>
          <w:sz w:val="80"/>
          <w:szCs w:val="80"/>
        </w:rPr>
        <w:t xml:space="preserve">PHASE 1</w:t>
      </w:r>
    </w:p>
    <w:p>
      <w:pPr>
        <w:spacing w:after="40" w:before="0"/>
        <w:jc w:val="center"/>
      </w:pPr>
      <w:r>
        <w:rPr>
          <w:rFonts w:ascii="Arial" w:cs="Arial" w:eastAsia="Arial" w:hAnsi="Arial"/>
          <w:b/>
          <w:bCs/>
          <w:color w:val="0F6E56"/>
          <w:sz w:val="48"/>
          <w:szCs w:val="48"/>
        </w:rPr>
        <w:t xml:space="preserve">Stream Mapping</w:t>
      </w:r>
    </w:p>
    <w:p>
      <w:pPr>
        <w:spacing w:after="200" w:before="80"/>
        <w:jc w:val="center"/>
      </w:pPr>
      <w:r>
        <w:rPr>
          <w:rFonts w:ascii="Arial" w:cs="Arial" w:eastAsia="Arial" w:hAnsi="Arial"/>
          <w:b w:val="false"/>
          <w:bCs w:val="false"/>
          <w:i/>
          <w:iCs/>
          <w:color w:val="5A6A7A"/>
          <w:sz w:val="28"/>
          <w:szCs w:val="28"/>
        </w:rPr>
        <w:t xml:space="preserve">10 streams · 80+ courses · purpose-built for Africa</w:t>
      </w:r>
    </w:p>
    <w:p>
      <w:pPr>
        <w:spacing w:after="240" w:before="0"/>
      </w:pPr>
    </w:p>
    <w:p>
      <w:pPr>
        <w:pBdr>
          <w:bottom w:val="single" w:color="0F6E56" w:sz="4" w:space="1"/>
        </w:pBdr>
        <w:spacing w:after="80" w:before="80"/>
      </w:pPr>
    </w:p>
    <w:p>
      <w:pPr>
        <w:spacing w:after="120" w:before="0"/>
      </w:pPr>
    </w:p>
    <w:p>
      <w:pPr>
        <w:spacing w:after="40" w:before="0"/>
        <w:jc w:val="left"/>
      </w:pPr>
      <w:r>
        <w:rPr>
          <w:rFonts w:ascii="Arial" w:cs="Arial" w:eastAsia="Arial" w:hAnsi="Arial"/>
          <w:b/>
          <w:bCs/>
          <w:i w:val="false"/>
          <w:iCs w:val="false"/>
          <w:color w:val="0F6E56"/>
          <w:sz w:val="22"/>
          <w:szCs w:val="22"/>
        </w:rPr>
        <w:t xml:space="preserve">Mission</w:t>
      </w:r>
    </w:p>
    <w:p>
      <w:pPr>
        <w:spacing w:after="120" w:before="0"/>
        <w:jc w:val="left"/>
      </w:pPr>
      <w:r>
        <w:rPr>
          <w:rFonts w:ascii="Arial" w:cs="Arial" w:eastAsia="Arial" w:hAnsi="Arial"/>
          <w:b w:val="false"/>
          <w:bCs w:val="false"/>
          <w:i/>
          <w:iCs/>
          <w:color w:val="0B0C10"/>
          <w:sz w:val="28"/>
          <w:szCs w:val="28"/>
        </w:rPr>
        <w:t xml:space="preserve">Making transformation a reality — one learner at a time.</w:t>
      </w:r>
    </w:p>
    <w:p>
      <w:pPr>
        <w:spacing w:after="40" w:before="0"/>
        <w:jc w:val="left"/>
      </w:pPr>
      <w:r>
        <w:rPr>
          <w:rFonts w:ascii="Arial" w:cs="Arial" w:eastAsia="Arial" w:hAnsi="Arial"/>
          <w:b/>
          <w:bCs/>
          <w:i w:val="false"/>
          <w:iCs w:val="false"/>
          <w:color w:val="0F6E56"/>
          <w:sz w:val="22"/>
          <w:szCs w:val="22"/>
        </w:rPr>
        <w:t xml:space="preserve">Vision</w:t>
      </w:r>
    </w:p>
    <w:p>
      <w:pPr>
        <w:spacing w:after="120" w:before="0"/>
        <w:jc w:val="left"/>
      </w:pPr>
      <w:r>
        <w:rPr>
          <w:rFonts w:ascii="Arial" w:cs="Arial" w:eastAsia="Arial" w:hAnsi="Arial"/>
          <w:b w:val="false"/>
          <w:bCs w:val="false"/>
          <w:i/>
          <w:iCs/>
          <w:color w:val="0B0C10"/>
          <w:sz w:val="28"/>
          <w:szCs w:val="28"/>
        </w:rPr>
        <w:t xml:space="preserve">Africa's most trusted and accessible skills academy.</w:t>
      </w:r>
    </w:p>
    <w:p>
      <w:pPr>
        <w:spacing w:after="40" w:before="0"/>
        <w:jc w:val="left"/>
      </w:pPr>
      <w:r>
        <w:rPr>
          <w:rFonts w:ascii="Arial" w:cs="Arial" w:eastAsia="Arial" w:hAnsi="Arial"/>
          <w:b/>
          <w:bCs/>
          <w:i w:val="false"/>
          <w:iCs w:val="false"/>
          <w:color w:val="0F6E56"/>
          <w:sz w:val="22"/>
          <w:szCs w:val="22"/>
        </w:rPr>
        <w:t xml:space="preserve">Master tagline</w:t>
      </w:r>
    </w:p>
    <w:p>
      <w:pPr>
        <w:spacing w:after="200" w:before="0"/>
        <w:jc w:val="left"/>
      </w:pPr>
      <w:r>
        <w:rPr>
          <w:rFonts w:ascii="Arial" w:cs="Arial" w:eastAsia="Arial" w:hAnsi="Arial"/>
          <w:b w:val="false"/>
          <w:bCs w:val="false"/>
          <w:i/>
          <w:iCs/>
          <w:color w:val="0B0C10"/>
          <w:sz w:val="28"/>
          <w:szCs w:val="28"/>
        </w:rPr>
        <w:t xml:space="preserve">"Build Something Real" — applicable across every stream.</w:t>
      </w:r>
    </w:p>
    <w:p>
      <w:pPr>
        <w:pBdr>
          <w:bottom w:val="single" w:color="C8D4E0" w:sz="4" w:space="1"/>
        </w:pBdr>
        <w:spacing w:after="80" w:before="80"/>
      </w:pPr>
    </w:p>
    <w:p>
      <w:pPr>
        <w:spacing w:after="120" w:before="0"/>
      </w:pPr>
    </w:p>
    <w:p>
      <w:pPr>
        <w:spacing w:after="40" w:before="0"/>
        <w:jc w:val="left"/>
      </w:pPr>
      <w:r>
        <w:rPr>
          <w:rFonts w:ascii="Arial" w:cs="Arial" w:eastAsia="Arial" w:hAnsi="Arial"/>
          <w:b w:val="false"/>
          <w:bCs w:val="false"/>
          <w:i/>
          <w:iCs/>
          <w:color w:val="5A6A7A"/>
          <w:sz w:val="20"/>
          <w:szCs w:val="20"/>
        </w:rPr>
        <w:t xml:space="preserve">Document 1 of 4 in the Ginashe Academy Strategic Blueprint</w:t>
      </w:r>
    </w:p>
    <w:p>
      <w:pPr>
        <w:spacing w:after="40" w:before="0"/>
        <w:jc w:val="left"/>
      </w:pPr>
      <w:r>
        <w:rPr>
          <w:rFonts w:ascii="Arial" w:cs="Arial" w:eastAsia="Arial" w:hAnsi="Arial"/>
          <w:b w:val="false"/>
          <w:bCs w:val="false"/>
          <w:i w:val="false"/>
          <w:iCs w:val="false"/>
          <w:color w:val="5A6A7A"/>
          <w:sz w:val="20"/>
          <w:szCs w:val="20"/>
        </w:rPr>
        <w:t xml:space="preserve">Issued: 3 May 2026</w:t>
      </w:r>
    </w:p>
    <w:p>
      <w:pPr>
        <w:spacing w:after="120" w:before="0"/>
        <w:jc w:val="left"/>
      </w:pPr>
      <w:r>
        <w:rPr>
          <w:rFonts w:ascii="Arial" w:cs="Arial" w:eastAsia="Arial" w:hAnsi="Arial"/>
          <w:b w:val="false"/>
          <w:bCs w:val="false"/>
          <w:i w:val="false"/>
          <w:iCs w:val="false"/>
          <w:color w:val="5A6A7A"/>
          <w:sz w:val="20"/>
          <w:szCs w:val="20"/>
        </w:rPr>
        <w:t xml:space="preserve">Prepared by Ginashe Group  ·  Ginashe Academy (Pty) Ltd</w:t>
      </w: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1 — Strategic Context</w:t>
      </w:r>
    </w:p>
    <w:p>
      <w:pPr>
        <w:spacing w:after="120" w:before="0"/>
        <w:jc w:val="left"/>
      </w:pPr>
      <w:r>
        <w:rPr>
          <w:rFonts w:ascii="Arial" w:cs="Arial" w:eastAsia="Arial" w:hAnsi="Arial"/>
          <w:b w:val="false"/>
          <w:bCs w:val="false"/>
          <w:i w:val="false"/>
          <w:iCs w:val="false"/>
          <w:color w:val="000000"/>
          <w:sz w:val="22"/>
          <w:szCs w:val="22"/>
        </w:rPr>
        <w:t xml:space="preserve">Ginashe Academy is a pan-African skills academy operating from ginashe.academy, incorporated as Ginashe Academy (Pty) Ltd. The Academy began as the Digital Systems Stream (DSS), focused on cloud computing through the Cloud Launchpad programme. With the acquisition of the ginashe.academy domain and the strategic decision to expand beyond the digital niche, DSS becomes one of ten streams within a broader institution serving the most urgent skill demands of South Africa and the African continent.</w:t>
      </w:r>
    </w:p>
    <w:p>
      <w:pPr>
        <w:spacing w:after="120" w:before="0"/>
        <w:jc w:val="left"/>
      </w:pPr>
      <w:r>
        <w:rPr>
          <w:rFonts w:ascii="Arial" w:cs="Arial" w:eastAsia="Arial" w:hAnsi="Arial"/>
          <w:b w:val="false"/>
          <w:bCs w:val="false"/>
          <w:i w:val="false"/>
          <w:iCs w:val="false"/>
          <w:color w:val="000000"/>
          <w:sz w:val="22"/>
          <w:szCs w:val="22"/>
        </w:rPr>
        <w:t xml:space="preserve">This document — Phase 1 of 4 — presents the stream mapping. It sets out which streams will be established, why each is strategically important for the South African and continental context, and the order of priority for launch.</w:t>
      </w:r>
    </w:p>
    <w:p>
      <w:pPr>
        <w:spacing w:after="80" w:before="0"/>
        <w:jc w:val="left"/>
      </w:pPr>
      <w:r>
        <w:rPr>
          <w:rFonts w:ascii="Arial" w:cs="Arial" w:eastAsia="Arial" w:hAnsi="Arial"/>
          <w:b w:val="false"/>
          <w:bCs w:val="false"/>
          <w:i w:val="false"/>
          <w:iCs w:val="false"/>
          <w:color w:val="000000"/>
          <w:sz w:val="22"/>
          <w:szCs w:val="22"/>
        </w:rPr>
        <w:t xml:space="preserve">Subsequent documents in the Strategic Blueprint cover:</w:t>
      </w:r>
    </w:p>
    <w:p>
      <w:pPr>
        <w:pStyle w:val="ListParagraph"/>
        <w:numPr>
          <w:ilvl w:val="0"/>
          <w:numId w:val="2"/>
        </w:numPr>
        <w:spacing w:after="60" w:before="0"/>
      </w:pPr>
      <w:r>
        <w:rPr>
          <w:rFonts w:ascii="Arial" w:cs="Arial" w:eastAsia="Arial" w:hAnsi="Arial"/>
          <w:color w:val="000000"/>
          <w:sz w:val="22"/>
          <w:szCs w:val="22"/>
        </w:rPr>
        <w:t xml:space="preserve">Phase 2 — Curriculum Blueprint: detailed course structures, NQF levels, and delivery models for all 80+ courses.</w:t>
      </w:r>
    </w:p>
    <w:p>
      <w:pPr>
        <w:pStyle w:val="ListParagraph"/>
        <w:numPr>
          <w:ilvl w:val="0"/>
          <w:numId w:val="2"/>
        </w:numPr>
        <w:spacing w:after="60" w:before="0"/>
      </w:pPr>
      <w:r>
        <w:rPr>
          <w:rFonts w:ascii="Arial" w:cs="Arial" w:eastAsia="Arial" w:hAnsi="Arial"/>
          <w:color w:val="000000"/>
          <w:sz w:val="22"/>
          <w:szCs w:val="22"/>
        </w:rPr>
        <w:t xml:space="preserve">Phase 3 — Delivery, LMS &amp; Revenue: delivery channels, accreditation roadmap, LMS architecture, facilitator training, and the revenue model.</w:t>
      </w:r>
    </w:p>
    <w:p>
      <w:pPr>
        <w:pStyle w:val="ListParagraph"/>
        <w:numPr>
          <w:ilvl w:val="0"/>
          <w:numId w:val="2"/>
        </w:numPr>
        <w:spacing w:after="60" w:before="0"/>
      </w:pPr>
      <w:r>
        <w:rPr>
          <w:rFonts w:ascii="Arial" w:cs="Arial" w:eastAsia="Arial" w:hAnsi="Arial"/>
          <w:color w:val="000000"/>
          <w:sz w:val="22"/>
          <w:szCs w:val="22"/>
        </w:rPr>
        <w:t xml:space="preserve">Phase 4 — Governance, Brand &amp; Web: board structure, brand identity system, website architecture, partnership framework, and legal structure.</w:t>
      </w:r>
    </w:p>
    <w:p>
      <w:pPr>
        <w:spacing w:after="120" w:before="0"/>
      </w:pPr>
    </w:p>
    <w:p>
      <w:pPr>
        <w:pStyle w:val="Heading2"/>
        <w:spacing w:after="100" w:before="240"/>
      </w:pPr>
      <w:r>
        <w:rPr>
          <w:rFonts w:ascii="Arial" w:cs="Arial" w:eastAsia="Arial" w:hAnsi="Arial"/>
          <w:b/>
          <w:bCs/>
          <w:color w:val="0F6E56"/>
          <w:sz w:val="24"/>
          <w:szCs w:val="24"/>
        </w:rPr>
        <w:t xml:space="preserve">Selection criteria</w:t>
      </w:r>
    </w:p>
    <w:p>
      <w:pPr>
        <w:spacing w:after="80" w:before="0"/>
        <w:jc w:val="left"/>
      </w:pPr>
      <w:r>
        <w:rPr>
          <w:rFonts w:ascii="Arial" w:cs="Arial" w:eastAsia="Arial" w:hAnsi="Arial"/>
          <w:b w:val="false"/>
          <w:bCs w:val="false"/>
          <w:i w:val="false"/>
          <w:iCs w:val="false"/>
          <w:color w:val="000000"/>
          <w:sz w:val="22"/>
          <w:szCs w:val="22"/>
        </w:rPr>
        <w:t xml:space="preserve">The 10 streams were selected and ranked using four criteria:</w:t>
      </w:r>
    </w:p>
    <w:p>
      <w:pPr>
        <w:pStyle w:val="ListParagraph"/>
        <w:numPr>
          <w:ilvl w:val="0"/>
          <w:numId w:val="2"/>
        </w:numPr>
        <w:spacing w:after="60" w:before="0"/>
      </w:pPr>
      <w:r>
        <w:rPr>
          <w:rFonts w:ascii="Arial" w:cs="Arial" w:eastAsia="Arial" w:hAnsi="Arial"/>
          <w:color w:val="000000"/>
          <w:sz w:val="22"/>
          <w:szCs w:val="22"/>
        </w:rPr>
        <w:t xml:space="preserve">Skills gap urgency — how acute is the SA shortage in this skill area?</w:t>
      </w:r>
    </w:p>
    <w:p>
      <w:pPr>
        <w:pStyle w:val="ListParagraph"/>
        <w:numPr>
          <w:ilvl w:val="0"/>
          <w:numId w:val="2"/>
        </w:numPr>
        <w:spacing w:after="60" w:before="0"/>
      </w:pPr>
      <w:r>
        <w:rPr>
          <w:rFonts w:ascii="Arial" w:cs="Arial" w:eastAsia="Arial" w:hAnsi="Arial"/>
          <w:color w:val="000000"/>
          <w:sz w:val="22"/>
          <w:szCs w:val="22"/>
        </w:rPr>
        <w:t xml:space="preserve">Employment yield — does graduating from this stream produce immediate employment or entrepreneurial pathways?</w:t>
      </w:r>
    </w:p>
    <w:p>
      <w:pPr>
        <w:pStyle w:val="ListParagraph"/>
        <w:numPr>
          <w:ilvl w:val="0"/>
          <w:numId w:val="2"/>
        </w:numPr>
        <w:spacing w:after="60" w:before="0"/>
      </w:pPr>
      <w:r>
        <w:rPr>
          <w:rFonts w:ascii="Arial" w:cs="Arial" w:eastAsia="Arial" w:hAnsi="Arial"/>
          <w:color w:val="000000"/>
          <w:sz w:val="22"/>
          <w:szCs w:val="22"/>
        </w:rPr>
        <w:t xml:space="preserve">Continental relevance — does the skill transfer beyond SA into the broader African market?</w:t>
      </w:r>
    </w:p>
    <w:p>
      <w:pPr>
        <w:pStyle w:val="ListParagraph"/>
        <w:numPr>
          <w:ilvl w:val="0"/>
          <w:numId w:val="2"/>
        </w:numPr>
        <w:spacing w:after="60" w:before="0"/>
      </w:pPr>
      <w:r>
        <w:rPr>
          <w:rFonts w:ascii="Arial" w:cs="Arial" w:eastAsia="Arial" w:hAnsi="Arial"/>
          <w:color w:val="000000"/>
          <w:sz w:val="22"/>
          <w:szCs w:val="22"/>
        </w:rPr>
        <w:t xml:space="preserve">Delivery feasibility — can Ginashe Academy realistically deliver this stream at scale within 24 months?</w:t>
      </w:r>
    </w:p>
    <w:p>
      <w:pPr>
        <w:spacing w:after="120" w:before="0"/>
      </w:pPr>
    </w:p>
    <w:p>
      <w:pPr>
        <w:pStyle w:val="Heading2"/>
        <w:spacing w:after="100" w:before="240"/>
      </w:pPr>
      <w:r>
        <w:rPr>
          <w:rFonts w:ascii="Arial" w:cs="Arial" w:eastAsia="Arial" w:hAnsi="Arial"/>
          <w:b/>
          <w:bCs/>
          <w:color w:val="0F6E56"/>
          <w:sz w:val="24"/>
          <w:szCs w:val="24"/>
        </w:rPr>
        <w:t xml:space="preserve">Tier classification</w:t>
      </w:r>
    </w:p>
    <w:p>
      <w:pPr>
        <w:spacing w:after="80" w:before="0"/>
        <w:jc w:val="left"/>
      </w:pPr>
      <w:r>
        <w:rPr>
          <w:rFonts w:ascii="Arial" w:cs="Arial" w:eastAsia="Arial" w:hAnsi="Arial"/>
          <w:b w:val="false"/>
          <w:bCs w:val="false"/>
          <w:i w:val="false"/>
          <w:iCs w:val="false"/>
          <w:color w:val="000000"/>
          <w:sz w:val="22"/>
          <w:szCs w:val="22"/>
        </w:rPr>
        <w:t xml:space="preserve">Each stream is classified into one of three tiers:</w:t>
      </w:r>
    </w:p>
    <w:p>
      <w:pPr>
        <w:pStyle w:val="ListParagraph"/>
        <w:numPr>
          <w:ilvl w:val="0"/>
          <w:numId w:val="2"/>
        </w:numPr>
        <w:spacing w:after="60" w:before="0"/>
      </w:pPr>
      <w:r>
        <w:rPr>
          <w:rFonts w:ascii="Arial" w:cs="Arial" w:eastAsia="Arial" w:hAnsi="Arial"/>
          <w:color w:val="000000"/>
          <w:sz w:val="22"/>
          <w:szCs w:val="22"/>
        </w:rPr>
        <w:t xml:space="preserve">Flagship (5 streams) — immediate SA need, launching in Year 1.</w:t>
      </w:r>
    </w:p>
    <w:p>
      <w:pPr>
        <w:pStyle w:val="ListParagraph"/>
        <w:numPr>
          <w:ilvl w:val="0"/>
          <w:numId w:val="2"/>
        </w:numPr>
        <w:spacing w:after="60" w:before="0"/>
      </w:pPr>
      <w:r>
        <w:rPr>
          <w:rFonts w:ascii="Arial" w:cs="Arial" w:eastAsia="Arial" w:hAnsi="Arial"/>
          <w:color w:val="000000"/>
          <w:sz w:val="22"/>
          <w:szCs w:val="22"/>
        </w:rPr>
        <w:t xml:space="preserve">Strategic (4 streams) — 2 to 5 year growth horizon, launching in Year 1 to 2.</w:t>
      </w:r>
    </w:p>
    <w:p>
      <w:pPr>
        <w:pStyle w:val="ListParagraph"/>
        <w:numPr>
          <w:ilvl w:val="0"/>
          <w:numId w:val="2"/>
        </w:numPr>
        <w:spacing w:after="60" w:before="0"/>
      </w:pPr>
      <w:r>
        <w:rPr>
          <w:rFonts w:ascii="Arial" w:cs="Arial" w:eastAsia="Arial" w:hAnsi="Arial"/>
          <w:color w:val="000000"/>
          <w:sz w:val="22"/>
          <w:szCs w:val="22"/>
        </w:rPr>
        <w:t xml:space="preserve">Emerging (1 stream) — continental scale opportunity, launching in Year 2.</w:t>
      </w:r>
    </w:p>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2 — The Ten Streams</w:t>
      </w:r>
    </w:p>
    <w:p>
      <w:pPr>
        <w:spacing w:after="160" w:before="0"/>
        <w:jc w:val="left"/>
      </w:pPr>
      <w:r>
        <w:rPr>
          <w:rFonts w:ascii="Arial" w:cs="Arial" w:eastAsia="Arial" w:hAnsi="Arial"/>
          <w:b w:val="false"/>
          <w:bCs w:val="false"/>
          <w:i w:val="false"/>
          <w:iCs w:val="false"/>
          <w:color w:val="000000"/>
          <w:sz w:val="22"/>
          <w:szCs w:val="22"/>
        </w:rPr>
        <w:t xml:space="preserve">The streams are presented in priority order. Stream #1 — Digital Systems (DSS) — is already operational. Streams #2 to #5 are flagship streams to be launched in Year 1. Streams #6 to #9 are strategic streams for Year 1 to 2 launch. Stream #10 is the emerging stream for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F6E56" w:sz="8"/>
              <w:left w:val="single" w:color="0F6E56" w:sz="8"/>
              <w:bottom w:val="single" w:color="0F6E56" w:sz="8"/>
              <w:right w:val="single" w:color="0F6E56" w:sz="8"/>
            </w:tcBorders>
            <w:shd w:fill="0F6E56"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#1</w:t>
            </w:r>
          </w:p>
          <w:p>
            <w:pPr>
              <w:spacing w:after="0" w:before="0"/>
              <w:jc w:val="center"/>
            </w:pPr>
            <w:r>
              <w:rPr>
                <w:rFonts w:ascii="Arial" w:cs="Arial" w:eastAsia="Arial" w:hAnsi="Arial"/>
                <w:b/>
                <w:bCs/>
                <w:color w:val="FFFFFF"/>
                <w:sz w:val="18"/>
                <w:szCs w:val="18"/>
              </w:rPr>
              <w:t xml:space="preserve">DSS</w:t>
            </w:r>
          </w:p>
        </w:tc>
        <w:tc>
          <w:tcPr>
            <w:tcW w:type="dxa" w:w="8160"/>
            <w:tcBorders>
              <w:top w:val="single" w:color="0F6E56" w:sz="8"/>
              <w:left w:val="single" w:color="0F6E56" w:sz="8"/>
              <w:bottom w:val="single" w:color="0F6E56" w:sz="4"/>
              <w:right w:val="single" w:color="0F6E56" w:sz="4"/>
            </w:tcBorders>
            <w:shd w:fill="D8F2E9" w:val="clear"/>
            <w:tcMar>
              <w:top w:type="dxa" w:w="140"/>
              <w:left w:type="dxa" w:w="200"/>
              <w:bottom w:type="dxa" w:w="120"/>
              <w:right w:type="dxa" w:w="140"/>
            </w:tcMar>
          </w:tcPr>
          <w:p>
            <w:pPr>
              <w:spacing w:after="40" w:before="0"/>
            </w:pPr>
            <w:r>
              <w:rPr>
                <w:rFonts w:ascii="Arial" w:cs="Arial" w:eastAsia="Arial" w:hAnsi="Arial"/>
                <w:b/>
                <w:bCs/>
                <w:color w:val="0F6E56"/>
                <w:sz w:val="28"/>
                <w:szCs w:val="28"/>
              </w:rPr>
              <w:t xml:space="preserve">Digital Systems Stream</w:t>
            </w:r>
          </w:p>
          <w:p>
            <w:pPr>
              <w:spacing w:after="60" w:before="0"/>
            </w:pPr>
            <w:r>
              <w:rPr>
                <w:rFonts w:ascii="Arial" w:cs="Arial" w:eastAsia="Arial" w:hAnsi="Arial"/>
                <w:color w:val="0B0C10"/>
                <w:sz w:val="21"/>
                <w:szCs w:val="21"/>
              </w:rPr>
              <w:t xml:space="preserve">Software, cloud &amp; artificial intelligence</w:t>
            </w:r>
          </w:p>
          <w:p>
            <w:pPr>
              <w:spacing w:after="0" w:before="0"/>
            </w:pPr>
            <w:r>
              <w:rPr>
                <w:rFonts w:ascii="Arial" w:cs="Arial" w:eastAsia="Arial" w:hAnsi="Arial"/>
                <w:b/>
                <w:bCs/>
                <w:i/>
                <w:iCs/>
                <w:color w:val="085041"/>
                <w:sz w:val="18"/>
                <w:szCs w:val="18"/>
              </w:rPr>
              <w:t xml:space="preserve">•  Flagship — already operating</w:t>
            </w:r>
          </w:p>
        </w:tc>
      </w:tr>
      <w:tr>
        <w:tc>
          <w:tcPr>
            <w:tcW w:type="dxa" w:w="1200"/>
            <w:tcBorders>
              <w:top w:val="single" w:color="0F6E56" w:sz="4"/>
              <w:left w:val="single" w:color="0F6E56" w:sz="4"/>
              <w:bottom w:val="single" w:color="0F6E56" w:sz="4"/>
              <w:right w:val="single" w:color="0F6E56" w:sz="4"/>
            </w:tcBorders>
            <w:shd w:fill="085041"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Largest skills gap in SA — over 20,000 unfilled cloud jobs by 2027. Direct POPIA compliance demand from every SA company. AWS af-south-1 in Cape Town gives SA learners a uniquely accessible entry point into the global cloud economy.</w:t>
            </w:r>
          </w:p>
        </w:tc>
      </w:tr>
      <w:tr>
        <w:tc>
          <w:tcPr>
            <w:tcW w:type="dxa" w:w="1200"/>
            <w:tcBorders>
              <w:top w:val="single" w:color="0F6E56" w:sz="4"/>
              <w:left w:val="single" w:color="0F6E56" w:sz="4"/>
              <w:bottom w:val="single" w:color="0F6E56" w:sz="4"/>
              <w:right w:val="single" w:color="0F6E56" w:sz="4"/>
            </w:tcBorders>
            <w:shd w:fill="085041"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D8F2E9" w:val="clear"/>
            <w:tcMar>
              <w:top w:type="dxa" w:w="100"/>
              <w:left w:type="dxa" w:w="200"/>
              <w:bottom w:type="dxa" w:w="100"/>
              <w:right w:type="dxa" w:w="140"/>
            </w:tcMar>
          </w:tcPr>
          <w:p>
            <w:pPr>
              <w:spacing w:after="0" w:before="0"/>
            </w:pPr>
            <w:r>
              <w:rPr>
                <w:rFonts w:ascii="Arial" w:cs="Arial" w:eastAsia="Arial" w:hAnsi="Arial"/>
                <w:color w:val="085041"/>
                <w:sz w:val="20"/>
                <w:szCs w:val="20"/>
              </w:rPr>
              <w:t xml:space="preserve">Cloud Launchpad  ·  AI Foundations  ·  Web Development  ·  Data Engineering  ·  Cybersecurity  ·  DevOps &amp; IaC  ·  Digital Literacy  ·  Software Entrepreneurship</w:t>
            </w:r>
          </w:p>
        </w:tc>
      </w:tr>
      <w:tr>
        <w:tc>
          <w:tcPr>
            <w:tcW w:type="dxa" w:w="1200"/>
            <w:tcBorders>
              <w:top w:val="single" w:color="0F6E56" w:sz="4"/>
              <w:left w:val="single" w:color="0F6E56" w:sz="4"/>
              <w:bottom w:val="single" w:color="0F6E56" w:sz="4"/>
              <w:right w:val="single" w:color="0F6E56" w:sz="4"/>
            </w:tcBorders>
            <w:shd w:fill="085041"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Cloud Engineer  ·  AI/ML Specialist  ·  Full-Stack Developer  ·  Security Analyst</w:t>
            </w:r>
          </w:p>
        </w:tc>
      </w:tr>
      <w:tr>
        <w:tc>
          <w:tcPr>
            <w:tcW w:type="dxa" w:w="1200"/>
            <w:tcBorders>
              <w:top w:val="single" w:color="0F6E56" w:sz="4"/>
              <w:left w:val="single" w:color="0F6E56" w:sz="4"/>
              <w:bottom w:val="single" w:color="0F6E56" w:sz="8"/>
              <w:right w:val="single" w:color="0F6E56" w:sz="4"/>
            </w:tcBorders>
            <w:shd w:fill="085041"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0F6E56"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10+ courses   ·   6–24 weeks   ·   NQF L3–L6</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32D2D" w:sz="8"/>
              <w:left w:val="single" w:color="A32D2D" w:sz="8"/>
              <w:bottom w:val="single" w:color="A32D2D" w:sz="8"/>
              <w:right w:val="single" w:color="A32D2D" w:sz="8"/>
            </w:tcBorders>
            <w:shd w:fill="A32D2D"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#2</w:t>
            </w:r>
          </w:p>
          <w:p>
            <w:pPr>
              <w:spacing w:after="0" w:before="0"/>
              <w:jc w:val="center"/>
            </w:pPr>
            <w:r>
              <w:rPr>
                <w:rFonts w:ascii="Arial" w:cs="Arial" w:eastAsia="Arial" w:hAnsi="Arial"/>
                <w:b/>
                <w:bCs/>
                <w:color w:val="FFFFFF"/>
                <w:sz w:val="18"/>
                <w:szCs w:val="18"/>
              </w:rPr>
              <w:t xml:space="preserve">HSS</w:t>
            </w:r>
          </w:p>
        </w:tc>
        <w:tc>
          <w:tcPr>
            <w:tcW w:type="dxa" w:w="8160"/>
            <w:tcBorders>
              <w:top w:val="single" w:color="A32D2D" w:sz="8"/>
              <w:left w:val="single" w:color="A32D2D" w:sz="8"/>
              <w:bottom w:val="single" w:color="A32D2D" w:sz="4"/>
              <w:right w:val="single" w:color="A32D2D" w:sz="4"/>
            </w:tcBorders>
            <w:shd w:fill="FCEBEB" w:val="clear"/>
            <w:tcMar>
              <w:top w:type="dxa" w:w="140"/>
              <w:left w:type="dxa" w:w="200"/>
              <w:bottom w:type="dxa" w:w="120"/>
              <w:right w:type="dxa" w:w="140"/>
            </w:tcMar>
          </w:tcPr>
          <w:p>
            <w:pPr>
              <w:spacing w:after="40" w:before="0"/>
            </w:pPr>
            <w:r>
              <w:rPr>
                <w:rFonts w:ascii="Arial" w:cs="Arial" w:eastAsia="Arial" w:hAnsi="Arial"/>
                <w:b/>
                <w:bCs/>
                <w:color w:val="A32D2D"/>
                <w:sz w:val="28"/>
                <w:szCs w:val="28"/>
              </w:rPr>
              <w:t xml:space="preserve">Health Sciences Stream</w:t>
            </w:r>
          </w:p>
          <w:p>
            <w:pPr>
              <w:spacing w:after="60" w:before="0"/>
            </w:pPr>
            <w:r>
              <w:rPr>
                <w:rFonts w:ascii="Arial" w:cs="Arial" w:eastAsia="Arial" w:hAnsi="Arial"/>
                <w:color w:val="0B0C10"/>
                <w:sz w:val="21"/>
                <w:szCs w:val="21"/>
              </w:rPr>
              <w:t xml:space="preserve">Community health, nursing &amp; mental wellbeing</w:t>
            </w:r>
          </w:p>
          <w:p>
            <w:pPr>
              <w:spacing w:after="0" w:before="0"/>
            </w:pPr>
            <w:r>
              <w:rPr>
                <w:rFonts w:ascii="Arial" w:cs="Arial" w:eastAsia="Arial" w:hAnsi="Arial"/>
                <w:b/>
                <w:bCs/>
                <w:i/>
                <w:iCs/>
                <w:color w:val="501313"/>
                <w:sz w:val="18"/>
                <w:szCs w:val="18"/>
              </w:rPr>
              <w:t xml:space="preserve">•  Flagship — highest SA urgency</w:t>
            </w:r>
          </w:p>
        </w:tc>
      </w:tr>
      <w:tr>
        <w:tc>
          <w:tcPr>
            <w:tcW w:type="dxa" w:w="1200"/>
            <w:tcBorders>
              <w:top w:val="single" w:color="A32D2D" w:sz="4"/>
              <w:left w:val="single" w:color="A32D2D" w:sz="4"/>
              <w:bottom w:val="single" w:color="A32D2D" w:sz="4"/>
              <w:right w:val="single" w:color="A32D2D" w:sz="4"/>
            </w:tcBorders>
            <w:shd w:fill="50131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SA has 1 doctor per 1,700 people. Community Health Workers are the most scalable health intervention available. Post-COVID mental health crisis is the country's most underserved public health concern. SAQA-aligned qualifications produce immediately employable graduates.</w:t>
            </w:r>
          </w:p>
        </w:tc>
      </w:tr>
      <w:tr>
        <w:tc>
          <w:tcPr>
            <w:tcW w:type="dxa" w:w="1200"/>
            <w:tcBorders>
              <w:top w:val="single" w:color="A32D2D" w:sz="4"/>
              <w:left w:val="single" w:color="A32D2D" w:sz="4"/>
              <w:bottom w:val="single" w:color="A32D2D" w:sz="4"/>
              <w:right w:val="single" w:color="A32D2D" w:sz="4"/>
            </w:tcBorders>
            <w:shd w:fill="50131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FCEBEB" w:val="clear"/>
            <w:tcMar>
              <w:top w:type="dxa" w:w="100"/>
              <w:left w:type="dxa" w:w="200"/>
              <w:bottom w:type="dxa" w:w="100"/>
              <w:right w:type="dxa" w:w="140"/>
            </w:tcMar>
          </w:tcPr>
          <w:p>
            <w:pPr>
              <w:spacing w:after="0" w:before="0"/>
            </w:pPr>
            <w:r>
              <w:rPr>
                <w:rFonts w:ascii="Arial" w:cs="Arial" w:eastAsia="Arial" w:hAnsi="Arial"/>
                <w:color w:val="501313"/>
                <w:sz w:val="20"/>
                <w:szCs w:val="20"/>
              </w:rPr>
              <w:t xml:space="preserve">Community Health Worker  ·  Mental Health First Aid  ·  HIV/AIDS Care  ·  Maternal &amp; Child Health  ·  Nutrition Science  ·  Emergency Response  ·  Health Administration  ·  OHS  ·  Palliative Care</w:t>
            </w:r>
          </w:p>
        </w:tc>
      </w:tr>
      <w:tr>
        <w:tc>
          <w:tcPr>
            <w:tcW w:type="dxa" w:w="1200"/>
            <w:tcBorders>
              <w:top w:val="single" w:color="A32D2D" w:sz="4"/>
              <w:left w:val="single" w:color="A32D2D" w:sz="4"/>
              <w:bottom w:val="single" w:color="A32D2D" w:sz="4"/>
              <w:right w:val="single" w:color="A32D2D" w:sz="4"/>
            </w:tcBorders>
            <w:shd w:fill="50131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Community Health Worker  ·  Mental Health Counsellor  ·  Clinic Administrator  ·  Health Educator</w:t>
            </w:r>
          </w:p>
        </w:tc>
      </w:tr>
      <w:tr>
        <w:tc>
          <w:tcPr>
            <w:tcW w:type="dxa" w:w="1200"/>
            <w:tcBorders>
              <w:top w:val="single" w:color="A32D2D" w:sz="4"/>
              <w:left w:val="single" w:color="A32D2D" w:sz="4"/>
              <w:bottom w:val="single" w:color="A32D2D" w:sz="8"/>
              <w:right w:val="single" w:color="A32D2D" w:sz="4"/>
            </w:tcBorders>
            <w:shd w:fill="50131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A32D2D"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12+ courses   ·   8–52 weeks   ·   NQF L3–L5</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5C00" w:sz="8"/>
              <w:left w:val="single" w:color="B85C00" w:sz="8"/>
              <w:bottom w:val="single" w:color="B85C00" w:sz="8"/>
              <w:right w:val="single" w:color="B85C00" w:sz="8"/>
            </w:tcBorders>
            <w:shd w:fill="B85C00"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#3</w:t>
            </w:r>
          </w:p>
          <w:p>
            <w:pPr>
              <w:spacing w:after="0" w:before="0"/>
              <w:jc w:val="center"/>
            </w:pPr>
            <w:r>
              <w:rPr>
                <w:rFonts w:ascii="Arial" w:cs="Arial" w:eastAsia="Arial" w:hAnsi="Arial"/>
                <w:b/>
                <w:bCs/>
                <w:color w:val="FFFFFF"/>
                <w:sz w:val="18"/>
                <w:szCs w:val="18"/>
              </w:rPr>
              <w:t xml:space="preserve">EIS</w:t>
            </w:r>
          </w:p>
        </w:tc>
        <w:tc>
          <w:tcPr>
            <w:tcW w:type="dxa" w:w="8160"/>
            <w:tcBorders>
              <w:top w:val="single" w:color="B85C00" w:sz="8"/>
              <w:left w:val="single" w:color="B85C00" w:sz="8"/>
              <w:bottom w:val="single" w:color="B85C00" w:sz="4"/>
              <w:right w:val="single" w:color="B85C00" w:sz="4"/>
            </w:tcBorders>
            <w:shd w:fill="FFE8D0" w:val="clear"/>
            <w:tcMar>
              <w:top w:type="dxa" w:w="140"/>
              <w:left w:type="dxa" w:w="200"/>
              <w:bottom w:type="dxa" w:w="120"/>
              <w:right w:type="dxa" w:w="140"/>
            </w:tcMar>
          </w:tcPr>
          <w:p>
            <w:pPr>
              <w:spacing w:after="40" w:before="0"/>
            </w:pPr>
            <w:r>
              <w:rPr>
                <w:rFonts w:ascii="Arial" w:cs="Arial" w:eastAsia="Arial" w:hAnsi="Arial"/>
                <w:b/>
                <w:bCs/>
                <w:color w:val="B85C00"/>
                <w:sz w:val="28"/>
                <w:szCs w:val="28"/>
              </w:rPr>
              <w:t xml:space="preserve">Energy &amp; Infrastructure Stream</w:t>
            </w:r>
          </w:p>
          <w:p>
            <w:pPr>
              <w:spacing w:after="60" w:before="0"/>
            </w:pPr>
            <w:r>
              <w:rPr>
                <w:rFonts w:ascii="Arial" w:cs="Arial" w:eastAsia="Arial" w:hAnsi="Arial"/>
                <w:color w:val="0B0C10"/>
                <w:sz w:val="21"/>
                <w:szCs w:val="21"/>
              </w:rPr>
              <w:t xml:space="preserve">Renewable energy, power &amp; water systems</w:t>
            </w:r>
          </w:p>
          <w:p>
            <w:pPr>
              <w:spacing w:after="0" w:before="0"/>
            </w:pPr>
            <w:r>
              <w:rPr>
                <w:rFonts w:ascii="Arial" w:cs="Arial" w:eastAsia="Arial" w:hAnsi="Arial"/>
                <w:b/>
                <w:bCs/>
                <w:i/>
                <w:iCs/>
                <w:color w:val="412402"/>
                <w:sz w:val="18"/>
                <w:szCs w:val="18"/>
              </w:rPr>
              <w:t xml:space="preserve">•  Flagship — load-shedding crisis</w:t>
            </w:r>
          </w:p>
        </w:tc>
      </w:tr>
      <w:tr>
        <w:tc>
          <w:tcPr>
            <w:tcW w:type="dxa" w:w="1200"/>
            <w:tcBorders>
              <w:top w:val="single" w:color="B85C00" w:sz="4"/>
              <w:left w:val="single" w:color="B85C00" w:sz="4"/>
              <w:bottom w:val="single" w:color="B85C00" w:sz="4"/>
              <w:right w:val="single" w:color="B85C00"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The Eskom crisis and Just Energy Transition will create 50,000+ jobs in renewable energy by 2030. Solar PV technicians are in chronic shortage. Every household, business, and farm in SA needs energy resilience expertise — making this the most economically urgent stream.</w:t>
            </w:r>
          </w:p>
        </w:tc>
      </w:tr>
      <w:tr>
        <w:tc>
          <w:tcPr>
            <w:tcW w:type="dxa" w:w="1200"/>
            <w:tcBorders>
              <w:top w:val="single" w:color="B85C00" w:sz="4"/>
              <w:left w:val="single" w:color="B85C00" w:sz="4"/>
              <w:bottom w:val="single" w:color="B85C00" w:sz="4"/>
              <w:right w:val="single" w:color="B85C00"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FFE8D0" w:val="clear"/>
            <w:tcMar>
              <w:top w:type="dxa" w:w="100"/>
              <w:left w:type="dxa" w:w="200"/>
              <w:bottom w:type="dxa" w:w="100"/>
              <w:right w:type="dxa" w:w="140"/>
            </w:tcMar>
          </w:tcPr>
          <w:p>
            <w:pPr>
              <w:spacing w:after="0" w:before="0"/>
            </w:pPr>
            <w:r>
              <w:rPr>
                <w:rFonts w:ascii="Arial" w:cs="Arial" w:eastAsia="Arial" w:hAnsi="Arial"/>
                <w:color w:val="412402"/>
                <w:sz w:val="20"/>
                <w:szCs w:val="20"/>
              </w:rPr>
              <w:t xml:space="preserve">Solar PV Installation  ·  Battery Storage Systems  ·  Wind Energy Technician  ·  Grid &amp; Off-Grid Design  ·  Water &amp; Sanitation  ·  Energy Auditing  ·  Electrical Wiring  ·  Green Building</w:t>
            </w:r>
          </w:p>
        </w:tc>
      </w:tr>
      <w:tr>
        <w:tc>
          <w:tcPr>
            <w:tcW w:type="dxa" w:w="1200"/>
            <w:tcBorders>
              <w:top w:val="single" w:color="B85C00" w:sz="4"/>
              <w:left w:val="single" w:color="B85C00" w:sz="4"/>
              <w:bottom w:val="single" w:color="B85C00" w:sz="4"/>
              <w:right w:val="single" w:color="B85C00"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Solar PV Technician  ·  Energy Auditor  ·  Renewable Systems Designer  ·  Utility Manager</w:t>
            </w:r>
          </w:p>
        </w:tc>
      </w:tr>
      <w:tr>
        <w:tc>
          <w:tcPr>
            <w:tcW w:type="dxa" w:w="1200"/>
            <w:tcBorders>
              <w:top w:val="single" w:color="B85C00" w:sz="4"/>
              <w:left w:val="single" w:color="B85C00" w:sz="4"/>
              <w:bottom w:val="single" w:color="B85C00" w:sz="8"/>
              <w:right w:val="single" w:color="B85C00"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B85C00"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10+ courses   ·   8–24 weeks   ·   NQF L3–L5</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B6D11" w:sz="8"/>
              <w:left w:val="single" w:color="3B6D11" w:sz="8"/>
              <w:bottom w:val="single" w:color="3B6D11" w:sz="8"/>
              <w:right w:val="single" w:color="3B6D11" w:sz="8"/>
            </w:tcBorders>
            <w:shd w:fill="3B6D11"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#4</w:t>
            </w:r>
          </w:p>
          <w:p>
            <w:pPr>
              <w:spacing w:after="0" w:before="0"/>
              <w:jc w:val="center"/>
            </w:pPr>
            <w:r>
              <w:rPr>
                <w:rFonts w:ascii="Arial" w:cs="Arial" w:eastAsia="Arial" w:hAnsi="Arial"/>
                <w:b/>
                <w:bCs/>
                <w:color w:val="FFFFFF"/>
                <w:sz w:val="18"/>
                <w:szCs w:val="18"/>
              </w:rPr>
              <w:t xml:space="preserve">AFS</w:t>
            </w:r>
          </w:p>
        </w:tc>
        <w:tc>
          <w:tcPr>
            <w:tcW w:type="dxa" w:w="8160"/>
            <w:tcBorders>
              <w:top w:val="single" w:color="3B6D11" w:sz="8"/>
              <w:left w:val="single" w:color="3B6D11" w:sz="8"/>
              <w:bottom w:val="single" w:color="3B6D11" w:sz="4"/>
              <w:right w:val="single" w:color="3B6D11" w:sz="4"/>
            </w:tcBorders>
            <w:shd w:fill="EAF3DE" w:val="clear"/>
            <w:tcMar>
              <w:top w:type="dxa" w:w="140"/>
              <w:left w:type="dxa" w:w="200"/>
              <w:bottom w:type="dxa" w:w="120"/>
              <w:right w:type="dxa" w:w="140"/>
            </w:tcMar>
          </w:tcPr>
          <w:p>
            <w:pPr>
              <w:spacing w:after="40" w:before="0"/>
            </w:pPr>
            <w:r>
              <w:rPr>
                <w:rFonts w:ascii="Arial" w:cs="Arial" w:eastAsia="Arial" w:hAnsi="Arial"/>
                <w:b/>
                <w:bCs/>
                <w:color w:val="3B6D11"/>
                <w:sz w:val="28"/>
                <w:szCs w:val="28"/>
              </w:rPr>
              <w:t xml:space="preserve">Agriculture &amp; Food Security Stream</w:t>
            </w:r>
          </w:p>
          <w:p>
            <w:pPr>
              <w:spacing w:after="60" w:before="0"/>
            </w:pPr>
            <w:r>
              <w:rPr>
                <w:rFonts w:ascii="Arial" w:cs="Arial" w:eastAsia="Arial" w:hAnsi="Arial"/>
                <w:color w:val="0B0C10"/>
                <w:sz w:val="21"/>
                <w:szCs w:val="21"/>
              </w:rPr>
              <w:t xml:space="preserve">Modern farming, agritech &amp; food systems</w:t>
            </w:r>
          </w:p>
          <w:p>
            <w:pPr>
              <w:spacing w:after="0" w:before="0"/>
            </w:pPr>
            <w:r>
              <w:rPr>
                <w:rFonts w:ascii="Arial" w:cs="Arial" w:eastAsia="Arial" w:hAnsi="Arial"/>
                <w:b/>
                <w:bCs/>
                <w:i/>
                <w:iCs/>
                <w:color w:val="173404"/>
                <w:sz w:val="18"/>
                <w:szCs w:val="18"/>
              </w:rPr>
              <w:t xml:space="preserve">•  Flagship — food sovereignty</w:t>
            </w:r>
          </w:p>
        </w:tc>
      </w:tr>
      <w:tr>
        <w:tc>
          <w:tcPr>
            <w:tcW w:type="dxa" w:w="1200"/>
            <w:tcBorders>
              <w:top w:val="single" w:color="3B6D11" w:sz="4"/>
              <w:left w:val="single" w:color="3B6D11" w:sz="4"/>
              <w:bottom w:val="single" w:color="3B6D11" w:sz="4"/>
              <w:right w:val="single" w:color="3B6D11" w:sz="4"/>
            </w:tcBorders>
            <w:shd w:fill="173404"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SA has 6 million smallholder farmers. Food insecurity affects 1 in 5 households. Urban farming is a youth-accessible, low-capital entry point into agriculture. Agritech is creating new categories of well-paid rural employment that did not exist 5 years ago.</w:t>
            </w:r>
          </w:p>
        </w:tc>
      </w:tr>
      <w:tr>
        <w:tc>
          <w:tcPr>
            <w:tcW w:type="dxa" w:w="1200"/>
            <w:tcBorders>
              <w:top w:val="single" w:color="3B6D11" w:sz="4"/>
              <w:left w:val="single" w:color="3B6D11" w:sz="4"/>
              <w:bottom w:val="single" w:color="3B6D11" w:sz="4"/>
              <w:right w:val="single" w:color="3B6D11" w:sz="4"/>
            </w:tcBorders>
            <w:shd w:fill="173404"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EAF3DE" w:val="clear"/>
            <w:tcMar>
              <w:top w:type="dxa" w:w="100"/>
              <w:left w:type="dxa" w:w="200"/>
              <w:bottom w:type="dxa" w:w="100"/>
              <w:right w:type="dxa" w:w="140"/>
            </w:tcMar>
          </w:tcPr>
          <w:p>
            <w:pPr>
              <w:spacing w:after="0" w:before="0"/>
            </w:pPr>
            <w:r>
              <w:rPr>
                <w:rFonts w:ascii="Arial" w:cs="Arial" w:eastAsia="Arial" w:hAnsi="Arial"/>
                <w:color w:val="173404"/>
                <w:sz w:val="20"/>
                <w:szCs w:val="20"/>
              </w:rPr>
              <w:t xml:space="preserve">Smallholder Farming  ·  Hydroponics &amp; Urban Farming  ·  Agritech &amp; Precision Farming  ·  Food Processing  ·  Agricultural Finance  ·  Animal Husbandry  ·  Supply Chain &amp; Markets  ·  Conservation Agriculture</w:t>
            </w:r>
          </w:p>
        </w:tc>
      </w:tr>
      <w:tr>
        <w:tc>
          <w:tcPr>
            <w:tcW w:type="dxa" w:w="1200"/>
            <w:tcBorders>
              <w:top w:val="single" w:color="3B6D11" w:sz="4"/>
              <w:left w:val="single" w:color="3B6D11" w:sz="4"/>
              <w:bottom w:val="single" w:color="3B6D11" w:sz="4"/>
              <w:right w:val="single" w:color="3B6D11" w:sz="4"/>
            </w:tcBorders>
            <w:shd w:fill="173404"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Agripreneur  ·  Precision Farmer  ·  Food Processing Technician  ·  Agritech Specialist</w:t>
            </w:r>
          </w:p>
        </w:tc>
      </w:tr>
      <w:tr>
        <w:tc>
          <w:tcPr>
            <w:tcW w:type="dxa" w:w="1200"/>
            <w:tcBorders>
              <w:top w:val="single" w:color="3B6D11" w:sz="4"/>
              <w:left w:val="single" w:color="3B6D11" w:sz="4"/>
              <w:bottom w:val="single" w:color="3B6D11" w:sz="8"/>
              <w:right w:val="single" w:color="3B6D11" w:sz="4"/>
            </w:tcBorders>
            <w:shd w:fill="173404"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3B6D11"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10+ courses   ·   8–26 weeks   ·   NQF L3–L5</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85FA5" w:sz="8"/>
              <w:left w:val="single" w:color="185FA5" w:sz="8"/>
              <w:bottom w:val="single" w:color="185FA5" w:sz="8"/>
              <w:right w:val="single" w:color="185FA5" w:sz="8"/>
            </w:tcBorders>
            <w:shd w:fill="185FA5"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#5</w:t>
            </w:r>
          </w:p>
          <w:p>
            <w:pPr>
              <w:spacing w:after="0" w:before="0"/>
              <w:jc w:val="center"/>
            </w:pPr>
            <w:r>
              <w:rPr>
                <w:rFonts w:ascii="Arial" w:cs="Arial" w:eastAsia="Arial" w:hAnsi="Arial"/>
                <w:b/>
                <w:bCs/>
                <w:color w:val="FFFFFF"/>
                <w:sz w:val="18"/>
                <w:szCs w:val="18"/>
              </w:rPr>
              <w:t xml:space="preserve">FLS</w:t>
            </w:r>
          </w:p>
        </w:tc>
        <w:tc>
          <w:tcPr>
            <w:tcW w:type="dxa" w:w="8160"/>
            <w:tcBorders>
              <w:top w:val="single" w:color="185FA5" w:sz="8"/>
              <w:left w:val="single" w:color="185FA5" w:sz="8"/>
              <w:bottom w:val="single" w:color="185FA5" w:sz="4"/>
              <w:right w:val="single" w:color="185FA5" w:sz="4"/>
            </w:tcBorders>
            <w:shd w:fill="E6F1FB" w:val="clear"/>
            <w:tcMar>
              <w:top w:type="dxa" w:w="140"/>
              <w:left w:type="dxa" w:w="200"/>
              <w:bottom w:type="dxa" w:w="120"/>
              <w:right w:type="dxa" w:w="140"/>
            </w:tcMar>
          </w:tcPr>
          <w:p>
            <w:pPr>
              <w:spacing w:after="40" w:before="0"/>
            </w:pPr>
            <w:r>
              <w:rPr>
                <w:rFonts w:ascii="Arial" w:cs="Arial" w:eastAsia="Arial" w:hAnsi="Arial"/>
                <w:b/>
                <w:bCs/>
                <w:color w:val="185FA5"/>
                <w:sz w:val="28"/>
                <w:szCs w:val="28"/>
              </w:rPr>
              <w:t xml:space="preserve">Financial Literacy &amp; FinTech Stream</w:t>
            </w:r>
          </w:p>
          <w:p>
            <w:pPr>
              <w:spacing w:after="60" w:before="0"/>
            </w:pPr>
            <w:r>
              <w:rPr>
                <w:rFonts w:ascii="Arial" w:cs="Arial" w:eastAsia="Arial" w:hAnsi="Arial"/>
                <w:color w:val="0B0C10"/>
                <w:sz w:val="21"/>
                <w:szCs w:val="21"/>
              </w:rPr>
              <w:t xml:space="preserve">Personal finance, banking &amp; digital payments</w:t>
            </w:r>
          </w:p>
          <w:p>
            <w:pPr>
              <w:spacing w:after="0" w:before="0"/>
            </w:pPr>
            <w:r>
              <w:rPr>
                <w:rFonts w:ascii="Arial" w:cs="Arial" w:eastAsia="Arial" w:hAnsi="Arial"/>
                <w:b/>
                <w:bCs/>
                <w:i/>
                <w:iCs/>
                <w:color w:val="042C53"/>
                <w:sz w:val="18"/>
                <w:szCs w:val="18"/>
              </w:rPr>
              <w:t xml:space="preserve">•  Flagship — 72% unbanked Africa</w:t>
            </w:r>
          </w:p>
        </w:tc>
      </w:tr>
      <w:tr>
        <w:tc>
          <w:tcPr>
            <w:tcW w:type="dxa" w:w="1200"/>
            <w:tcBorders>
              <w:top w:val="single" w:color="185FA5" w:sz="4"/>
              <w:left w:val="single" w:color="185FA5" w:sz="4"/>
              <w:bottom w:val="single" w:color="185FA5" w:sz="4"/>
              <w:right w:val="single" w:color="185FA5" w:sz="4"/>
            </w:tcBorders>
            <w:shd w:fill="042C5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SAICA reports 70% of SA youth cannot manage a basic budget. FSCA compliance demand is growing every year. The township economy is digitising rapidly, creating immediate demand for FinTech-literate professionals at every level.</w:t>
            </w:r>
          </w:p>
        </w:tc>
      </w:tr>
      <w:tr>
        <w:tc>
          <w:tcPr>
            <w:tcW w:type="dxa" w:w="1200"/>
            <w:tcBorders>
              <w:top w:val="single" w:color="185FA5" w:sz="4"/>
              <w:left w:val="single" w:color="185FA5" w:sz="4"/>
              <w:bottom w:val="single" w:color="185FA5" w:sz="4"/>
              <w:right w:val="single" w:color="185FA5" w:sz="4"/>
            </w:tcBorders>
            <w:shd w:fill="042C5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E6F1FB" w:val="clear"/>
            <w:tcMar>
              <w:top w:type="dxa" w:w="100"/>
              <w:left w:type="dxa" w:w="200"/>
              <w:bottom w:type="dxa" w:w="100"/>
              <w:right w:type="dxa" w:w="140"/>
            </w:tcMar>
          </w:tcPr>
          <w:p>
            <w:pPr>
              <w:spacing w:after="0" w:before="0"/>
            </w:pPr>
            <w:r>
              <w:rPr>
                <w:rFonts w:ascii="Arial" w:cs="Arial" w:eastAsia="Arial" w:hAnsi="Arial"/>
                <w:color w:val="042C53"/>
                <w:sz w:val="20"/>
                <w:szCs w:val="20"/>
              </w:rPr>
              <w:t xml:space="preserve">Personal Finance &amp; Budgeting  ·  FinTech Fundamentals  ·  Business Accounting  ·  Digital Payments  ·  Microfinance &amp; SACCOs  ·  Investment Basics  ·  Tax &amp; SARS Compliance</w:t>
            </w:r>
          </w:p>
        </w:tc>
      </w:tr>
      <w:tr>
        <w:tc>
          <w:tcPr>
            <w:tcW w:type="dxa" w:w="1200"/>
            <w:tcBorders>
              <w:top w:val="single" w:color="185FA5" w:sz="4"/>
              <w:left w:val="single" w:color="185FA5" w:sz="4"/>
              <w:bottom w:val="single" w:color="185FA5" w:sz="4"/>
              <w:right w:val="single" w:color="185FA5" w:sz="4"/>
            </w:tcBorders>
            <w:shd w:fill="042C5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Financial Advisor  ·  FinTech Specialist  ·  SACCO Manager  ·  Tax Practitioner</w:t>
            </w:r>
          </w:p>
        </w:tc>
      </w:tr>
      <w:tr>
        <w:tc>
          <w:tcPr>
            <w:tcW w:type="dxa" w:w="1200"/>
            <w:tcBorders>
              <w:top w:val="single" w:color="185FA5" w:sz="4"/>
              <w:left w:val="single" w:color="185FA5" w:sz="4"/>
              <w:bottom w:val="single" w:color="185FA5" w:sz="8"/>
              <w:right w:val="single" w:color="185FA5" w:sz="4"/>
            </w:tcBorders>
            <w:shd w:fill="042C53"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185FA5"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9+ courses   ·   4–16 weeks   ·   NQF L2–L5</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34AB7" w:sz="8"/>
              <w:left w:val="single" w:color="534AB7" w:sz="8"/>
              <w:bottom w:val="single" w:color="534AB7" w:sz="8"/>
              <w:right w:val="single" w:color="534AB7" w:sz="8"/>
            </w:tcBorders>
            <w:shd w:fill="534AB7"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#6</w:t>
            </w:r>
          </w:p>
          <w:p>
            <w:pPr>
              <w:spacing w:after="0" w:before="0"/>
              <w:jc w:val="center"/>
            </w:pPr>
            <w:r>
              <w:rPr>
                <w:rFonts w:ascii="Arial" w:cs="Arial" w:eastAsia="Arial" w:hAnsi="Arial"/>
                <w:b/>
                <w:bCs/>
                <w:color w:val="FFFFFF"/>
                <w:sz w:val="18"/>
                <w:szCs w:val="18"/>
              </w:rPr>
              <w:t xml:space="preserve">ATS</w:t>
            </w:r>
          </w:p>
        </w:tc>
        <w:tc>
          <w:tcPr>
            <w:tcW w:type="dxa" w:w="8160"/>
            <w:tcBorders>
              <w:top w:val="single" w:color="534AB7" w:sz="8"/>
              <w:left w:val="single" w:color="534AB7" w:sz="8"/>
              <w:bottom w:val="single" w:color="534AB7" w:sz="4"/>
              <w:right w:val="single" w:color="534AB7" w:sz="4"/>
            </w:tcBorders>
            <w:shd w:fill="EEEDFE" w:val="clear"/>
            <w:tcMar>
              <w:top w:type="dxa" w:w="140"/>
              <w:left w:type="dxa" w:w="200"/>
              <w:bottom w:type="dxa" w:w="120"/>
              <w:right w:type="dxa" w:w="140"/>
            </w:tcMar>
          </w:tcPr>
          <w:p>
            <w:pPr>
              <w:spacing w:after="40" w:before="0"/>
            </w:pPr>
            <w:r>
              <w:rPr>
                <w:rFonts w:ascii="Arial" w:cs="Arial" w:eastAsia="Arial" w:hAnsi="Arial"/>
                <w:b/>
                <w:bCs/>
                <w:color w:val="534AB7"/>
                <w:sz w:val="28"/>
                <w:szCs w:val="28"/>
              </w:rPr>
              <w:t xml:space="preserve">Applied Trades &amp; Engineering Stream</w:t>
            </w:r>
          </w:p>
          <w:p>
            <w:pPr>
              <w:spacing w:after="60" w:before="0"/>
            </w:pPr>
            <w:r>
              <w:rPr>
                <w:rFonts w:ascii="Arial" w:cs="Arial" w:eastAsia="Arial" w:hAnsi="Arial"/>
                <w:color w:val="0B0C10"/>
                <w:sz w:val="21"/>
                <w:szCs w:val="21"/>
              </w:rPr>
              <w:t xml:space="preserve">Electrical, plumbing, construction &amp; repair</w:t>
            </w:r>
          </w:p>
          <w:p>
            <w:pPr>
              <w:spacing w:after="0" w:before="0"/>
            </w:pPr>
            <w:r>
              <w:rPr>
                <w:rFonts w:ascii="Arial" w:cs="Arial" w:eastAsia="Arial" w:hAnsi="Arial"/>
                <w:b/>
                <w:bCs/>
                <w:i/>
                <w:iCs/>
                <w:color w:val="26215C"/>
                <w:sz w:val="18"/>
                <w:szCs w:val="18"/>
              </w:rPr>
              <w:t xml:space="preserve">•  Strategic — artisan shortage</w:t>
            </w:r>
          </w:p>
        </w:tc>
      </w:tr>
      <w:tr>
        <w:tc>
          <w:tcPr>
            <w:tcW w:type="dxa" w:w="1200"/>
            <w:tcBorders>
              <w:top w:val="single" w:color="534AB7" w:sz="4"/>
              <w:left w:val="single" w:color="534AB7" w:sz="4"/>
              <w:bottom w:val="single" w:color="534AB7" w:sz="4"/>
              <w:right w:val="single" w:color="534AB7" w:sz="4"/>
            </w:tcBorders>
            <w:shd w:fill="26215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SA needs 30,000 more artisans every year. TVET colleges are under-enrolled and over-stretched. Trades produce immediate employment AND entrepreneurship pathways. The country cannot build, rewire, or maintain itself without skilled artisans.</w:t>
            </w:r>
          </w:p>
        </w:tc>
      </w:tr>
      <w:tr>
        <w:tc>
          <w:tcPr>
            <w:tcW w:type="dxa" w:w="1200"/>
            <w:tcBorders>
              <w:top w:val="single" w:color="534AB7" w:sz="4"/>
              <w:left w:val="single" w:color="534AB7" w:sz="4"/>
              <w:bottom w:val="single" w:color="534AB7" w:sz="4"/>
              <w:right w:val="single" w:color="534AB7" w:sz="4"/>
            </w:tcBorders>
            <w:shd w:fill="26215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EEEDFE" w:val="clear"/>
            <w:tcMar>
              <w:top w:type="dxa" w:w="100"/>
              <w:left w:type="dxa" w:w="200"/>
              <w:bottom w:type="dxa" w:w="100"/>
              <w:right w:type="dxa" w:w="140"/>
            </w:tcMar>
          </w:tcPr>
          <w:p>
            <w:pPr>
              <w:spacing w:after="0" w:before="0"/>
            </w:pPr>
            <w:r>
              <w:rPr>
                <w:rFonts w:ascii="Arial" w:cs="Arial" w:eastAsia="Arial" w:hAnsi="Arial"/>
                <w:color w:val="26215C"/>
                <w:sz w:val="20"/>
                <w:szCs w:val="20"/>
              </w:rPr>
              <w:t xml:space="preserve">Electrical Wiring &amp; Installation  ·  Plumbing &amp; Sanitation  ·  Welding &amp; Metal Fabrication  ·  Automotive Mechanics  ·  Hardware Repair  ·  Tiling &amp; Construction Finishing  ·  HVAC &amp; Refrigeration  ·  CNC Operation  ·  Construction PM</w:t>
            </w:r>
          </w:p>
        </w:tc>
      </w:tr>
      <w:tr>
        <w:tc>
          <w:tcPr>
            <w:tcW w:type="dxa" w:w="1200"/>
            <w:tcBorders>
              <w:top w:val="single" w:color="534AB7" w:sz="4"/>
              <w:left w:val="single" w:color="534AB7" w:sz="4"/>
              <w:bottom w:val="single" w:color="534AB7" w:sz="4"/>
              <w:right w:val="single" w:color="534AB7" w:sz="4"/>
            </w:tcBorders>
            <w:shd w:fill="26215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Master Electrician  ·  Plumber  ·  Automotive Technician  ·  Hardware Engineer</w:t>
            </w:r>
          </w:p>
        </w:tc>
      </w:tr>
      <w:tr>
        <w:tc>
          <w:tcPr>
            <w:tcW w:type="dxa" w:w="1200"/>
            <w:tcBorders>
              <w:top w:val="single" w:color="534AB7" w:sz="4"/>
              <w:left w:val="single" w:color="534AB7" w:sz="4"/>
              <w:bottom w:val="single" w:color="534AB7" w:sz="8"/>
              <w:right w:val="single" w:color="534AB7" w:sz="4"/>
            </w:tcBorders>
            <w:shd w:fill="26215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534AB7"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11+ courses   ·   12–52 weeks   ·   NQF L3–L5</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3556" w:sz="8"/>
              <w:left w:val="single" w:color="993556" w:sz="8"/>
              <w:bottom w:val="single" w:color="993556" w:sz="8"/>
              <w:right w:val="single" w:color="993556" w:sz="8"/>
            </w:tcBorders>
            <w:shd w:fill="993556"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#7</w:t>
            </w:r>
          </w:p>
          <w:p>
            <w:pPr>
              <w:spacing w:after="0" w:before="0"/>
              <w:jc w:val="center"/>
            </w:pPr>
            <w:r>
              <w:rPr>
                <w:rFonts w:ascii="Arial" w:cs="Arial" w:eastAsia="Arial" w:hAnsi="Arial"/>
                <w:b/>
                <w:bCs/>
                <w:color w:val="FFFFFF"/>
                <w:sz w:val="18"/>
                <w:szCs w:val="18"/>
              </w:rPr>
              <w:t xml:space="preserve">CDS</w:t>
            </w:r>
          </w:p>
        </w:tc>
        <w:tc>
          <w:tcPr>
            <w:tcW w:type="dxa" w:w="8160"/>
            <w:tcBorders>
              <w:top w:val="single" w:color="993556" w:sz="8"/>
              <w:left w:val="single" w:color="993556" w:sz="8"/>
              <w:bottom w:val="single" w:color="993556" w:sz="4"/>
              <w:right w:val="single" w:color="993556" w:sz="4"/>
            </w:tcBorders>
            <w:shd w:fill="FBEAF0" w:val="clear"/>
            <w:tcMar>
              <w:top w:type="dxa" w:w="140"/>
              <w:left w:type="dxa" w:w="200"/>
              <w:bottom w:type="dxa" w:w="120"/>
              <w:right w:type="dxa" w:w="140"/>
            </w:tcMar>
          </w:tcPr>
          <w:p>
            <w:pPr>
              <w:spacing w:after="40" w:before="0"/>
            </w:pPr>
            <w:r>
              <w:rPr>
                <w:rFonts w:ascii="Arial" w:cs="Arial" w:eastAsia="Arial" w:hAnsi="Arial"/>
                <w:b/>
                <w:bCs/>
                <w:color w:val="993556"/>
                <w:sz w:val="28"/>
                <w:szCs w:val="28"/>
              </w:rPr>
              <w:t xml:space="preserve">Creative &amp; Digital Media Stream</w:t>
            </w:r>
          </w:p>
          <w:p>
            <w:pPr>
              <w:spacing w:after="60" w:before="0"/>
            </w:pPr>
            <w:r>
              <w:rPr>
                <w:rFonts w:ascii="Arial" w:cs="Arial" w:eastAsia="Arial" w:hAnsi="Arial"/>
                <w:color w:val="0B0C10"/>
                <w:sz w:val="21"/>
                <w:szCs w:val="21"/>
              </w:rPr>
              <w:t xml:space="preserve">Design, film, music &amp; content creation</w:t>
            </w:r>
          </w:p>
          <w:p>
            <w:pPr>
              <w:spacing w:after="0" w:before="0"/>
            </w:pPr>
            <w:r>
              <w:rPr>
                <w:rFonts w:ascii="Arial" w:cs="Arial" w:eastAsia="Arial" w:hAnsi="Arial"/>
                <w:b/>
                <w:bCs/>
                <w:i/>
                <w:iCs/>
                <w:color w:val="4B1528"/>
                <w:sz w:val="18"/>
                <w:szCs w:val="18"/>
              </w:rPr>
              <w:t xml:space="preserve">•  Strategic — creator economy</w:t>
            </w:r>
          </w:p>
        </w:tc>
      </w:tr>
      <w:tr>
        <w:tc>
          <w:tcPr>
            <w:tcW w:type="dxa" w:w="1200"/>
            <w:tcBorders>
              <w:top w:val="single" w:color="993556" w:sz="4"/>
              <w:left w:val="single" w:color="993556" w:sz="4"/>
              <w:bottom w:val="single" w:color="993556" w:sz="4"/>
              <w:right w:val="single" w:color="993556" w:sz="4"/>
            </w:tcBorders>
            <w:shd w:fill="4B1528"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Africa's creative economy is projected at $4.2B by 2025. Nollywood, Afrobeats, Amapiano, and SA fashion are global cultural exports. Digital tools democratise entry — a learner with a laptop and skill can earn from a township bedroom.</w:t>
            </w:r>
          </w:p>
        </w:tc>
      </w:tr>
      <w:tr>
        <w:tc>
          <w:tcPr>
            <w:tcW w:type="dxa" w:w="1200"/>
            <w:tcBorders>
              <w:top w:val="single" w:color="993556" w:sz="4"/>
              <w:left w:val="single" w:color="993556" w:sz="4"/>
              <w:bottom w:val="single" w:color="993556" w:sz="4"/>
              <w:right w:val="single" w:color="993556" w:sz="4"/>
            </w:tcBorders>
            <w:shd w:fill="4B1528"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FBEAF0" w:val="clear"/>
            <w:tcMar>
              <w:top w:type="dxa" w:w="100"/>
              <w:left w:type="dxa" w:w="200"/>
              <w:bottom w:type="dxa" w:w="100"/>
              <w:right w:type="dxa" w:w="140"/>
            </w:tcMar>
          </w:tcPr>
          <w:p>
            <w:pPr>
              <w:spacing w:after="0" w:before="0"/>
            </w:pPr>
            <w:r>
              <w:rPr>
                <w:rFonts w:ascii="Arial" w:cs="Arial" w:eastAsia="Arial" w:hAnsi="Arial"/>
                <w:color w:val="4B1528"/>
                <w:sz w:val="20"/>
                <w:szCs w:val="20"/>
              </w:rPr>
              <w:t xml:space="preserve">Graphic Design  ·  UI/UX Design  ·  Video Production &amp; Editing  ·  Music Production  ·  Photography  ·  Social Media Management  ·  Brand Strategy  ·  Animation &amp; Motion Graphics</w:t>
            </w:r>
          </w:p>
        </w:tc>
      </w:tr>
      <w:tr>
        <w:tc>
          <w:tcPr>
            <w:tcW w:type="dxa" w:w="1200"/>
            <w:tcBorders>
              <w:top w:val="single" w:color="993556" w:sz="4"/>
              <w:left w:val="single" w:color="993556" w:sz="4"/>
              <w:bottom w:val="single" w:color="993556" w:sz="4"/>
              <w:right w:val="single" w:color="993556" w:sz="4"/>
            </w:tcBorders>
            <w:shd w:fill="4B1528"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Creative Director  ·  Content Creator  ·  UI/UX Designer  ·  Brand Strategist</w:t>
            </w:r>
          </w:p>
        </w:tc>
      </w:tr>
      <w:tr>
        <w:tc>
          <w:tcPr>
            <w:tcW w:type="dxa" w:w="1200"/>
            <w:tcBorders>
              <w:top w:val="single" w:color="993556" w:sz="4"/>
              <w:left w:val="single" w:color="993556" w:sz="4"/>
              <w:bottom w:val="single" w:color="993556" w:sz="8"/>
              <w:right w:val="single" w:color="993556" w:sz="4"/>
            </w:tcBorders>
            <w:shd w:fill="4B1528"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993556"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11+ courses   ·   8–24 weeks   ·   NQF L3–L6</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3380A" w:sz="8"/>
              <w:left w:val="single" w:color="63380A" w:sz="8"/>
              <w:bottom w:val="single" w:color="63380A" w:sz="8"/>
              <w:right w:val="single" w:color="63380A" w:sz="8"/>
            </w:tcBorders>
            <w:shd w:fill="63380A"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#8</w:t>
            </w:r>
          </w:p>
          <w:p>
            <w:pPr>
              <w:spacing w:after="0" w:before="0"/>
              <w:jc w:val="center"/>
            </w:pPr>
            <w:r>
              <w:rPr>
                <w:rFonts w:ascii="Arial" w:cs="Arial" w:eastAsia="Arial" w:hAnsi="Arial"/>
                <w:b/>
                <w:bCs/>
                <w:color w:val="FFFFFF"/>
                <w:sz w:val="18"/>
                <w:szCs w:val="18"/>
              </w:rPr>
              <w:t xml:space="preserve">LES</w:t>
            </w:r>
          </w:p>
        </w:tc>
        <w:tc>
          <w:tcPr>
            <w:tcW w:type="dxa" w:w="8160"/>
            <w:tcBorders>
              <w:top w:val="single" w:color="63380A" w:sz="8"/>
              <w:left w:val="single" w:color="63380A" w:sz="8"/>
              <w:bottom w:val="single" w:color="63380A" w:sz="4"/>
              <w:right w:val="single" w:color="63380A" w:sz="4"/>
            </w:tcBorders>
            <w:shd w:fill="FAEEDA" w:val="clear"/>
            <w:tcMar>
              <w:top w:type="dxa" w:w="140"/>
              <w:left w:type="dxa" w:w="200"/>
              <w:bottom w:type="dxa" w:w="120"/>
              <w:right w:type="dxa" w:w="140"/>
            </w:tcMar>
          </w:tcPr>
          <w:p>
            <w:pPr>
              <w:spacing w:after="40" w:before="0"/>
            </w:pPr>
            <w:r>
              <w:rPr>
                <w:rFonts w:ascii="Arial" w:cs="Arial" w:eastAsia="Arial" w:hAnsi="Arial"/>
                <w:b/>
                <w:bCs/>
                <w:color w:val="63380A"/>
                <w:sz w:val="28"/>
                <w:szCs w:val="28"/>
              </w:rPr>
              <w:t xml:space="preserve">Leadership &amp; Entrepreneurship Stream</w:t>
            </w:r>
          </w:p>
          <w:p>
            <w:pPr>
              <w:spacing w:after="60" w:before="0"/>
            </w:pPr>
            <w:r>
              <w:rPr>
                <w:rFonts w:ascii="Arial" w:cs="Arial" w:eastAsia="Arial" w:hAnsi="Arial"/>
                <w:color w:val="0B0C10"/>
                <w:sz w:val="21"/>
                <w:szCs w:val="21"/>
              </w:rPr>
              <w:t xml:space="preserve">Business strategy, venture building &amp; governance</w:t>
            </w:r>
          </w:p>
          <w:p>
            <w:pPr>
              <w:spacing w:after="0" w:before="0"/>
            </w:pPr>
            <w:r>
              <w:rPr>
                <w:rFonts w:ascii="Arial" w:cs="Arial" w:eastAsia="Arial" w:hAnsi="Arial"/>
                <w:b/>
                <w:bCs/>
                <w:i/>
                <w:iCs/>
                <w:color w:val="412402"/>
                <w:sz w:val="18"/>
                <w:szCs w:val="18"/>
              </w:rPr>
              <w:t xml:space="preserve">•  Strategic — job creators needed</w:t>
            </w:r>
          </w:p>
        </w:tc>
      </w:tr>
      <w:tr>
        <w:tc>
          <w:tcPr>
            <w:tcW w:type="dxa" w:w="1200"/>
            <w:tcBorders>
              <w:top w:val="single" w:color="63380A" w:sz="4"/>
              <w:left w:val="single" w:color="63380A" w:sz="4"/>
              <w:bottom w:val="single" w:color="63380A" w:sz="4"/>
              <w:right w:val="single" w:color="63380A"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SA's 32% youth unemployment cannot be solved by job-seeker programmes alone. We need to produce job CREATORS. This stream becomes a multiplier when paired with any technical qualification — turning skilled employees into skilled employers.</w:t>
            </w:r>
          </w:p>
        </w:tc>
      </w:tr>
      <w:tr>
        <w:tc>
          <w:tcPr>
            <w:tcW w:type="dxa" w:w="1200"/>
            <w:tcBorders>
              <w:top w:val="single" w:color="63380A" w:sz="4"/>
              <w:left w:val="single" w:color="63380A" w:sz="4"/>
              <w:bottom w:val="single" w:color="63380A" w:sz="4"/>
              <w:right w:val="single" w:color="63380A"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FAEEDA" w:val="clear"/>
            <w:tcMar>
              <w:top w:type="dxa" w:w="100"/>
              <w:left w:type="dxa" w:w="200"/>
              <w:bottom w:type="dxa" w:w="100"/>
              <w:right w:type="dxa" w:w="140"/>
            </w:tcMar>
          </w:tcPr>
          <w:p>
            <w:pPr>
              <w:spacing w:after="0" w:before="0"/>
            </w:pPr>
            <w:r>
              <w:rPr>
                <w:rFonts w:ascii="Arial" w:cs="Arial" w:eastAsia="Arial" w:hAnsi="Arial"/>
                <w:color w:val="412402"/>
                <w:sz w:val="20"/>
                <w:szCs w:val="20"/>
              </w:rPr>
              <w:t xml:space="preserve">Business Fundamentals  ·  Social Entrepreneurship  ·  Startup Finance  ·  Management &amp; Team Leadership  ·  Legal for Business  ·  Franchise &amp; Scale  ·  Public Sector &amp; Tenders</w:t>
            </w:r>
          </w:p>
        </w:tc>
      </w:tr>
      <w:tr>
        <w:tc>
          <w:tcPr>
            <w:tcW w:type="dxa" w:w="1200"/>
            <w:tcBorders>
              <w:top w:val="single" w:color="63380A" w:sz="4"/>
              <w:left w:val="single" w:color="63380A" w:sz="4"/>
              <w:bottom w:val="single" w:color="63380A" w:sz="4"/>
              <w:right w:val="single" w:color="63380A"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Entrepreneur  ·  Technical Founder  ·  NGO Manager  ·  Corporate Leader</w:t>
            </w:r>
          </w:p>
        </w:tc>
      </w:tr>
      <w:tr>
        <w:tc>
          <w:tcPr>
            <w:tcW w:type="dxa" w:w="1200"/>
            <w:tcBorders>
              <w:top w:val="single" w:color="63380A" w:sz="4"/>
              <w:left w:val="single" w:color="63380A" w:sz="4"/>
              <w:bottom w:val="single" w:color="63380A" w:sz="8"/>
              <w:right w:val="single" w:color="63380A" w:sz="4"/>
            </w:tcBorders>
            <w:shd w:fill="412402"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63380A"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10+ courses   ·   8–20 weeks   ·   NQF L4–L6</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D9E75" w:sz="8"/>
              <w:left w:val="single" w:color="1D9E75" w:sz="8"/>
              <w:bottom w:val="single" w:color="1D9E75" w:sz="8"/>
              <w:right w:val="single" w:color="1D9E75" w:sz="8"/>
            </w:tcBorders>
            <w:shd w:fill="1D9E75"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#9</w:t>
            </w:r>
          </w:p>
          <w:p>
            <w:pPr>
              <w:spacing w:after="0" w:before="0"/>
              <w:jc w:val="center"/>
            </w:pPr>
            <w:r>
              <w:rPr>
                <w:rFonts w:ascii="Arial" w:cs="Arial" w:eastAsia="Arial" w:hAnsi="Arial"/>
                <w:b/>
                <w:bCs/>
                <w:color w:val="FFFFFF"/>
                <w:sz w:val="18"/>
                <w:szCs w:val="18"/>
              </w:rPr>
              <w:t xml:space="preserve">ECS</w:t>
            </w:r>
          </w:p>
        </w:tc>
        <w:tc>
          <w:tcPr>
            <w:tcW w:type="dxa" w:w="8160"/>
            <w:tcBorders>
              <w:top w:val="single" w:color="1D9E75" w:sz="8"/>
              <w:left w:val="single" w:color="1D9E75" w:sz="8"/>
              <w:bottom w:val="single" w:color="1D9E75" w:sz="4"/>
              <w:right w:val="single" w:color="1D9E75" w:sz="4"/>
            </w:tcBorders>
            <w:shd w:fill="E1F5EE" w:val="clear"/>
            <w:tcMar>
              <w:top w:type="dxa" w:w="140"/>
              <w:left w:type="dxa" w:w="200"/>
              <w:bottom w:type="dxa" w:w="120"/>
              <w:right w:type="dxa" w:w="140"/>
            </w:tcMar>
          </w:tcPr>
          <w:p>
            <w:pPr>
              <w:spacing w:after="40" w:before="0"/>
            </w:pPr>
            <w:r>
              <w:rPr>
                <w:rFonts w:ascii="Arial" w:cs="Arial" w:eastAsia="Arial" w:hAnsi="Arial"/>
                <w:b/>
                <w:bCs/>
                <w:color w:val="1D9E75"/>
                <w:sz w:val="28"/>
                <w:szCs w:val="28"/>
              </w:rPr>
              <w:t xml:space="preserve">Early Childhood &amp; Education Stream</w:t>
            </w:r>
          </w:p>
          <w:p>
            <w:pPr>
              <w:spacing w:after="60" w:before="0"/>
            </w:pPr>
            <w:r>
              <w:rPr>
                <w:rFonts w:ascii="Arial" w:cs="Arial" w:eastAsia="Arial" w:hAnsi="Arial"/>
                <w:color w:val="0B0C10"/>
                <w:sz w:val="21"/>
                <w:szCs w:val="21"/>
              </w:rPr>
              <w:t xml:space="preserve">Teaching, ECD &amp; education technology</w:t>
            </w:r>
          </w:p>
          <w:p>
            <w:pPr>
              <w:spacing w:after="0" w:before="0"/>
            </w:pPr>
            <w:r>
              <w:rPr>
                <w:rFonts w:ascii="Arial" w:cs="Arial" w:eastAsia="Arial" w:hAnsi="Arial"/>
                <w:b/>
                <w:bCs/>
                <w:i/>
                <w:iCs/>
                <w:color w:val="04342C"/>
                <w:sz w:val="18"/>
                <w:szCs w:val="18"/>
              </w:rPr>
              <w:t xml:space="preserve">•  Strategic — foundation of all growth</w:t>
            </w:r>
          </w:p>
        </w:tc>
      </w:tr>
      <w:tr>
        <w:tc>
          <w:tcPr>
            <w:tcW w:type="dxa" w:w="1200"/>
            <w:tcBorders>
              <w:top w:val="single" w:color="1D9E75" w:sz="4"/>
              <w:left w:val="single" w:color="1D9E75" w:sz="4"/>
              <w:bottom w:val="single" w:color="1D9E75" w:sz="4"/>
              <w:right w:val="single" w:color="1D9E75"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PIRLS 2021: 81% of SA Grade 4 learners cannot read for meaning. Early Childhood Development is the single highest-leverage education intervention available — every Rand spent on ECD returns multiples downstream.</w:t>
            </w:r>
          </w:p>
        </w:tc>
      </w:tr>
      <w:tr>
        <w:tc>
          <w:tcPr>
            <w:tcW w:type="dxa" w:w="1200"/>
            <w:tcBorders>
              <w:top w:val="single" w:color="1D9E75" w:sz="4"/>
              <w:left w:val="single" w:color="1D9E75" w:sz="4"/>
              <w:bottom w:val="single" w:color="1D9E75" w:sz="4"/>
              <w:right w:val="single" w:color="1D9E75"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E1F5EE" w:val="clear"/>
            <w:tcMar>
              <w:top w:type="dxa" w:w="100"/>
              <w:left w:type="dxa" w:w="200"/>
              <w:bottom w:type="dxa" w:w="100"/>
              <w:right w:type="dxa" w:w="140"/>
            </w:tcMar>
          </w:tcPr>
          <w:p>
            <w:pPr>
              <w:spacing w:after="0" w:before="0"/>
            </w:pPr>
            <w:r>
              <w:rPr>
                <w:rFonts w:ascii="Arial" w:cs="Arial" w:eastAsia="Arial" w:hAnsi="Arial"/>
                <w:color w:val="04342C"/>
                <w:sz w:val="20"/>
                <w:szCs w:val="20"/>
              </w:rPr>
              <w:t xml:space="preserve">ECD Practitioner  ·  Grade R &amp; Foundation Phase Support  ·  Remedial Literacy &amp; Numeracy  ·  EdTech &amp; Digital Classrooms  ·  Inclusive Education  ·  Adult Education &amp; Training  ·  Stream Leadership</w:t>
            </w:r>
          </w:p>
        </w:tc>
      </w:tr>
      <w:tr>
        <w:tc>
          <w:tcPr>
            <w:tcW w:type="dxa" w:w="1200"/>
            <w:tcBorders>
              <w:top w:val="single" w:color="1D9E75" w:sz="4"/>
              <w:left w:val="single" w:color="1D9E75" w:sz="4"/>
              <w:bottom w:val="single" w:color="1D9E75" w:sz="4"/>
              <w:right w:val="single" w:color="1D9E75"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ECD Practitioner  ·  Primary Teacher  ·  Educational Therapist  ·  EdTech Coordinator</w:t>
            </w:r>
          </w:p>
        </w:tc>
      </w:tr>
      <w:tr>
        <w:tc>
          <w:tcPr>
            <w:tcW w:type="dxa" w:w="1200"/>
            <w:tcBorders>
              <w:top w:val="single" w:color="1D9E75" w:sz="4"/>
              <w:left w:val="single" w:color="1D9E75" w:sz="4"/>
              <w:bottom w:val="single" w:color="1D9E75" w:sz="8"/>
              <w:right w:val="single" w:color="1D9E75"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1D9E75"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9+ courses   ·   12–52 weeks   ·   NQF L4–L6</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C7B93" w:sz="8"/>
              <w:left w:val="single" w:color="0C7B93" w:sz="8"/>
              <w:bottom w:val="single" w:color="0C7B93" w:sz="8"/>
              <w:right w:val="single" w:color="0C7B93" w:sz="8"/>
            </w:tcBorders>
            <w:shd w:fill="0C7B93" w:val="clear"/>
            <w:tcMar>
              <w:top w:type="dxa" w:w="140"/>
              <w:left w:type="dxa" w:w="80"/>
              <w:bottom w:type="dxa" w:w="140"/>
              <w:right w:type="dxa" w:w="80"/>
            </w:tcMar>
            <w:vAlign w:val="center"/>
          </w:tcPr>
          <w:p>
            <w:pPr>
              <w:spacing w:after="30" w:before="0"/>
              <w:jc w:val="center"/>
            </w:pPr>
            <w:r>
              <w:rPr>
                <w:rFonts w:ascii="Arial Black" w:cs="Arial Black" w:eastAsia="Arial Black" w:hAnsi="Arial Black"/>
                <w:b/>
                <w:bCs/>
                <w:color w:val="FFFFFF"/>
                <w:sz w:val="24"/>
                <w:szCs w:val="24"/>
              </w:rPr>
              <w:t xml:space="preserve">#10</w:t>
            </w:r>
          </w:p>
          <w:p>
            <w:pPr>
              <w:spacing w:after="0" w:before="0"/>
              <w:jc w:val="center"/>
            </w:pPr>
            <w:r>
              <w:rPr>
                <w:rFonts w:ascii="Arial" w:cs="Arial" w:eastAsia="Arial" w:hAnsi="Arial"/>
                <w:b/>
                <w:bCs/>
                <w:color w:val="FFFFFF"/>
                <w:sz w:val="18"/>
                <w:szCs w:val="18"/>
              </w:rPr>
              <w:t xml:space="preserve">CAS</w:t>
            </w:r>
          </w:p>
        </w:tc>
        <w:tc>
          <w:tcPr>
            <w:tcW w:type="dxa" w:w="8160"/>
            <w:tcBorders>
              <w:top w:val="single" w:color="0C7B93" w:sz="8"/>
              <w:left w:val="single" w:color="0C7B93" w:sz="8"/>
              <w:bottom w:val="single" w:color="0C7B93" w:sz="4"/>
              <w:right w:val="single" w:color="0C7B93" w:sz="4"/>
            </w:tcBorders>
            <w:shd w:fill="D6F0FA" w:val="clear"/>
            <w:tcMar>
              <w:top w:type="dxa" w:w="140"/>
              <w:left w:type="dxa" w:w="200"/>
              <w:bottom w:type="dxa" w:w="120"/>
              <w:right w:type="dxa" w:w="140"/>
            </w:tcMar>
          </w:tcPr>
          <w:p>
            <w:pPr>
              <w:spacing w:after="40" w:before="0"/>
            </w:pPr>
            <w:r>
              <w:rPr>
                <w:rFonts w:ascii="Arial" w:cs="Arial" w:eastAsia="Arial" w:hAnsi="Arial"/>
                <w:b/>
                <w:bCs/>
                <w:color w:val="0C7B93"/>
                <w:sz w:val="28"/>
                <w:szCs w:val="28"/>
              </w:rPr>
              <w:t xml:space="preserve">Environment &amp; Climate Action Stream</w:t>
            </w:r>
          </w:p>
          <w:p>
            <w:pPr>
              <w:spacing w:after="60" w:before="0"/>
            </w:pPr>
            <w:r>
              <w:rPr>
                <w:rFonts w:ascii="Arial" w:cs="Arial" w:eastAsia="Arial" w:hAnsi="Arial"/>
                <w:color w:val="0B0C10"/>
                <w:sz w:val="21"/>
                <w:szCs w:val="21"/>
              </w:rPr>
              <w:t xml:space="preserve">Conservation, climate resilience &amp; green economy</w:t>
            </w:r>
          </w:p>
          <w:p>
            <w:pPr>
              <w:spacing w:after="0" w:before="0"/>
            </w:pPr>
            <w:r>
              <w:rPr>
                <w:rFonts w:ascii="Arial" w:cs="Arial" w:eastAsia="Arial" w:hAnsi="Arial"/>
                <w:b/>
                <w:bCs/>
                <w:i/>
                <w:iCs/>
                <w:color w:val="04342C"/>
                <w:sz w:val="18"/>
                <w:szCs w:val="18"/>
              </w:rPr>
              <w:t xml:space="preserve">•  Emerging — Just Transition</w:t>
            </w:r>
          </w:p>
        </w:tc>
      </w:tr>
      <w:tr>
        <w:tc>
          <w:tcPr>
            <w:tcW w:type="dxa" w:w="1200"/>
            <w:tcBorders>
              <w:top w:val="single" w:color="0C7B93" w:sz="4"/>
              <w:left w:val="single" w:color="0C7B93" w:sz="4"/>
              <w:bottom w:val="single" w:color="0C7B93" w:sz="4"/>
              <w:right w:val="single" w:color="0C7B93"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Why this matters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color w:val="0B0C10"/>
                <w:sz w:val="21"/>
                <w:szCs w:val="21"/>
              </w:rPr>
              <w:t xml:space="preserve">SA is among the top 20 global emitters and signed up to the Just Energy Transition. Conservation is a continent-wide economic asset. Carbon markets, climate finance, and circular economy roles will be among the fastest-growing job categories of the next decade.</w:t>
            </w:r>
          </w:p>
        </w:tc>
      </w:tr>
      <w:tr>
        <w:tc>
          <w:tcPr>
            <w:tcW w:type="dxa" w:w="1200"/>
            <w:tcBorders>
              <w:top w:val="single" w:color="0C7B93" w:sz="4"/>
              <w:left w:val="single" w:color="0C7B93" w:sz="4"/>
              <w:bottom w:val="single" w:color="0C7B93" w:sz="4"/>
              <w:right w:val="single" w:color="0C7B93"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Sample courses</w:t>
            </w:r>
          </w:p>
        </w:tc>
        <w:tc>
          <w:tcPr>
            <w:tcW w:type="dxa" w:w="8160"/>
            <w:tcBorders>
              <w:top w:val="single" w:color="C8D4E0" w:sz="4"/>
              <w:left w:val="single" w:color="C8D4E0" w:sz="4"/>
              <w:bottom w:val="single" w:color="C8D4E0" w:sz="4"/>
              <w:right w:val="single" w:color="C8D4E0" w:sz="4"/>
            </w:tcBorders>
            <w:shd w:fill="D6F0FA" w:val="clear"/>
            <w:tcMar>
              <w:top w:type="dxa" w:w="100"/>
              <w:left w:type="dxa" w:w="200"/>
              <w:bottom w:type="dxa" w:w="100"/>
              <w:right w:type="dxa" w:w="140"/>
            </w:tcMar>
          </w:tcPr>
          <w:p>
            <w:pPr>
              <w:spacing w:after="0" w:before="0"/>
            </w:pPr>
            <w:r>
              <w:rPr>
                <w:rFonts w:ascii="Arial" w:cs="Arial" w:eastAsia="Arial" w:hAnsi="Arial"/>
                <w:color w:val="04342C"/>
                <w:sz w:val="20"/>
                <w:szCs w:val="20"/>
              </w:rPr>
              <w:t xml:space="preserve">Climate Literacy &amp; Action  ·  Conservation &amp; Wildlife Management  ·  Waste Management &amp; Circular Economy  ·  Environmental Law &amp; Compliance  ·  Carbon Markets &amp; Climate Finance  ·  Ecotourism  ·  Water Resource Management</w:t>
            </w:r>
          </w:p>
        </w:tc>
      </w:tr>
      <w:tr>
        <w:tc>
          <w:tcPr>
            <w:tcW w:type="dxa" w:w="1200"/>
            <w:tcBorders>
              <w:top w:val="single" w:color="0C7B93" w:sz="4"/>
              <w:left w:val="single" w:color="0C7B93" w:sz="4"/>
              <w:bottom w:val="single" w:color="0C7B93" w:sz="4"/>
              <w:right w:val="single" w:color="0C7B93"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Graduate outcomes</w:t>
            </w:r>
          </w:p>
        </w:tc>
        <w:tc>
          <w:tcPr>
            <w:tcW w:type="dxa" w:w="8160"/>
            <w:tcBorders>
              <w:top w:val="single" w:color="C8D4E0" w:sz="4"/>
              <w:left w:val="single" w:color="C8D4E0" w:sz="4"/>
              <w:bottom w:val="single" w:color="C8D4E0" w:sz="4"/>
              <w:right w:val="single" w:color="C8D4E0" w:sz="4"/>
            </w:tcBorders>
            <w:shd w:fill="F4F7FB" w:val="clear"/>
            <w:tcMar>
              <w:top w:type="dxa" w:w="100"/>
              <w:left w:type="dxa" w:w="200"/>
              <w:bottom w:type="dxa" w:w="100"/>
              <w:right w:type="dxa" w:w="140"/>
            </w:tcMar>
          </w:tcPr>
          <w:p>
            <w:pPr>
              <w:spacing w:after="0" w:before="0"/>
            </w:pPr>
            <w:r>
              <w:rPr>
                <w:rFonts w:ascii="Arial" w:cs="Arial" w:eastAsia="Arial" w:hAnsi="Arial"/>
                <w:b/>
                <w:bCs/>
                <w:color w:val="0B0C10"/>
                <w:sz w:val="21"/>
                <w:szCs w:val="21"/>
              </w:rPr>
              <w:t xml:space="preserve">Conservation Officer  ·  Climate Advisor  ·  Waste Entrepreneur  ·  Green Building Assessor</w:t>
            </w:r>
          </w:p>
        </w:tc>
      </w:tr>
      <w:tr>
        <w:tc>
          <w:tcPr>
            <w:tcW w:type="dxa" w:w="1200"/>
            <w:tcBorders>
              <w:top w:val="single" w:color="0C7B93" w:sz="4"/>
              <w:left w:val="single" w:color="0C7B93" w:sz="4"/>
              <w:bottom w:val="single" w:color="0C7B93" w:sz="8"/>
              <w:right w:val="single" w:color="0C7B93" w:sz="4"/>
            </w:tcBorders>
            <w:shd w:fill="04342C" w:val="clear"/>
            <w:tcMar>
              <w:top w:type="dxa" w:w="80"/>
              <w:left w:type="dxa" w:w="80"/>
              <w:bottom w:type="dxa" w:w="80"/>
              <w:right w:type="dxa" w:w="80"/>
            </w:tcMar>
            <w:vAlign w:val="center"/>
          </w:tcPr>
          <w:p>
            <w:pPr>
              <w:jc w:val="center"/>
            </w:pPr>
            <w:r>
              <w:rPr>
                <w:rFonts w:ascii="Arial" w:cs="Arial" w:eastAsia="Arial" w:hAnsi="Arial"/>
                <w:b/>
                <w:bCs/>
                <w:i/>
                <w:iCs/>
                <w:color w:val="FFFFFF"/>
                <w:sz w:val="14"/>
                <w:szCs w:val="14"/>
              </w:rPr>
              <w:t xml:space="preserve">At a glance</w:t>
            </w:r>
          </w:p>
        </w:tc>
        <w:tc>
          <w:tcPr>
            <w:tcW w:type="dxa" w:w="8160"/>
            <w:tcBorders>
              <w:top w:val="single" w:color="C8D4E0" w:sz="4"/>
              <w:left w:val="single" w:color="C8D4E0" w:sz="4"/>
              <w:bottom w:val="single" w:color="0C7B93" w:sz="8"/>
              <w:right w:val="single" w:color="C8D4E0" w:sz="4"/>
            </w:tcBorders>
            <w:shd w:fill="FFF8DC" w:val="clear"/>
            <w:tcMar>
              <w:top w:type="dxa" w:w="100"/>
              <w:left w:type="dxa" w:w="200"/>
              <w:bottom w:type="dxa" w:w="100"/>
              <w:right w:type="dxa" w:w="140"/>
            </w:tcMar>
          </w:tcPr>
          <w:p>
            <w:pPr>
              <w:spacing w:after="0" w:before="0"/>
            </w:pPr>
            <w:r>
              <w:rPr>
                <w:rFonts w:ascii="Arial" w:cs="Arial" w:eastAsia="Arial" w:hAnsi="Arial"/>
                <w:b/>
                <w:bCs/>
                <w:color w:val="D4AF37"/>
                <w:sz w:val="20"/>
                <w:szCs w:val="20"/>
              </w:rPr>
              <w:t xml:space="preserve">9+ courses   ·   8–24 weeks   ·   NQF L3–L6</w:t>
            </w:r>
          </w:p>
        </w:tc>
      </w:tr>
    </w:tbl>
    <w:p>
      <w:pPr>
        <w:spacing w:after="240" w:before="0"/>
      </w:pPr>
    </w:p>
    <w:p>
      <w:r>
        <w:br w:type="page"/>
      </w:r>
    </w:p>
    <w:p>
      <w:pPr>
        <w:pStyle w:val="Heading1"/>
        <w:pBdr>
          <w:bottom w:val="single" w:color="0F6E56" w:sz="10" w:space="2"/>
        </w:pBdr>
        <w:spacing w:after="160" w:before="280"/>
      </w:pPr>
      <w:r>
        <w:rPr>
          <w:rFonts w:ascii="Arial" w:cs="Arial" w:eastAsia="Arial" w:hAnsi="Arial"/>
          <w:b/>
          <w:bCs/>
          <w:color w:val="0B0C10"/>
          <w:sz w:val="30"/>
          <w:szCs w:val="30"/>
        </w:rPr>
        <w:t xml:space="preserve">Section 3 — Phase 1 Summary &amp; Next Steps</w:t>
      </w:r>
    </w:p>
    <w:p>
      <w:pPr>
        <w:pStyle w:val="Heading2"/>
        <w:spacing w:after="100" w:before="240"/>
      </w:pPr>
      <w:r>
        <w:rPr>
          <w:rFonts w:ascii="Arial" w:cs="Arial" w:eastAsia="Arial" w:hAnsi="Arial"/>
          <w:b/>
          <w:bCs/>
          <w:color w:val="0F6E56"/>
          <w:sz w:val="24"/>
          <w:szCs w:val="24"/>
        </w:rPr>
        <w:t xml:space="preserve">Phase 1 outcomes confirmed</w:t>
      </w:r>
    </w:p>
    <w:p>
      <w:pPr>
        <w:pStyle w:val="ListParagraph"/>
        <w:numPr>
          <w:ilvl w:val="0"/>
          <w:numId w:val="2"/>
        </w:numPr>
        <w:spacing w:after="60" w:before="0"/>
      </w:pPr>
      <w:r>
        <w:rPr>
          <w:rFonts w:ascii="Arial" w:cs="Arial" w:eastAsia="Arial" w:hAnsi="Arial"/>
          <w:color w:val="000000"/>
          <w:sz w:val="22"/>
          <w:szCs w:val="22"/>
        </w:rPr>
        <w:t xml:space="preserve">Ten streams identified and ranked by strategic priority for South Africa and the continent.</w:t>
      </w:r>
    </w:p>
    <w:p>
      <w:pPr>
        <w:pStyle w:val="ListParagraph"/>
        <w:numPr>
          <w:ilvl w:val="0"/>
          <w:numId w:val="2"/>
        </w:numPr>
        <w:spacing w:after="60" w:before="0"/>
      </w:pPr>
      <w:r>
        <w:rPr>
          <w:rFonts w:ascii="Arial" w:cs="Arial" w:eastAsia="Arial" w:hAnsi="Arial"/>
          <w:color w:val="000000"/>
          <w:sz w:val="22"/>
          <w:szCs w:val="22"/>
        </w:rPr>
        <w:t xml:space="preserve">Each stream has a defined mission, sample courses, and graduate outcomes.</w:t>
      </w:r>
    </w:p>
    <w:p>
      <w:pPr>
        <w:pStyle w:val="ListParagraph"/>
        <w:numPr>
          <w:ilvl w:val="0"/>
          <w:numId w:val="2"/>
        </w:numPr>
        <w:spacing w:after="60" w:before="0"/>
      </w:pPr>
      <w:r>
        <w:rPr>
          <w:rFonts w:ascii="Arial" w:cs="Arial" w:eastAsia="Arial" w:hAnsi="Arial"/>
          <w:color w:val="000000"/>
          <w:sz w:val="22"/>
          <w:szCs w:val="22"/>
        </w:rPr>
        <w:t xml:space="preserve">Streams classified into three launch tiers — Flagship, Strategic, and Emerging.</w:t>
      </w:r>
    </w:p>
    <w:p>
      <w:pPr>
        <w:pStyle w:val="ListParagraph"/>
        <w:numPr>
          <w:ilvl w:val="0"/>
          <w:numId w:val="2"/>
        </w:numPr>
        <w:spacing w:after="60" w:before="0"/>
      </w:pPr>
      <w:r>
        <w:rPr>
          <w:rFonts w:ascii="Arial" w:cs="Arial" w:eastAsia="Arial" w:hAnsi="Arial"/>
          <w:color w:val="000000"/>
          <w:sz w:val="22"/>
          <w:szCs w:val="22"/>
        </w:rPr>
        <w:t xml:space="preserve">DSS (Digital Systems Stream) confirmed as the founding stream, already operational and providing the operational template for new streams.</w:t>
      </w:r>
    </w:p>
    <w:p>
      <w:pPr>
        <w:spacing w:after="120" w:before="0"/>
      </w:pPr>
    </w:p>
    <w:p>
      <w:pPr>
        <w:pStyle w:val="Heading2"/>
        <w:spacing w:after="100" w:before="240"/>
      </w:pPr>
      <w:r>
        <w:rPr>
          <w:rFonts w:ascii="Arial" w:cs="Arial" w:eastAsia="Arial" w:hAnsi="Arial"/>
          <w:b/>
          <w:bCs/>
          <w:color w:val="0F6E56"/>
          <w:sz w:val="24"/>
          <w:szCs w:val="24"/>
        </w:rPr>
        <w:t xml:space="preserve">What comes next</w:t>
      </w:r>
    </w:p>
    <w:p>
      <w:pPr>
        <w:spacing w:after="80" w:before="0"/>
        <w:jc w:val="left"/>
      </w:pPr>
      <w:r>
        <w:rPr>
          <w:rFonts w:ascii="Arial" w:cs="Arial" w:eastAsia="Arial" w:hAnsi="Arial"/>
          <w:b w:val="false"/>
          <w:bCs w:val="false"/>
          <w:i w:val="false"/>
          <w:iCs w:val="false"/>
          <w:color w:val="000000"/>
          <w:sz w:val="22"/>
          <w:szCs w:val="22"/>
        </w:rPr>
        <w:t xml:space="preserve">With the stream map approved, the Strategic Blueprint proceeds to:</w:t>
      </w:r>
    </w:p>
    <w:p>
      <w:pPr>
        <w:pStyle w:val="ListParagraph"/>
        <w:numPr>
          <w:ilvl w:val="0"/>
          <w:numId w:val="2"/>
        </w:numPr>
        <w:spacing w:after="60" w:before="0"/>
      </w:pPr>
      <w:r>
        <w:rPr>
          <w:rFonts w:ascii="Arial" w:cs="Arial" w:eastAsia="Arial" w:hAnsi="Arial"/>
          <w:color w:val="000000"/>
          <w:sz w:val="22"/>
          <w:szCs w:val="22"/>
        </w:rPr>
        <w:t xml:space="preserve">Phase 2 — Curriculum Blueprint: 80+ courses across 10 streams, each with NQF level, duration, delivery mode, modules, graduate outcomes, and entry requirements.</w:t>
      </w:r>
    </w:p>
    <w:p>
      <w:pPr>
        <w:pStyle w:val="ListParagraph"/>
        <w:numPr>
          <w:ilvl w:val="0"/>
          <w:numId w:val="2"/>
        </w:numPr>
        <w:spacing w:after="60" w:before="0"/>
      </w:pPr>
      <w:r>
        <w:rPr>
          <w:rFonts w:ascii="Arial" w:cs="Arial" w:eastAsia="Arial" w:hAnsi="Arial"/>
          <w:color w:val="000000"/>
          <w:sz w:val="22"/>
          <w:szCs w:val="22"/>
        </w:rPr>
        <w:t xml:space="preserve">Phase 3 — Delivery, LMS &amp; Revenue: how the Academy delivers, accredits, staffs, and funds itself across all 9 SETAs.</w:t>
      </w:r>
    </w:p>
    <w:p>
      <w:pPr>
        <w:pStyle w:val="ListParagraph"/>
        <w:numPr>
          <w:ilvl w:val="0"/>
          <w:numId w:val="2"/>
        </w:numPr>
        <w:spacing w:after="60" w:before="0"/>
      </w:pPr>
      <w:r>
        <w:rPr>
          <w:rFonts w:ascii="Arial" w:cs="Arial" w:eastAsia="Arial" w:hAnsi="Arial"/>
          <w:color w:val="000000"/>
          <w:sz w:val="22"/>
          <w:szCs w:val="22"/>
        </w:rPr>
        <w:t xml:space="preserve">Phase 4 — Governance, Brand &amp; Web: governance structure, brand identity, ginashe.academy website architecture, partnerships, and the legal entity structure.</w:t>
      </w:r>
    </w:p>
    <w:p>
      <w:pPr>
        <w:spacing w:after="240" w:before="0"/>
      </w:pPr>
    </w:p>
    <w:p>
      <w:pPr>
        <w:pBdr>
          <w:bottom w:val="single" w:color="0F6E56" w:sz="4" w:space="1"/>
        </w:pBdr>
        <w:spacing w:after="80" w:before="80"/>
      </w:pPr>
    </w:p>
    <w:p>
      <w:pPr>
        <w:spacing w:after="240" w:before="0"/>
      </w:pPr>
    </w:p>
    <w:p>
      <w:pPr>
        <w:spacing w:after="0" w:before="200"/>
        <w:jc w:val="center"/>
      </w:pPr>
      <w:r>
        <w:drawing>
          <wp:inline distT="0" distB="0" distL="0" distR="0">
            <wp:extent cx="3810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123950"/>
                    </a:xfrm>
                    <a:prstGeom prst="rect">
                      <a:avLst/>
                    </a:prstGeom>
                  </pic:spPr>
                </pic:pic>
              </a:graphicData>
            </a:graphic>
          </wp:inline>
        </w:drawing>
      </w:r>
    </w:p>
    <w:p>
      <w:pPr>
        <w:spacing w:after="120" w:before="0"/>
      </w:pPr>
    </w:p>
    <w:p>
      <w:pPr>
        <w:spacing w:after="60" w:before="0"/>
        <w:jc w:val="center"/>
      </w:pPr>
      <w:r>
        <w:rPr>
          <w:rFonts w:ascii="Arial" w:cs="Arial" w:eastAsia="Arial" w:hAnsi="Arial"/>
          <w:i/>
          <w:iCs/>
          <w:color w:val="5A6A7A"/>
          <w:sz w:val="22"/>
          <w:szCs w:val="22"/>
        </w:rPr>
        <w:t xml:space="preserve">Build Something Real</w:t>
      </w:r>
    </w:p>
    <w:p>
      <w:pPr>
        <w:spacing w:after="0" w:before="0"/>
        <w:jc w:val="center"/>
      </w:pPr>
      <w:r>
        <w:rPr>
          <w:rFonts w:ascii="Arial" w:cs="Arial" w:eastAsia="Arial" w:hAnsi="Arial"/>
          <w:color w:val="5A6A7A"/>
          <w:sz w:val="18"/>
          <w:szCs w:val="18"/>
        </w:rPr>
        <w:t xml:space="preserve">ginashe.academy  ·  3 May 2026</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80"/>
      <w:jc w:val="center"/>
    </w:pPr>
    <w:r>
      <w:rPr>
        <w:rFonts w:ascii="Arial" w:cs="Arial" w:eastAsia="Arial" w:hAnsi="Arial"/>
        <w:color w:val="5A6A7A"/>
        <w:sz w:val="18"/>
        <w:szCs w:val="18"/>
      </w:rPr>
      <w:t xml:space="preserve">Ginashe Academy  |  Strategic Blueprint  |  Phase 1 — Stream Mapping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jc w:val="right"/>
    </w:pPr>
    <w:r>
      <w:rPr>
        <w:rFonts w:ascii="Arial" w:cs="Arial" w:eastAsia="Arial" w:hAnsi="Arial"/>
        <w:color w:val="5A6A7A"/>
        <w:sz w:val="18"/>
        <w:szCs w:val="18"/>
      </w:rPr>
      <w:t xml:space="preserve">GINASHE ACADEMY  ·  ginashe.academy  ·  Phase 1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Arial" w:cs="Arial" w:eastAsia="Arial" w:hAnsi="Arial"/>
      <w:b/>
      <w:bCs/>
      <w:color w:val="0B0C10"/>
      <w:sz w:val="30"/>
      <w:szCs w:val="30"/>
    </w:rPr>
  </w:style>
  <w:style w:type="paragraph" w:styleId="Heading2">
    <w:name w:val="Heading 2"/>
    <w:basedOn w:val="Normal"/>
    <w:next w:val="Normal"/>
    <w:qFormat/>
    <w:pPr>
      <w:spacing w:after="100" w:before="240"/>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e052b0ba7785e74b24516788a5bb7b8b6e4bc8.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2026-05-03T19:50:01.832Z</dcterms:created>
  <dcterms:modified xsi:type="dcterms:W3CDTF">2026-05-03T19:50:01.832Z</dcterms:modified>
</cp:coreProperties>
</file>

<file path=docProps/custom.xml><?xml version="1.0" encoding="utf-8"?>
<Properties xmlns="http://schemas.openxmlformats.org/officeDocument/2006/custom-properties" xmlns:vt="http://schemas.openxmlformats.org/officeDocument/2006/docPropsVTypes"/>
</file>