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71625"/>
                    </a:xfrm>
                    <a:prstGeom prst="rect">
                      <a:avLst/>
                    </a:prstGeom>
                  </pic:spPr>
                </pic:pic>
              </a:graphicData>
            </a:graphic>
          </wp:inline>
        </w:drawing>
      </w:r>
    </w:p>
    <w:p>
      <w:pPr>
        <w:pBdr>
          <w:bottom w:val="single" w:color="0F6E56" w:sz="4" w:space="1"/>
        </w:pBdr>
        <w:spacing w:after="80" w:before="80"/>
      </w:pPr>
    </w:p>
    <w:p>
      <w:pPr>
        <w:spacing w:after="240" w:before="0"/>
      </w:pPr>
    </w:p>
    <w:p>
      <w:pPr>
        <w:spacing w:after="60" w:before="0"/>
        <w:jc w:val="center"/>
      </w:pPr>
      <w:r>
        <w:rPr>
          <w:rFonts w:ascii="Arial" w:cs="Arial" w:eastAsia="Arial" w:hAnsi="Arial"/>
          <w:color w:val="5A6A7A"/>
          <w:sz w:val="30"/>
          <w:szCs w:val="30"/>
        </w:rPr>
        <w:t xml:space="preserve">Strategic Blueprint</w:t>
      </w:r>
    </w:p>
    <w:p>
      <w:pPr>
        <w:spacing w:after="40" w:before="0"/>
        <w:jc w:val="center"/>
      </w:pPr>
      <w:r>
        <w:rPr>
          <w:rFonts w:ascii="Arial Black" w:cs="Arial Black" w:eastAsia="Arial Black" w:hAnsi="Arial Black"/>
          <w:b/>
          <w:bCs/>
          <w:color w:val="0B0C10"/>
          <w:spacing w:val="120"/>
          <w:sz w:val="80"/>
          <w:szCs w:val="80"/>
        </w:rPr>
        <w:t xml:space="preserve">PHASE 3</w:t>
      </w:r>
    </w:p>
    <w:p>
      <w:pPr>
        <w:spacing w:after="40" w:before="0"/>
        <w:jc w:val="center"/>
      </w:pPr>
      <w:r>
        <w:rPr>
          <w:rFonts w:ascii="Arial" w:cs="Arial" w:eastAsia="Arial" w:hAnsi="Arial"/>
          <w:b/>
          <w:bCs/>
          <w:color w:val="0F6E56"/>
          <w:sz w:val="48"/>
          <w:szCs w:val="48"/>
        </w:rPr>
        <w:t xml:space="preserve">Delivery, LMS &amp; Revenue</w:t>
      </w:r>
    </w:p>
    <w:p>
      <w:pPr>
        <w:spacing w:after="200" w:before="80"/>
        <w:jc w:val="center"/>
      </w:pPr>
      <w:r>
        <w:rPr>
          <w:rFonts w:ascii="Arial" w:cs="Arial" w:eastAsia="Arial" w:hAnsi="Arial"/>
          <w:b w:val="false"/>
          <w:bCs w:val="false"/>
          <w:i/>
          <w:iCs/>
          <w:color w:val="5A6A7A"/>
          <w:sz w:val="28"/>
          <w:szCs w:val="28"/>
        </w:rPr>
        <w:t xml:space="preserve">How the Academy is delivered, accredited, staffed, and funded</w:t>
      </w:r>
    </w:p>
    <w:p>
      <w:pPr>
        <w:spacing w:after="240" w:before="0"/>
      </w:pPr>
    </w:p>
    <w:p>
      <w:pPr>
        <w:pBdr>
          <w:bottom w:val="single" w:color="0F6E56" w:sz="4" w:space="1"/>
        </w:pBdr>
        <w:spacing w:after="80" w:before="80"/>
      </w:pPr>
    </w:p>
    <w:p>
      <w:pPr>
        <w:spacing w:after="120" w:before="0"/>
      </w:pPr>
    </w:p>
    <w:p>
      <w:pPr>
        <w:spacing w:after="80" w:before="0"/>
        <w:jc w:val="left"/>
      </w:pPr>
      <w:r>
        <w:rPr>
          <w:rFonts w:ascii="Arial" w:cs="Arial" w:eastAsia="Arial" w:hAnsi="Arial"/>
          <w:b/>
          <w:bCs/>
          <w:i w:val="false"/>
          <w:iCs w:val="false"/>
          <w:color w:val="0F6E56"/>
          <w:sz w:val="22"/>
          <w:szCs w:val="22"/>
        </w:rPr>
        <w:t xml:space="preserve">What this document delivers</w:t>
      </w:r>
    </w:p>
    <w:p>
      <w:pPr>
        <w:pStyle w:val="ListParagraph"/>
        <w:numPr>
          <w:ilvl w:val="0"/>
          <w:numId w:val="2"/>
        </w:numPr>
        <w:spacing w:after="60" w:before="0"/>
      </w:pPr>
      <w:r>
        <w:rPr>
          <w:rFonts w:ascii="Arial" w:cs="Arial" w:eastAsia="Arial" w:hAnsi="Arial"/>
          <w:color w:val="000000"/>
          <w:sz w:val="22"/>
          <w:szCs w:val="22"/>
        </w:rPr>
        <w:t xml:space="preserve">Four delivery channels — community campuses, online-first LMS, employer partnerships, mobile learning units.</w:t>
      </w:r>
    </w:p>
    <w:p>
      <w:pPr>
        <w:pStyle w:val="ListParagraph"/>
        <w:numPr>
          <w:ilvl w:val="0"/>
          <w:numId w:val="2"/>
        </w:numPr>
        <w:spacing w:after="60" w:before="0"/>
      </w:pPr>
      <w:r>
        <w:rPr>
          <w:rFonts w:ascii="Arial" w:cs="Arial" w:eastAsia="Arial" w:hAnsi="Arial"/>
          <w:color w:val="000000"/>
          <w:sz w:val="22"/>
          <w:szCs w:val="22"/>
        </w:rPr>
        <w:t xml:space="preserve">Learner support infrastructure — stipend model, device programme, data bundles.</w:t>
      </w:r>
    </w:p>
    <w:p>
      <w:pPr>
        <w:pStyle w:val="ListParagraph"/>
        <w:numPr>
          <w:ilvl w:val="0"/>
          <w:numId w:val="2"/>
        </w:numPr>
        <w:spacing w:after="60" w:before="0"/>
      </w:pPr>
      <w:r>
        <w:rPr>
          <w:rFonts w:ascii="Arial" w:cs="Arial" w:eastAsia="Arial" w:hAnsi="Arial"/>
          <w:color w:val="000000"/>
          <w:sz w:val="22"/>
          <w:szCs w:val="22"/>
        </w:rPr>
        <w:t xml:space="preserve">SETA and SAQA accreditation pathway — 4-year roadmap from provisional to continental recognition.</w:t>
      </w:r>
    </w:p>
    <w:p>
      <w:pPr>
        <w:pStyle w:val="ListParagraph"/>
        <w:numPr>
          <w:ilvl w:val="0"/>
          <w:numId w:val="2"/>
        </w:numPr>
        <w:spacing w:after="60" w:before="0"/>
      </w:pPr>
      <w:r>
        <w:rPr>
          <w:rFonts w:ascii="Arial" w:cs="Arial" w:eastAsia="Arial" w:hAnsi="Arial"/>
          <w:color w:val="000000"/>
          <w:sz w:val="22"/>
          <w:szCs w:val="22"/>
        </w:rPr>
        <w:t xml:space="preserve">LMS architecture — five-layer ginashe.academy platform on AWS af-south-1.</w:t>
      </w:r>
    </w:p>
    <w:p>
      <w:pPr>
        <w:pStyle w:val="ListParagraph"/>
        <w:numPr>
          <w:ilvl w:val="0"/>
          <w:numId w:val="2"/>
        </w:numPr>
        <w:spacing w:after="60" w:before="0"/>
      </w:pPr>
      <w:r>
        <w:rPr>
          <w:rFonts w:ascii="Arial" w:cs="Arial" w:eastAsia="Arial" w:hAnsi="Arial"/>
          <w:color w:val="000000"/>
          <w:sz w:val="22"/>
          <w:szCs w:val="22"/>
        </w:rPr>
        <w:t xml:space="preserve">Facilitator pipeline — four-level competency framework and 4-week Foundations programme.</w:t>
      </w:r>
    </w:p>
    <w:p>
      <w:pPr>
        <w:pStyle w:val="ListParagraph"/>
        <w:numPr>
          <w:ilvl w:val="0"/>
          <w:numId w:val="2"/>
        </w:numPr>
        <w:spacing w:after="60" w:before="0"/>
      </w:pPr>
      <w:r>
        <w:rPr>
          <w:rFonts w:ascii="Arial" w:cs="Arial" w:eastAsia="Arial" w:hAnsi="Arial"/>
          <w:color w:val="000000"/>
          <w:sz w:val="22"/>
          <w:szCs w:val="22"/>
        </w:rPr>
        <w:t xml:space="preserve">Revenue model — six income streams, sliding-scale fee model, growth trajectory to R120M by Year 5.</w:t>
      </w:r>
    </w:p>
    <w:p>
      <w:pPr>
        <w:pStyle w:val="ListParagraph"/>
        <w:numPr>
          <w:ilvl w:val="0"/>
          <w:numId w:val="2"/>
        </w:numPr>
        <w:spacing w:after="60" w:before="0"/>
      </w:pPr>
      <w:r>
        <w:rPr>
          <w:rFonts w:ascii="Arial" w:cs="Arial" w:eastAsia="Arial" w:hAnsi="Arial"/>
          <w:color w:val="000000"/>
          <w:sz w:val="22"/>
          <w:szCs w:val="22"/>
        </w:rPr>
        <w:t xml:space="preserve">Stream launch sequence — quarter-by-quarter rollout across 10 streams.</w:t>
      </w:r>
    </w:p>
    <w:p>
      <w:pPr>
        <w:spacing w:after="240" w:before="0"/>
      </w:pPr>
    </w:p>
    <w:p>
      <w:pPr>
        <w:pBdr>
          <w:bottom w:val="single" w:color="C8D4E0" w:sz="4" w:space="1"/>
        </w:pBdr>
        <w:spacing w:after="80" w:before="80"/>
      </w:pPr>
    </w:p>
    <w:p>
      <w:pPr>
        <w:spacing w:after="120" w:before="0"/>
      </w:pPr>
    </w:p>
    <w:p>
      <w:pPr>
        <w:spacing w:after="40" w:before="0"/>
        <w:jc w:val="left"/>
      </w:pPr>
      <w:r>
        <w:rPr>
          <w:rFonts w:ascii="Arial" w:cs="Arial" w:eastAsia="Arial" w:hAnsi="Arial"/>
          <w:b w:val="false"/>
          <w:bCs w:val="false"/>
          <w:i/>
          <w:iCs/>
          <w:color w:val="5A6A7A"/>
          <w:sz w:val="20"/>
          <w:szCs w:val="20"/>
        </w:rPr>
        <w:t xml:space="preserve">Document 3 of 4 in the Ginashe Academy Strategic Blueprint</w:t>
      </w:r>
    </w:p>
    <w:p>
      <w:pPr>
        <w:spacing w:after="40" w:before="0"/>
        <w:jc w:val="left"/>
      </w:pPr>
      <w:r>
        <w:rPr>
          <w:rFonts w:ascii="Arial" w:cs="Arial" w:eastAsia="Arial" w:hAnsi="Arial"/>
          <w:b w:val="false"/>
          <w:bCs w:val="false"/>
          <w:i w:val="false"/>
          <w:iCs w:val="false"/>
          <w:color w:val="5A6A7A"/>
          <w:sz w:val="20"/>
          <w:szCs w:val="20"/>
        </w:rPr>
        <w:t xml:space="preserve">Issued: 3 May 2026</w:t>
      </w:r>
    </w:p>
    <w:p>
      <w:pPr>
        <w:spacing w:after="120" w:before="0"/>
        <w:jc w:val="left"/>
      </w:pPr>
      <w:r>
        <w:rPr>
          <w:rFonts w:ascii="Arial" w:cs="Arial" w:eastAsia="Arial" w:hAnsi="Arial"/>
          <w:b w:val="false"/>
          <w:bCs w:val="false"/>
          <w:i w:val="false"/>
          <w:iCs w:val="false"/>
          <w:color w:val="5A6A7A"/>
          <w:sz w:val="20"/>
          <w:szCs w:val="20"/>
        </w:rPr>
        <w:t xml:space="preserve">Prepared by Ginashe Group  ·  Ginashe Academy (Pty) Ltd</w:t>
      </w: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1 — Operational Overview</w:t>
      </w:r>
    </w:p>
    <w:p>
      <w:pPr>
        <w:spacing w:after="120" w:before="0"/>
        <w:jc w:val="left"/>
      </w:pPr>
      <w:r>
        <w:rPr>
          <w:rFonts w:ascii="Arial" w:cs="Arial" w:eastAsia="Arial" w:hAnsi="Arial"/>
          <w:b w:val="false"/>
          <w:bCs w:val="false"/>
          <w:i w:val="false"/>
          <w:iCs w:val="false"/>
          <w:color w:val="000000"/>
          <w:sz w:val="22"/>
          <w:szCs w:val="22"/>
        </w:rPr>
        <w:t xml:space="preserve">Phase 3 translates the curriculum architecture established in Phase 2 into operational reality. It answers six questions:</w:t>
      </w:r>
    </w:p>
    <w:p>
      <w:pPr>
        <w:pStyle w:val="ListParagraph"/>
        <w:numPr>
          <w:ilvl w:val="0"/>
          <w:numId w:val="2"/>
        </w:numPr>
        <w:spacing w:after="60" w:before="0"/>
      </w:pPr>
      <w:r>
        <w:rPr>
          <w:rFonts w:ascii="Arial" w:cs="Arial" w:eastAsia="Arial" w:hAnsi="Arial"/>
          <w:color w:val="000000"/>
          <w:sz w:val="22"/>
          <w:szCs w:val="22"/>
        </w:rPr>
        <w:t xml:space="preserve">How will learners actually attend the Academy?</w:t>
      </w:r>
    </w:p>
    <w:p>
      <w:pPr>
        <w:pStyle w:val="ListParagraph"/>
        <w:numPr>
          <w:ilvl w:val="0"/>
          <w:numId w:val="2"/>
        </w:numPr>
        <w:spacing w:after="60" w:before="0"/>
      </w:pPr>
      <w:r>
        <w:rPr>
          <w:rFonts w:ascii="Arial" w:cs="Arial" w:eastAsia="Arial" w:hAnsi="Arial"/>
          <w:color w:val="000000"/>
          <w:sz w:val="22"/>
          <w:szCs w:val="22"/>
        </w:rPr>
        <w:t xml:space="preserve">How will the Academy be accredited and recognised by SETAs, SAQA, DHET, and continental bodies?</w:t>
      </w:r>
    </w:p>
    <w:p>
      <w:pPr>
        <w:pStyle w:val="ListParagraph"/>
        <w:numPr>
          <w:ilvl w:val="0"/>
          <w:numId w:val="2"/>
        </w:numPr>
        <w:spacing w:after="60" w:before="0"/>
      </w:pPr>
      <w:r>
        <w:rPr>
          <w:rFonts w:ascii="Arial" w:cs="Arial" w:eastAsia="Arial" w:hAnsi="Arial"/>
          <w:color w:val="000000"/>
          <w:sz w:val="22"/>
          <w:szCs w:val="22"/>
        </w:rPr>
        <w:t xml:space="preserve">How will learning be delivered through technology — the LMS architecture?</w:t>
      </w:r>
    </w:p>
    <w:p>
      <w:pPr>
        <w:pStyle w:val="ListParagraph"/>
        <w:numPr>
          <w:ilvl w:val="0"/>
          <w:numId w:val="2"/>
        </w:numPr>
        <w:spacing w:after="60" w:before="0"/>
      </w:pPr>
      <w:r>
        <w:rPr>
          <w:rFonts w:ascii="Arial" w:cs="Arial" w:eastAsia="Arial" w:hAnsi="Arial"/>
          <w:color w:val="000000"/>
          <w:sz w:val="22"/>
          <w:szCs w:val="22"/>
        </w:rPr>
        <w:t xml:space="preserve">Who will teach, and how will facilitators be developed?</w:t>
      </w:r>
    </w:p>
    <w:p>
      <w:pPr>
        <w:pStyle w:val="ListParagraph"/>
        <w:numPr>
          <w:ilvl w:val="0"/>
          <w:numId w:val="2"/>
        </w:numPr>
        <w:spacing w:after="60" w:before="0"/>
      </w:pPr>
      <w:r>
        <w:rPr>
          <w:rFonts w:ascii="Arial" w:cs="Arial" w:eastAsia="Arial" w:hAnsi="Arial"/>
          <w:color w:val="000000"/>
          <w:sz w:val="22"/>
          <w:szCs w:val="22"/>
        </w:rPr>
        <w:t xml:space="preserve">How will the Academy fund itself sustainably?</w:t>
      </w:r>
    </w:p>
    <w:p>
      <w:pPr>
        <w:pStyle w:val="ListParagraph"/>
        <w:numPr>
          <w:ilvl w:val="0"/>
          <w:numId w:val="2"/>
        </w:numPr>
        <w:spacing w:after="60" w:before="0"/>
      </w:pPr>
      <w:r>
        <w:rPr>
          <w:rFonts w:ascii="Arial" w:cs="Arial" w:eastAsia="Arial" w:hAnsi="Arial"/>
          <w:color w:val="000000"/>
          <w:sz w:val="22"/>
          <w:szCs w:val="22"/>
        </w:rPr>
        <w:t xml:space="preserve">In what order will the 10 streams be launched?</w:t>
      </w:r>
    </w:p>
    <w:p>
      <w:pPr>
        <w:spacing w:after="120" w:before="0"/>
      </w:pPr>
    </w:p>
    <w:p>
      <w:pPr>
        <w:pStyle w:val="Heading2"/>
        <w:spacing w:after="100" w:before="240"/>
      </w:pPr>
      <w:r>
        <w:rPr>
          <w:rFonts w:ascii="Arial" w:cs="Arial" w:eastAsia="Arial" w:hAnsi="Arial"/>
          <w:b/>
          <w:bCs/>
          <w:color w:val="0F6E56"/>
          <w:sz w:val="24"/>
          <w:szCs w:val="24"/>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6"/>
              <w:left w:val="single" w:color="0F6E56" w:sz="6"/>
              <w:bottom w:val="single" w:color="0F6E56" w:sz="6"/>
              <w:right w:val="single" w:color="0F6E56" w:sz="6"/>
            </w:tcBorders>
            <w:shd w:fill="D8F2E9" w:val="clear"/>
            <w:tcMar>
              <w:top w:type="dxa" w:w="140"/>
              <w:left w:type="dxa" w:w="80"/>
              <w:bottom w:type="dxa" w:w="140"/>
              <w:right w:type="dxa" w:w="80"/>
            </w:tcMar>
          </w:tcPr>
          <w:p>
            <w:pPr>
              <w:spacing w:after="50" w:before="0"/>
              <w:jc w:val="center"/>
            </w:pPr>
            <w:r>
              <w:rPr>
                <w:rFonts w:ascii="Arial Black" w:cs="Arial Black" w:eastAsia="Arial Black" w:hAnsi="Arial Black"/>
                <w:b/>
                <w:bCs/>
                <w:color w:val="0F6E56"/>
                <w:sz w:val="36"/>
                <w:szCs w:val="36"/>
              </w:rPr>
              <w:t xml:space="preserve">10</w:t>
            </w:r>
          </w:p>
          <w:p>
            <w:pPr>
              <w:spacing w:after="0" w:before="0"/>
              <w:jc w:val="center"/>
            </w:pPr>
            <w:r>
              <w:rPr>
                <w:rFonts w:ascii="Arial" w:cs="Arial" w:eastAsia="Arial" w:hAnsi="Arial"/>
                <w:color w:val="0F6E56"/>
                <w:sz w:val="18"/>
                <w:szCs w:val="18"/>
              </w:rPr>
              <w:t xml:space="preserve">Streams</w:t>
            </w:r>
          </w:p>
        </w:tc>
        <w:tc>
          <w:tcPr>
            <w:tcW w:type="dxa" w:w="2340"/>
            <w:tcBorders>
              <w:top w:val="single" w:color="1B4F8A" w:sz="6"/>
              <w:left w:val="single" w:color="1B4F8A" w:sz="6"/>
              <w:bottom w:val="single" w:color="1B4F8A" w:sz="6"/>
              <w:right w:val="single" w:color="1B4F8A" w:sz="6"/>
            </w:tcBorders>
            <w:shd w:fill="D6E8F8" w:val="clear"/>
            <w:tcMar>
              <w:top w:type="dxa" w:w="140"/>
              <w:left w:type="dxa" w:w="80"/>
              <w:bottom w:type="dxa" w:w="140"/>
              <w:right w:type="dxa" w:w="80"/>
            </w:tcMar>
          </w:tcPr>
          <w:p>
            <w:pPr>
              <w:spacing w:after="50" w:before="0"/>
              <w:jc w:val="center"/>
            </w:pPr>
            <w:r>
              <w:rPr>
                <w:rFonts w:ascii="Arial Black" w:cs="Arial Black" w:eastAsia="Arial Black" w:hAnsi="Arial Black"/>
                <w:b/>
                <w:bCs/>
                <w:color w:val="1B4F8A"/>
                <w:sz w:val="36"/>
                <w:szCs w:val="36"/>
              </w:rPr>
              <w:t xml:space="preserve">80+</w:t>
            </w:r>
          </w:p>
          <w:p>
            <w:pPr>
              <w:spacing w:after="0" w:before="0"/>
              <w:jc w:val="center"/>
            </w:pPr>
            <w:r>
              <w:rPr>
                <w:rFonts w:ascii="Arial" w:cs="Arial" w:eastAsia="Arial" w:hAnsi="Arial"/>
                <w:color w:val="1B4F8A"/>
                <w:sz w:val="18"/>
                <w:szCs w:val="18"/>
              </w:rPr>
              <w:t xml:space="preserve">Courses</w:t>
            </w:r>
          </w:p>
        </w:tc>
        <w:tc>
          <w:tcPr>
            <w:tcW w:type="dxa" w:w="2340"/>
            <w:tcBorders>
              <w:top w:val="single" w:color="854F0B" w:sz="6"/>
              <w:left w:val="single" w:color="854F0B" w:sz="6"/>
              <w:bottom w:val="single" w:color="854F0B" w:sz="6"/>
              <w:right w:val="single" w:color="854F0B" w:sz="6"/>
            </w:tcBorders>
            <w:shd w:fill="FDF0D5" w:val="clear"/>
            <w:tcMar>
              <w:top w:type="dxa" w:w="140"/>
              <w:left w:type="dxa" w:w="80"/>
              <w:bottom w:type="dxa" w:w="140"/>
              <w:right w:type="dxa" w:w="80"/>
            </w:tcMar>
          </w:tcPr>
          <w:p>
            <w:pPr>
              <w:spacing w:after="50" w:before="0"/>
              <w:jc w:val="center"/>
            </w:pPr>
            <w:r>
              <w:rPr>
                <w:rFonts w:ascii="Arial Black" w:cs="Arial Black" w:eastAsia="Arial Black" w:hAnsi="Arial Black"/>
                <w:b/>
                <w:bCs/>
                <w:color w:val="854F0B"/>
                <w:sz w:val="36"/>
                <w:szCs w:val="36"/>
              </w:rPr>
              <w:t xml:space="preserve">9</w:t>
            </w:r>
          </w:p>
          <w:p>
            <w:pPr>
              <w:spacing w:after="0" w:before="0"/>
              <w:jc w:val="center"/>
            </w:pPr>
            <w:r>
              <w:rPr>
                <w:rFonts w:ascii="Arial" w:cs="Arial" w:eastAsia="Arial" w:hAnsi="Arial"/>
                <w:color w:val="854F0B"/>
                <w:sz w:val="18"/>
                <w:szCs w:val="18"/>
              </w:rPr>
              <w:t xml:space="preserve">SETAs aligned</w:t>
            </w:r>
          </w:p>
        </w:tc>
        <w:tc>
          <w:tcPr>
            <w:tcW w:type="dxa" w:w="2340"/>
            <w:tcBorders>
              <w:top w:val="single" w:color="3C3489" w:sz="6"/>
              <w:left w:val="single" w:color="3C3489" w:sz="6"/>
              <w:bottom w:val="single" w:color="3C3489" w:sz="6"/>
              <w:right w:val="single" w:color="3C3489" w:sz="6"/>
            </w:tcBorders>
            <w:shd w:fill="E5E3FC" w:val="clear"/>
            <w:tcMar>
              <w:top w:type="dxa" w:w="140"/>
              <w:left w:type="dxa" w:w="80"/>
              <w:bottom w:type="dxa" w:w="140"/>
              <w:right w:type="dxa" w:w="80"/>
            </w:tcMar>
          </w:tcPr>
          <w:p>
            <w:pPr>
              <w:spacing w:after="50" w:before="0"/>
              <w:jc w:val="center"/>
            </w:pPr>
            <w:r>
              <w:rPr>
                <w:rFonts w:ascii="Arial Black" w:cs="Arial Black" w:eastAsia="Arial Black" w:hAnsi="Arial Black"/>
                <w:b/>
                <w:bCs/>
                <w:color w:val="3C3489"/>
                <w:sz w:val="36"/>
                <w:szCs w:val="36"/>
              </w:rPr>
              <w:t xml:space="preserve">4</w:t>
            </w:r>
          </w:p>
          <w:p>
            <w:pPr>
              <w:spacing w:after="0" w:before="0"/>
              <w:jc w:val="center"/>
            </w:pPr>
            <w:r>
              <w:rPr>
                <w:rFonts w:ascii="Arial" w:cs="Arial" w:eastAsia="Arial" w:hAnsi="Arial"/>
                <w:color w:val="3C3489"/>
                <w:sz w:val="18"/>
                <w:szCs w:val="18"/>
              </w:rPr>
              <w:t xml:space="preserve">Delivery channels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6"/>
              <w:left w:val="single" w:color="0F6E56" w:sz="6"/>
              <w:bottom w:val="single" w:color="0F6E56" w:sz="6"/>
              <w:right w:val="single" w:color="0F6E56" w:sz="6"/>
            </w:tcBorders>
            <w:shd w:fill="D8F2E9" w:val="clear"/>
            <w:tcMar>
              <w:top w:type="dxa" w:w="140"/>
              <w:left w:type="dxa" w:w="80"/>
              <w:bottom w:type="dxa" w:w="140"/>
              <w:right w:type="dxa" w:w="80"/>
            </w:tcMar>
          </w:tcPr>
          <w:p>
            <w:pPr>
              <w:spacing w:after="50" w:before="0"/>
              <w:jc w:val="center"/>
            </w:pPr>
            <w:r>
              <w:rPr>
                <w:rFonts w:ascii="Arial Black" w:cs="Arial Black" w:eastAsia="Arial Black" w:hAnsi="Arial Black"/>
                <w:b/>
                <w:bCs/>
                <w:color w:val="0F6E56"/>
                <w:sz w:val="36"/>
                <w:szCs w:val="36"/>
              </w:rPr>
              <w:t xml:space="preserve">R45M</w:t>
            </w:r>
          </w:p>
          <w:p>
            <w:pPr>
              <w:spacing w:after="0" w:before="0"/>
              <w:jc w:val="center"/>
            </w:pPr>
            <w:r>
              <w:rPr>
                <w:rFonts w:ascii="Arial" w:cs="Arial" w:eastAsia="Arial" w:hAnsi="Arial"/>
                <w:color w:val="0F6E56"/>
                <w:sz w:val="18"/>
                <w:szCs w:val="18"/>
              </w:rPr>
              <w:t xml:space="preserve">Year 3 revenue target</w:t>
            </w:r>
          </w:p>
        </w:tc>
        <w:tc>
          <w:tcPr>
            <w:tcW w:type="dxa" w:w="2340"/>
            <w:tcBorders>
              <w:top w:val="single" w:color="1B4F8A" w:sz="6"/>
              <w:left w:val="single" w:color="1B4F8A" w:sz="6"/>
              <w:bottom w:val="single" w:color="1B4F8A" w:sz="6"/>
              <w:right w:val="single" w:color="1B4F8A" w:sz="6"/>
            </w:tcBorders>
            <w:shd w:fill="D6E8F8" w:val="clear"/>
            <w:tcMar>
              <w:top w:type="dxa" w:w="140"/>
              <w:left w:type="dxa" w:w="80"/>
              <w:bottom w:type="dxa" w:w="140"/>
              <w:right w:type="dxa" w:w="80"/>
            </w:tcMar>
          </w:tcPr>
          <w:p>
            <w:pPr>
              <w:spacing w:after="50" w:before="0"/>
              <w:jc w:val="center"/>
            </w:pPr>
            <w:r>
              <w:rPr>
                <w:rFonts w:ascii="Arial Black" w:cs="Arial Black" w:eastAsia="Arial Black" w:hAnsi="Arial Black"/>
                <w:b/>
                <w:bCs/>
                <w:color w:val="1B4F8A"/>
                <w:sz w:val="36"/>
                <w:szCs w:val="36"/>
              </w:rPr>
              <w:t xml:space="preserve">5,000</w:t>
            </w:r>
          </w:p>
          <w:p>
            <w:pPr>
              <w:spacing w:after="0" w:before="0"/>
              <w:jc w:val="center"/>
            </w:pPr>
            <w:r>
              <w:rPr>
                <w:rFonts w:ascii="Arial" w:cs="Arial" w:eastAsia="Arial" w:hAnsi="Arial"/>
                <w:color w:val="1B4F8A"/>
                <w:sz w:val="18"/>
                <w:szCs w:val="18"/>
              </w:rPr>
              <w:t xml:space="preserve">Year 3 learners</w:t>
            </w:r>
          </w:p>
        </w:tc>
        <w:tc>
          <w:tcPr>
            <w:tcW w:type="dxa" w:w="2340"/>
            <w:tcBorders>
              <w:top w:val="single" w:color="854F0B" w:sz="6"/>
              <w:left w:val="single" w:color="854F0B" w:sz="6"/>
              <w:bottom w:val="single" w:color="854F0B" w:sz="6"/>
              <w:right w:val="single" w:color="854F0B" w:sz="6"/>
            </w:tcBorders>
            <w:shd w:fill="FDF0D5" w:val="clear"/>
            <w:tcMar>
              <w:top w:type="dxa" w:w="140"/>
              <w:left w:type="dxa" w:w="80"/>
              <w:bottom w:type="dxa" w:w="140"/>
              <w:right w:type="dxa" w:w="80"/>
            </w:tcMar>
          </w:tcPr>
          <w:p>
            <w:pPr>
              <w:spacing w:after="50" w:before="0"/>
              <w:jc w:val="center"/>
            </w:pPr>
            <w:r>
              <w:rPr>
                <w:rFonts w:ascii="Arial Black" w:cs="Arial Black" w:eastAsia="Arial Black" w:hAnsi="Arial Black"/>
                <w:b/>
                <w:bCs/>
                <w:color w:val="854F0B"/>
                <w:sz w:val="36"/>
                <w:szCs w:val="36"/>
              </w:rPr>
              <w:t xml:space="preserve">18 mo</w:t>
            </w:r>
          </w:p>
          <w:p>
            <w:pPr>
              <w:spacing w:after="0" w:before="0"/>
              <w:jc w:val="center"/>
            </w:pPr>
            <w:r>
              <w:rPr>
                <w:rFonts w:ascii="Arial" w:cs="Arial" w:eastAsia="Arial" w:hAnsi="Arial"/>
                <w:color w:val="854F0B"/>
                <w:sz w:val="18"/>
                <w:szCs w:val="18"/>
              </w:rPr>
              <w:t xml:space="preserve">Break-even target</w:t>
            </w:r>
          </w:p>
        </w:tc>
        <w:tc>
          <w:tcPr>
            <w:tcW w:type="dxa" w:w="2340"/>
            <w:tcBorders>
              <w:top w:val="single" w:color="3C3489" w:sz="6"/>
              <w:left w:val="single" w:color="3C3489" w:sz="6"/>
              <w:bottom w:val="single" w:color="3C3489" w:sz="6"/>
              <w:right w:val="single" w:color="3C3489" w:sz="6"/>
            </w:tcBorders>
            <w:shd w:fill="E5E3FC" w:val="clear"/>
            <w:tcMar>
              <w:top w:type="dxa" w:w="140"/>
              <w:left w:type="dxa" w:w="80"/>
              <w:bottom w:type="dxa" w:w="140"/>
              <w:right w:type="dxa" w:w="80"/>
            </w:tcMar>
          </w:tcPr>
          <w:p>
            <w:pPr>
              <w:spacing w:after="50" w:before="0"/>
              <w:jc w:val="center"/>
            </w:pPr>
            <w:r>
              <w:rPr>
                <w:rFonts w:ascii="Arial Black" w:cs="Arial Black" w:eastAsia="Arial Black" w:hAnsi="Arial Black"/>
                <w:b/>
                <w:bCs/>
                <w:color w:val="3C3489"/>
                <w:sz w:val="36"/>
                <w:szCs w:val="36"/>
              </w:rPr>
              <w:t xml:space="preserve">R120M</w:t>
            </w:r>
          </w:p>
          <w:p>
            <w:pPr>
              <w:spacing w:after="0" w:before="0"/>
              <w:jc w:val="center"/>
            </w:pPr>
            <w:r>
              <w:rPr>
                <w:rFonts w:ascii="Arial" w:cs="Arial" w:eastAsia="Arial" w:hAnsi="Arial"/>
                <w:color w:val="3C3489"/>
                <w:sz w:val="18"/>
                <w:szCs w:val="18"/>
              </w:rPr>
              <w:t xml:space="preserve">Year 5 revenue (pan-African)</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2 — Delivery Model</w:t>
      </w:r>
    </w:p>
    <w:p>
      <w:pPr>
        <w:spacing w:after="140" w:before="0"/>
        <w:jc w:val="left"/>
      </w:pPr>
      <w:r>
        <w:rPr>
          <w:rFonts w:ascii="Arial" w:cs="Arial" w:eastAsia="Arial" w:hAnsi="Arial"/>
          <w:b w:val="false"/>
          <w:bCs w:val="false"/>
          <w:i w:val="false"/>
          <w:iCs w:val="false"/>
          <w:color w:val="000000"/>
          <w:sz w:val="22"/>
          <w:szCs w:val="22"/>
        </w:rPr>
        <w:t xml:space="preserve">Ginashe Academy delivers learning through four complementary channels. Different learner contexts require different channels — a rural smallholder farmer cannot attend a Johannesburg campus weekly, and a working professional in Sandton does not need a mobile learning unit. The four channels work together to reach every learner segment in South Africa and the broader continent.</w:t>
      </w:r>
    </w:p>
    <w:p>
      <w:pPr>
        <w:pStyle w:val="Heading2"/>
        <w:spacing w:after="100" w:before="240"/>
      </w:pPr>
      <w:r>
        <w:rPr>
          <w:rFonts w:ascii="Arial" w:cs="Arial" w:eastAsia="Arial" w:hAnsi="Arial"/>
          <w:b/>
          <w:bCs/>
          <w:color w:val="0F6E56"/>
          <w:sz w:val="24"/>
          <w:szCs w:val="24"/>
        </w:rPr>
        <w:t xml:space="preserve">The four delivery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6E56" w:sz="8"/>
              <w:left w:val="single" w:color="0F6E56" w:sz="8"/>
              <w:bottom w:val="single" w:color="0F6E56" w:sz="4"/>
              <w:right w:val="single" w:color="0F6E56" w:sz="4"/>
            </w:tcBorders>
            <w:shd w:fill="D8F2E9" w:val="clear"/>
            <w:tcMar>
              <w:top w:type="dxa" w:w="140"/>
              <w:left w:type="dxa" w:w="160"/>
              <w:bottom w:type="dxa" w:w="140"/>
              <w:right w:type="dxa" w:w="120"/>
            </w:tcMar>
          </w:tcPr>
          <w:p>
            <w:pPr>
              <w:spacing w:after="30" w:before="0"/>
            </w:pPr>
            <w:r>
              <w:rPr>
                <w:rFonts w:ascii="Arial" w:cs="Arial" w:eastAsia="Arial" w:hAnsi="Arial"/>
                <w:b/>
                <w:bCs/>
                <w:color w:val="0F6E56"/>
                <w:sz w:val="22"/>
                <w:szCs w:val="22"/>
              </w:rPr>
              <w:t xml:space="preserve">Community campuses</w:t>
            </w:r>
          </w:p>
          <w:p>
            <w:pPr>
              <w:spacing w:after="60" w:before="0"/>
            </w:pPr>
            <w:r>
              <w:rPr>
                <w:rFonts w:ascii="Arial" w:cs="Arial" w:eastAsia="Arial" w:hAnsi="Arial"/>
                <w:i/>
                <w:iCs/>
                <w:color w:val="5A6A7A"/>
                <w:sz w:val="17"/>
                <w:szCs w:val="17"/>
              </w:rPr>
              <w:t xml:space="preserve">Physical hubs in townships, peri-urban, and rural areas</w:t>
            </w:r>
          </w:p>
          <w:p>
            <w:pPr>
              <w:spacing w:after="0" w:before="0"/>
            </w:pPr>
            <w:r>
              <w:rPr>
                <w:rFonts w:ascii="Arial" w:cs="Arial" w:eastAsia="Arial" w:hAnsi="Arial"/>
                <w:color w:val="0B0C10"/>
                <w:sz w:val="19"/>
                <w:szCs w:val="19"/>
              </w:rPr>
              <w:t xml:space="preserve">Shared equipment, fibre connectivity, facilitator-led cohort model. Prioritised for hands-on streams — Applied Trades, Health Sciences, Agriculture. Each campus operates as a learning community, not a building.</w:t>
            </w:r>
          </w:p>
        </w:tc>
        <w:tc>
          <w:tcPr>
            <w:tcW w:type="dxa" w:w="4680"/>
            <w:tcBorders>
              <w:top w:val="single" w:color="185FA5" w:sz="8"/>
              <w:left w:val="single" w:color="185FA5" w:sz="8"/>
              <w:bottom w:val="single" w:color="185FA5" w:sz="4"/>
              <w:right w:val="single" w:color="185FA5" w:sz="4"/>
            </w:tcBorders>
            <w:shd w:fill="E6F1FB" w:val="clear"/>
            <w:tcMar>
              <w:top w:type="dxa" w:w="140"/>
              <w:left w:type="dxa" w:w="160"/>
              <w:bottom w:type="dxa" w:w="140"/>
              <w:right w:type="dxa" w:w="120"/>
            </w:tcMar>
          </w:tcPr>
          <w:p>
            <w:pPr>
              <w:spacing w:after="30" w:before="0"/>
            </w:pPr>
            <w:r>
              <w:rPr>
                <w:rFonts w:ascii="Arial" w:cs="Arial" w:eastAsia="Arial" w:hAnsi="Arial"/>
                <w:b/>
                <w:bCs/>
                <w:color w:val="185FA5"/>
                <w:sz w:val="22"/>
                <w:szCs w:val="22"/>
              </w:rPr>
              <w:t xml:space="preserve">Online-first LMS</w:t>
            </w:r>
          </w:p>
          <w:p>
            <w:pPr>
              <w:spacing w:after="60" w:before="0"/>
            </w:pPr>
            <w:r>
              <w:rPr>
                <w:rFonts w:ascii="Arial" w:cs="Arial" w:eastAsia="Arial" w:hAnsi="Arial"/>
                <w:i/>
                <w:iCs/>
                <w:color w:val="5A6A7A"/>
                <w:sz w:val="17"/>
                <w:szCs w:val="17"/>
              </w:rPr>
              <w:t xml:space="preserve">Mobile-first platform reaching every SA province</w:t>
            </w:r>
          </w:p>
          <w:p>
            <w:pPr>
              <w:spacing w:after="0" w:before="0"/>
            </w:pPr>
            <w:r>
              <w:rPr>
                <w:rFonts w:ascii="Arial" w:cs="Arial" w:eastAsia="Arial" w:hAnsi="Arial"/>
                <w:color w:val="0B0C10"/>
                <w:sz w:val="19"/>
                <w:szCs w:val="19"/>
              </w:rPr>
              <w:t xml:space="preserve">Self-paced and cohort courses delivered via the Ginashe Academy LMS. Designed for low-bandwidth South African networks. Facilitator office hours twice weekly. Used heavily by Digital Systems, FinTech, and Creative Media.</w:t>
            </w:r>
          </w:p>
        </w:tc>
      </w:tr>
      <w:tr>
        <w:tc>
          <w:tcPr>
            <w:tcW w:type="dxa" w:w="4680"/>
            <w:tcBorders>
              <w:top w:val="single" w:color="B85C00" w:sz="8"/>
              <w:left w:val="single" w:color="B85C00" w:sz="8"/>
              <w:bottom w:val="single" w:color="B85C00" w:sz="4"/>
              <w:right w:val="single" w:color="B85C00" w:sz="4"/>
            </w:tcBorders>
            <w:shd w:fill="FFE8D0" w:val="clear"/>
            <w:tcMar>
              <w:top w:type="dxa" w:w="140"/>
              <w:left w:type="dxa" w:w="160"/>
              <w:bottom w:type="dxa" w:w="140"/>
              <w:right w:type="dxa" w:w="120"/>
            </w:tcMar>
          </w:tcPr>
          <w:p>
            <w:pPr>
              <w:spacing w:after="30" w:before="0"/>
            </w:pPr>
            <w:r>
              <w:rPr>
                <w:rFonts w:ascii="Arial" w:cs="Arial" w:eastAsia="Arial" w:hAnsi="Arial"/>
                <w:b/>
                <w:bCs/>
                <w:color w:val="B85C00"/>
                <w:sz w:val="22"/>
                <w:szCs w:val="22"/>
              </w:rPr>
              <w:t xml:space="preserve">Employer partnerships</w:t>
            </w:r>
          </w:p>
          <w:p>
            <w:pPr>
              <w:spacing w:after="60" w:before="0"/>
            </w:pPr>
            <w:r>
              <w:rPr>
                <w:rFonts w:ascii="Arial" w:cs="Arial" w:eastAsia="Arial" w:hAnsi="Arial"/>
                <w:i/>
                <w:iCs/>
                <w:color w:val="5A6A7A"/>
                <w:sz w:val="17"/>
                <w:szCs w:val="17"/>
              </w:rPr>
              <w:t xml:space="preserve">B-BBEE skills spend cohorts</w:t>
            </w:r>
          </w:p>
          <w:p>
            <w:pPr>
              <w:spacing w:after="0" w:before="0"/>
            </w:pPr>
            <w:r>
              <w:rPr>
                <w:rFonts w:ascii="Arial" w:cs="Arial" w:eastAsia="Arial" w:hAnsi="Arial"/>
                <w:color w:val="0B0C10"/>
                <w:sz w:val="19"/>
                <w:szCs w:val="19"/>
              </w:rPr>
              <w:t xml:space="preserve">Corporates fund cohorts for their staff or community pipeline. Customised curriculum, on-site or hybrid delivery, bursary and stipend models. Aligns with B-BBEE skills development scorecard.</w:t>
            </w:r>
          </w:p>
        </w:tc>
        <w:tc>
          <w:tcPr>
            <w:tcW w:type="dxa" w:w="4680"/>
            <w:tcBorders>
              <w:top w:val="single" w:color="534AB7" w:sz="8"/>
              <w:left w:val="single" w:color="534AB7" w:sz="8"/>
              <w:bottom w:val="single" w:color="534AB7" w:sz="4"/>
              <w:right w:val="single" w:color="534AB7" w:sz="4"/>
            </w:tcBorders>
            <w:shd w:fill="EEEDFE" w:val="clear"/>
            <w:tcMar>
              <w:top w:type="dxa" w:w="140"/>
              <w:left w:type="dxa" w:w="160"/>
              <w:bottom w:type="dxa" w:w="140"/>
              <w:right w:type="dxa" w:w="120"/>
            </w:tcMar>
          </w:tcPr>
          <w:p>
            <w:pPr>
              <w:spacing w:after="30" w:before="0"/>
            </w:pPr>
            <w:r>
              <w:rPr>
                <w:rFonts w:ascii="Arial" w:cs="Arial" w:eastAsia="Arial" w:hAnsi="Arial"/>
                <w:b/>
                <w:bCs/>
                <w:color w:val="534AB7"/>
                <w:sz w:val="22"/>
                <w:szCs w:val="22"/>
              </w:rPr>
              <w:t xml:space="preserve">Mobile learning units</w:t>
            </w:r>
          </w:p>
          <w:p>
            <w:pPr>
              <w:spacing w:after="60" w:before="0"/>
            </w:pPr>
            <w:r>
              <w:rPr>
                <w:rFonts w:ascii="Arial" w:cs="Arial" w:eastAsia="Arial" w:hAnsi="Arial"/>
                <w:i/>
                <w:iCs/>
                <w:color w:val="5A6A7A"/>
                <w:sz w:val="17"/>
                <w:szCs w:val="17"/>
              </w:rPr>
              <w:t xml:space="preserve">Solar-powered campus-on-wheels</w:t>
            </w:r>
          </w:p>
          <w:p>
            <w:pPr>
              <w:spacing w:after="0" w:before="0"/>
            </w:pPr>
            <w:r>
              <w:rPr>
                <w:rFonts w:ascii="Arial" w:cs="Arial" w:eastAsia="Arial" w:hAnsi="Arial"/>
                <w:color w:val="0B0C10"/>
                <w:sz w:val="19"/>
                <w:szCs w:val="19"/>
              </w:rPr>
              <w:t xml:space="preserve">Converted vans with solar power, StarLink internet, and laptop sets. Rotates through rural municipalities on a weekly schedule. Brings the campus to the learner. Critical for Agriculture, Energy, and Digital Literacy.</w:t>
            </w:r>
          </w:p>
        </w:tc>
      </w:tr>
    </w:tbl>
    <w:p>
      <w:pPr>
        <w:spacing w:after="240" w:before="0"/>
      </w:pPr>
    </w:p>
    <w:p>
      <w:pPr>
        <w:pStyle w:val="Heading2"/>
        <w:spacing w:after="100" w:before="240"/>
      </w:pPr>
      <w:r>
        <w:rPr>
          <w:rFonts w:ascii="Arial" w:cs="Arial" w:eastAsia="Arial" w:hAnsi="Arial"/>
          <w:b/>
          <w:bCs/>
          <w:color w:val="0F6E56"/>
          <w:sz w:val="24"/>
          <w:szCs w:val="24"/>
        </w:rPr>
        <w:t xml:space="preserve">Learner support infrastructure</w:t>
      </w:r>
    </w:p>
    <w:p>
      <w:pPr>
        <w:spacing w:after="120" w:before="0"/>
        <w:jc w:val="left"/>
      </w:pPr>
      <w:r>
        <w:rPr>
          <w:rFonts w:ascii="Arial" w:cs="Arial" w:eastAsia="Arial" w:hAnsi="Arial"/>
          <w:b w:val="false"/>
          <w:bCs w:val="false"/>
          <w:i w:val="false"/>
          <w:iCs w:val="false"/>
          <w:color w:val="000000"/>
          <w:sz w:val="22"/>
          <w:szCs w:val="22"/>
        </w:rPr>
        <w:t xml:space="preserve">Delivery channels alone are not enough. South African learners face structural barriers — cost of data, lack of devices, transport costs, family responsibilities, and economic precarity. Ginashe Academy addresses these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Stipend model</w:t>
            </w:r>
          </w:p>
          <w:p>
            <w:pPr>
              <w:spacing w:after="60" w:before="0"/>
            </w:pPr>
            <w:r>
              <w:rPr>
                <w:rFonts w:ascii="Arial" w:cs="Arial" w:eastAsia="Arial" w:hAnsi="Arial"/>
                <w:i/>
                <w:iCs/>
                <w:color w:val="5A6A7A"/>
                <w:sz w:val="18"/>
                <w:szCs w:val="18"/>
              </w:rPr>
              <w:t xml:space="preserve">Removing the financial penalty of learning</w:t>
            </w:r>
          </w:p>
          <w:p>
            <w:pPr>
              <w:spacing w:after="0" w:before="0"/>
            </w:pPr>
            <w:r>
              <w:rPr>
                <w:rFonts w:ascii="Arial" w:cs="Arial" w:eastAsia="Arial" w:hAnsi="Arial"/>
                <w:color w:val="0B0C10"/>
                <w:sz w:val="21"/>
                <w:szCs w:val="21"/>
              </w:rPr>
              <w:t xml:space="preserve">Unemployed learners receive a stipend of R1,500 to R3,000 per month during contact learning. Funded through SETA discretionary grants, the National Skills Fund, and employer B-BBEE levy contributions. Without stipends, the most vulnerable learners cannot afford to attend even free courses — they need to eat and travel during the learning period.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40"/>
              <w:left w:type="dxa" w:w="200"/>
              <w:bottom w:type="dxa" w:w="120"/>
              <w:right w:type="dxa" w:w="140"/>
            </w:tcMar>
          </w:tcPr>
          <w:p>
            <w:pPr>
              <w:spacing w:after="30" w:before="0"/>
            </w:pPr>
            <w:r>
              <w:rPr>
                <w:rFonts w:ascii="Arial" w:cs="Arial" w:eastAsia="Arial" w:hAnsi="Arial"/>
                <w:b/>
                <w:bCs/>
                <w:color w:val="1B4F8A"/>
                <w:sz w:val="22"/>
                <w:szCs w:val="22"/>
              </w:rPr>
              <w:t xml:space="preserve">Device programme</w:t>
            </w:r>
          </w:p>
          <w:p>
            <w:pPr>
              <w:spacing w:after="60" w:before="0"/>
            </w:pPr>
            <w:r>
              <w:rPr>
                <w:rFonts w:ascii="Arial" w:cs="Arial" w:eastAsia="Arial" w:hAnsi="Arial"/>
                <w:i/>
                <w:iCs/>
                <w:color w:val="5A6A7A"/>
                <w:sz w:val="18"/>
                <w:szCs w:val="18"/>
              </w:rPr>
              <w:t xml:space="preserve">Refurbished laptops on loan</w:t>
            </w:r>
          </w:p>
          <w:p>
            <w:pPr>
              <w:spacing w:after="0" w:before="0"/>
            </w:pPr>
            <w:r>
              <w:rPr>
                <w:rFonts w:ascii="Arial" w:cs="Arial" w:eastAsia="Arial" w:hAnsi="Arial"/>
                <w:color w:val="0B0C10"/>
                <w:sz w:val="21"/>
                <w:szCs w:val="21"/>
              </w:rPr>
              <w:t xml:space="preserve">Learners who do not own a personal computer receive a refurbished laptop on loan for the duration of their course. 75% of the device cost is subsidised by corporate partners as part of B-BBEE enterprise development spend. At course completion, the learner can purchase the device for R500 or return it for the next cohort.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40"/>
              <w:left w:type="dxa" w:w="200"/>
              <w:bottom w:type="dxa" w:w="120"/>
              <w:right w:type="dxa" w:w="140"/>
            </w:tcMar>
          </w:tcPr>
          <w:p>
            <w:pPr>
              <w:spacing w:after="30" w:before="0"/>
            </w:pPr>
            <w:r>
              <w:rPr>
                <w:rFonts w:ascii="Arial" w:cs="Arial" w:eastAsia="Arial" w:hAnsi="Arial"/>
                <w:b/>
                <w:bCs/>
                <w:color w:val="854F0B"/>
                <w:sz w:val="22"/>
                <w:szCs w:val="22"/>
              </w:rPr>
              <w:t xml:space="preserve">Data bundles</w:t>
            </w:r>
          </w:p>
          <w:p>
            <w:pPr>
              <w:spacing w:after="60" w:before="0"/>
            </w:pPr>
            <w:r>
              <w:rPr>
                <w:rFonts w:ascii="Arial" w:cs="Arial" w:eastAsia="Arial" w:hAnsi="Arial"/>
                <w:i/>
                <w:iCs/>
                <w:color w:val="5A6A7A"/>
                <w:sz w:val="18"/>
                <w:szCs w:val="18"/>
              </w:rPr>
              <w:t xml:space="preserve">Removing the bandwidth barrier</w:t>
            </w:r>
          </w:p>
          <w:p>
            <w:pPr>
              <w:spacing w:after="0" w:before="0"/>
            </w:pPr>
            <w:r>
              <w:rPr>
                <w:rFonts w:ascii="Arial" w:cs="Arial" w:eastAsia="Arial" w:hAnsi="Arial"/>
                <w:color w:val="0B0C10"/>
                <w:sz w:val="21"/>
                <w:szCs w:val="21"/>
              </w:rPr>
              <w:t xml:space="preserve">Online learners receive a 5 GB monthly data bundle for the duration of their course. Ginashe Academy negotiates zero-rated access to ginashe.academy with MTN, Vodacom, and Telkom — meaning learners can use the LMS without consuming their personal data allowance. WhatsApp integration for assignment submission ensures even data-poor learners can participate.</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3 — Accreditation Pathway</w:t>
      </w:r>
    </w:p>
    <w:p>
      <w:pPr>
        <w:spacing w:after="140" w:before="0"/>
        <w:jc w:val="left"/>
      </w:pPr>
      <w:r>
        <w:rPr>
          <w:rFonts w:ascii="Arial" w:cs="Arial" w:eastAsia="Arial" w:hAnsi="Arial"/>
          <w:b w:val="false"/>
          <w:bCs w:val="false"/>
          <w:i w:val="false"/>
          <w:iCs w:val="false"/>
          <w:color w:val="000000"/>
          <w:sz w:val="22"/>
          <w:szCs w:val="22"/>
        </w:rPr>
        <w:t xml:space="preserve">Accreditation is the foundation of credibility, funding access, and qualification recognition. Ginashe Academy follows a four-year accreditation roadmap that scales from provisional SETA accreditation in Year 1 to continental qualification recognition by Year 4.</w:t>
      </w:r>
    </w:p>
    <w:p>
      <w:pPr>
        <w:pStyle w:val="Heading2"/>
        <w:spacing w:after="100" w:before="240"/>
      </w:pPr>
      <w:r>
        <w:rPr>
          <w:rFonts w:ascii="Arial" w:cs="Arial" w:eastAsia="Arial" w:hAnsi="Arial"/>
          <w:b/>
          <w:bCs/>
          <w:color w:val="0F6E56"/>
          <w:sz w:val="24"/>
          <w:szCs w:val="24"/>
        </w:rPr>
        <w:t xml:space="preserve">SETA alignment by stream</w:t>
      </w:r>
    </w:p>
    <w:p>
      <w:pPr>
        <w:spacing w:after="80" w:before="0"/>
        <w:jc w:val="left"/>
      </w:pPr>
      <w:r>
        <w:rPr>
          <w:rFonts w:ascii="Arial" w:cs="Arial" w:eastAsia="Arial" w:hAnsi="Arial"/>
          <w:b w:val="false"/>
          <w:bCs w:val="false"/>
          <w:i w:val="false"/>
          <w:iCs w:val="false"/>
          <w:color w:val="000000"/>
          <w:sz w:val="22"/>
          <w:szCs w:val="22"/>
        </w:rPr>
        <w:t xml:space="preserve">Each stream is aligned to one or more SETAs. The SETA relationship is what unlocks discretionary grants, learner stipends, and qualification registration on the NQF.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r>
              <w:rPr>
                <w:rFonts w:ascii="Arial" w:cs="Arial" w:eastAsia="Arial" w:hAnsi="Arial"/>
                <w:b/>
                <w:bCs/>
                <w:color w:val="FFFFFF"/>
                <w:sz w:val="19"/>
                <w:szCs w:val="19"/>
              </w:rPr>
              <w:t xml:space="preserve">SETA</w:t>
            </w:r>
          </w:p>
        </w:tc>
        <w:tc>
          <w:tcPr>
            <w:tcW w:type="dxa" w:w="55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r>
              <w:rPr>
                <w:rFonts w:ascii="Arial" w:cs="Arial" w:eastAsia="Arial" w:hAnsi="Arial"/>
                <w:b/>
                <w:bCs/>
                <w:color w:val="FFFFFF"/>
                <w:sz w:val="19"/>
                <w:szCs w:val="19"/>
              </w:rPr>
              <w:t xml:space="preserve">Stream</w:t>
            </w:r>
          </w:p>
        </w:tc>
        <w:tc>
          <w:tcPr>
            <w:tcW w:type="dxa" w:w="14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r>
              <w:rPr>
                <w:rFonts w:ascii="Arial" w:cs="Arial" w:eastAsia="Arial" w:hAnsi="Arial"/>
                <w:b/>
                <w:bCs/>
                <w:color w:val="FFFFFF"/>
                <w:sz w:val="19"/>
                <w:szCs w:val="19"/>
              </w:rPr>
              <w:t xml:space="preserve">Stream Code</w:t>
            </w:r>
          </w:p>
        </w:tc>
      </w:tr>
      <w:tr>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19"/>
                <w:szCs w:val="19"/>
              </w:rPr>
              <w:t xml:space="preserve">MICT SETA</w:t>
            </w:r>
          </w:p>
        </w:tc>
        <w:tc>
          <w:tcPr>
            <w:tcW w:type="dxa" w:w="55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Media, Information &amp; Communication Technologies — covers Digital Systems and Creative Media</w:t>
            </w:r>
          </w:p>
        </w:tc>
        <w:tc>
          <w:tcPr>
            <w:tcW w:type="dxa" w:w="1400"/>
            <w:tcBorders>
              <w:top w:val="single" w:color="C8D4E0" w:sz="4"/>
              <w:left w:val="single" w:color="C8D4E0" w:sz="4"/>
              <w:bottom w:val="single" w:color="C8D4E0" w:sz="4"/>
              <w:right w:val="single" w:color="C8D4E0" w:sz="4"/>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DSS, CDS</w:t>
            </w:r>
          </w:p>
        </w:tc>
      </w:tr>
      <w:tr>
        <w:tc>
          <w:tcPr>
            <w:tcW w:type="dxa" w:w="24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F6E56"/>
                <w:sz w:val="19"/>
                <w:szCs w:val="19"/>
              </w:rPr>
              <w:t xml:space="preserve">HWSETA</w:t>
            </w:r>
          </w:p>
        </w:tc>
        <w:tc>
          <w:tcPr>
            <w:tcW w:type="dxa" w:w="55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Health &amp; Welfare — covers all clinical and community health courses</w:t>
            </w:r>
          </w:p>
        </w:tc>
        <w:tc>
          <w:tcPr>
            <w:tcW w:type="dxa" w:w="1400"/>
            <w:tcBorders>
              <w:top w:val="single" w:color="C8D4E0" w:sz="4"/>
              <w:left w:val="single" w:color="C8D4E0" w:sz="4"/>
              <w:bottom w:val="single" w:color="C8D4E0" w:sz="4"/>
              <w:right w:val="single" w:color="C8D4E0" w:sz="4"/>
            </w:tcBorders>
            <w:shd w:fill="A32D2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HSS</w:t>
            </w:r>
          </w:p>
        </w:tc>
      </w:tr>
      <w:tr>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19"/>
                <w:szCs w:val="19"/>
              </w:rPr>
              <w:t xml:space="preserve">EWSETA</w:t>
            </w:r>
          </w:p>
        </w:tc>
        <w:tc>
          <w:tcPr>
            <w:tcW w:type="dxa" w:w="55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Energy &amp; Water — covers solar, wind, energy auditing, water systems</w:t>
            </w:r>
          </w:p>
        </w:tc>
        <w:tc>
          <w:tcPr>
            <w:tcW w:type="dxa" w:w="1400"/>
            <w:tcBorders>
              <w:top w:val="single" w:color="C8D4E0" w:sz="4"/>
              <w:left w:val="single" w:color="C8D4E0" w:sz="4"/>
              <w:bottom w:val="single" w:color="C8D4E0" w:sz="4"/>
              <w:right w:val="single" w:color="C8D4E0" w:sz="4"/>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EIS</w:t>
            </w:r>
          </w:p>
        </w:tc>
      </w:tr>
      <w:tr>
        <w:tc>
          <w:tcPr>
            <w:tcW w:type="dxa" w:w="24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F6E56"/>
                <w:sz w:val="19"/>
                <w:szCs w:val="19"/>
              </w:rPr>
              <w:t xml:space="preserve">AgriSETA</w:t>
            </w:r>
          </w:p>
        </w:tc>
        <w:tc>
          <w:tcPr>
            <w:tcW w:type="dxa" w:w="55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Agriculture — covers smallholder, hydroponics, agritech, food processing</w:t>
            </w:r>
          </w:p>
        </w:tc>
        <w:tc>
          <w:tcPr>
            <w:tcW w:type="dxa" w:w="1400"/>
            <w:tcBorders>
              <w:top w:val="single" w:color="C8D4E0" w:sz="4"/>
              <w:left w:val="single" w:color="C8D4E0" w:sz="4"/>
              <w:bottom w:val="single" w:color="C8D4E0" w:sz="4"/>
              <w:right w:val="single" w:color="C8D4E0" w:sz="4"/>
            </w:tcBorders>
            <w:shd w:fill="3B6D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AFS</w:t>
            </w:r>
          </w:p>
        </w:tc>
      </w:tr>
      <w:tr>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19"/>
                <w:szCs w:val="19"/>
              </w:rPr>
              <w:t xml:space="preserve">INSETA</w:t>
            </w:r>
          </w:p>
        </w:tc>
        <w:tc>
          <w:tcPr>
            <w:tcW w:type="dxa" w:w="55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Insurance — covers FinTech, financial literacy, microfinance</w:t>
            </w:r>
          </w:p>
        </w:tc>
        <w:tc>
          <w:tcPr>
            <w:tcW w:type="dxa" w:w="1400"/>
            <w:tcBorders>
              <w:top w:val="single" w:color="C8D4E0" w:sz="4"/>
              <w:left w:val="single" w:color="C8D4E0" w:sz="4"/>
              <w:bottom w:val="single" w:color="C8D4E0" w:sz="4"/>
              <w:right w:val="single" w:color="C8D4E0" w:sz="4"/>
            </w:tcBorders>
            <w:shd w:fill="185FA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FLS</w:t>
            </w:r>
          </w:p>
        </w:tc>
      </w:tr>
      <w:tr>
        <w:tc>
          <w:tcPr>
            <w:tcW w:type="dxa" w:w="24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F6E56"/>
                <w:sz w:val="19"/>
                <w:szCs w:val="19"/>
              </w:rPr>
              <w:t xml:space="preserve">MERSETA</w:t>
            </w:r>
          </w:p>
        </w:tc>
        <w:tc>
          <w:tcPr>
            <w:tcW w:type="dxa" w:w="55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Manufacturing, Engineering &amp; Related Services — covers all artisan trades</w:t>
            </w:r>
          </w:p>
        </w:tc>
        <w:tc>
          <w:tcPr>
            <w:tcW w:type="dxa" w:w="1400"/>
            <w:tcBorders>
              <w:top w:val="single" w:color="C8D4E0" w:sz="4"/>
              <w:left w:val="single" w:color="C8D4E0" w:sz="4"/>
              <w:bottom w:val="single" w:color="C8D4E0" w:sz="4"/>
              <w:right w:val="single" w:color="C8D4E0" w:sz="4"/>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ATS</w:t>
            </w:r>
          </w:p>
        </w:tc>
      </w:tr>
      <w:tr>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19"/>
                <w:szCs w:val="19"/>
              </w:rPr>
              <w:t xml:space="preserve">SERVICES SETA</w:t>
            </w:r>
          </w:p>
        </w:tc>
        <w:tc>
          <w:tcPr>
            <w:tcW w:type="dxa" w:w="55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Services Sector — covers Leadership, Entrepreneurship, business courses</w:t>
            </w:r>
          </w:p>
        </w:tc>
        <w:tc>
          <w:tcPr>
            <w:tcW w:type="dxa" w:w="1400"/>
            <w:tcBorders>
              <w:top w:val="single" w:color="C8D4E0" w:sz="4"/>
              <w:left w:val="single" w:color="C8D4E0" w:sz="4"/>
              <w:bottom w:val="single" w:color="C8D4E0" w:sz="4"/>
              <w:right w:val="single" w:color="C8D4E0" w:sz="4"/>
            </w:tcBorders>
            <w:shd w:fill="63380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LES</w:t>
            </w:r>
          </w:p>
        </w:tc>
      </w:tr>
      <w:tr>
        <w:tc>
          <w:tcPr>
            <w:tcW w:type="dxa" w:w="24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F6E56"/>
                <w:sz w:val="19"/>
                <w:szCs w:val="19"/>
              </w:rPr>
              <w:t xml:space="preserve">ETDP SETA</w:t>
            </w:r>
          </w:p>
        </w:tc>
        <w:tc>
          <w:tcPr>
            <w:tcW w:type="dxa" w:w="55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19"/>
                <w:szCs w:val="19"/>
              </w:rPr>
              <w:t xml:space="preserve">Education, Training &amp; Development — covers Early Childhood and education</w:t>
            </w:r>
          </w:p>
        </w:tc>
        <w:tc>
          <w:tcPr>
            <w:tcW w:type="dxa" w:w="1400"/>
            <w:tcBorders>
              <w:top w:val="single" w:color="C8D4E0" w:sz="4"/>
              <w:left w:val="single" w:color="C8D4E0" w:sz="4"/>
              <w:bottom w:val="single" w:color="C8D4E0" w:sz="4"/>
              <w:right w:val="single" w:color="C8D4E0" w:sz="4"/>
            </w:tcBorders>
            <w:shd w:fill="1D9E7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ECS</w:t>
            </w:r>
          </w:p>
        </w:tc>
      </w:tr>
      <w:tr>
        <w:tc>
          <w:tcPr>
            <w:tcW w:type="dxa" w:w="24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19"/>
                <w:szCs w:val="19"/>
              </w:rPr>
              <w:t xml:space="preserve">WRSETA</w:t>
            </w:r>
          </w:p>
        </w:tc>
        <w:tc>
          <w:tcPr>
            <w:tcW w:type="dxa" w:w="55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19"/>
                <w:szCs w:val="19"/>
              </w:rPr>
              <w:t xml:space="preserve">Wholesale &amp; Retail (climate work routed via wider sector relationships including DFFE)</w:t>
            </w:r>
          </w:p>
        </w:tc>
        <w:tc>
          <w:tcPr>
            <w:tcW w:type="dxa" w:w="1400"/>
            <w:tcBorders>
              <w:top w:val="single" w:color="C8D4E0" w:sz="4"/>
              <w:left w:val="single" w:color="C8D4E0" w:sz="4"/>
              <w:bottom w:val="single" w:color="C8D4E0" w:sz="4"/>
              <w:right w:val="single" w:color="C8D4E0" w:sz="4"/>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CAS</w:t>
            </w:r>
          </w:p>
        </w:tc>
      </w:tr>
    </w:tbl>
    <w:p>
      <w:pPr>
        <w:spacing w:after="240" w:before="0"/>
      </w:pPr>
    </w:p>
    <w:p>
      <w:pPr>
        <w:pStyle w:val="Heading2"/>
        <w:spacing w:after="100" w:before="240"/>
      </w:pPr>
      <w:r>
        <w:rPr>
          <w:rFonts w:ascii="Arial" w:cs="Arial" w:eastAsia="Arial" w:hAnsi="Arial"/>
          <w:b/>
          <w:bCs/>
          <w:color w:val="0F6E56"/>
          <w:sz w:val="24"/>
          <w:szCs w:val="24"/>
        </w:rPr>
        <w:t xml:space="preserve">Four-year accreditation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Months 0–12</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1 — Provisional SETA accreditation</w:t>
            </w:r>
          </w:p>
          <w:p>
            <w:pPr>
              <w:spacing w:after="0" w:before="0"/>
            </w:pPr>
            <w:r>
              <w:rPr>
                <w:rFonts w:ascii="Arial" w:cs="Arial" w:eastAsia="Arial" w:hAnsi="Arial"/>
                <w:color w:val="5A6A7A"/>
                <w:sz w:val="20"/>
                <w:szCs w:val="20"/>
              </w:rPr>
              <w:t xml:space="preserve">Submit Quality Management System, facilitator CVs, and material evidence packs to 2–3 priority SETAs (MICT, HWSETA, EWSETA). Begin learner enrolment under provisional status. Cloud Launchpad already on this track.</w:t>
            </w:r>
          </w:p>
        </w:tc>
      </w:tr>
      <w:tr>
        <w:tc>
          <w:tcPr>
            <w:tcW w:type="dxa" w:w="1100"/>
            <w:tcBorders>
              <w:top w:val="single" w:color="FFFFFF" w:sz="4"/>
              <w:left w:val="single" w:color="FFFFFF" w:sz="4"/>
              <w:bottom w:val="single" w:color="FFFFFF" w:sz="4"/>
              <w:right w:val="single" w:color="1B4F8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1B4F8A"/>
                <w:sz w:val="17"/>
                <w:szCs w:val="17"/>
              </w:rPr>
              <w:t xml:space="preserve">Months 12–24</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2 — Full SAQA NQF registration</w:t>
            </w:r>
          </w:p>
          <w:p>
            <w:pPr>
              <w:spacing w:after="0" w:before="0"/>
            </w:pPr>
            <w:r>
              <w:rPr>
                <w:rFonts w:ascii="Arial" w:cs="Arial" w:eastAsia="Arial" w:hAnsi="Arial"/>
                <w:color w:val="5A6A7A"/>
                <w:sz w:val="20"/>
                <w:szCs w:val="20"/>
              </w:rPr>
              <w:t xml:space="preserve">Register qualifications on the NQF through SAQA. Submit unit standards per stream. Begin QCTO skills programme registration for trade-based streams. Move from provisional to full SETA accreditation.</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Months 24–36</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3 — University articulation &amp; DHET</w:t>
            </w:r>
          </w:p>
          <w:p>
            <w:pPr>
              <w:spacing w:after="0" w:before="0"/>
            </w:pPr>
            <w:r>
              <w:rPr>
                <w:rFonts w:ascii="Arial" w:cs="Arial" w:eastAsia="Arial" w:hAnsi="Arial"/>
                <w:color w:val="5A6A7A"/>
                <w:sz w:val="20"/>
                <w:szCs w:val="20"/>
              </w:rPr>
              <w:t xml:space="preserve">Articulation agreements with UNISA, CTU, and Rosebank College. Ginashe credits recognised for Recognition of Prior Learning into degree programmes. DHET community college partnership formalised.</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Months 36–48</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4 — Continental recognition</w:t>
            </w:r>
          </w:p>
          <w:p>
            <w:pPr>
              <w:spacing w:after="0" w:before="0"/>
            </w:pPr>
            <w:r>
              <w:rPr>
                <w:rFonts w:ascii="Arial" w:cs="Arial" w:eastAsia="Arial" w:hAnsi="Arial"/>
                <w:color w:val="5A6A7A"/>
                <w:sz w:val="20"/>
                <w:szCs w:val="20"/>
              </w:rPr>
              <w:t xml:space="preserve">SADC mutual recognition through cross-border qualification frameworks. Partnerships with ECSA, HPCSA, and FSCA for professional body endorsement. Pan-African expansion begins (Kenya, Nigeria, Ghana priority markets).</w:t>
            </w:r>
          </w:p>
        </w:tc>
      </w:tr>
    </w:tbl>
    <w:p>
      <w:pPr>
        <w:spacing w:after="240" w:before="0"/>
      </w:pPr>
    </w:p>
    <w:p>
      <w:pPr>
        <w:pStyle w:val="Heading2"/>
        <w:spacing w:after="100" w:before="240"/>
      </w:pPr>
      <w:r>
        <w:rPr>
          <w:rFonts w:ascii="Arial" w:cs="Arial" w:eastAsia="Arial" w:hAnsi="Arial"/>
          <w:b/>
          <w:bCs/>
          <w:color w:val="0F6E56"/>
          <w:sz w:val="24"/>
          <w:szCs w:val="24"/>
        </w:rPr>
        <w:t xml:space="preserve">Industry certification partnerships</w:t>
      </w:r>
    </w:p>
    <w:p>
      <w:pPr>
        <w:spacing w:after="80" w:before="0"/>
        <w:jc w:val="left"/>
      </w:pPr>
      <w:r>
        <w:rPr>
          <w:rFonts w:ascii="Arial" w:cs="Arial" w:eastAsia="Arial" w:hAnsi="Arial"/>
          <w:b w:val="false"/>
          <w:bCs w:val="false"/>
          <w:i w:val="false"/>
          <w:iCs w:val="false"/>
          <w:color w:val="000000"/>
          <w:sz w:val="22"/>
          <w:szCs w:val="22"/>
        </w:rPr>
        <w:t xml:space="preserve">Beyond formal SAQA qualifications, Ginashe Academy partners with global industry bodies to deliver vendor certifications that carry international weight. These certifications complement — not replace — the SETA-aligned NQF qualifications.</w:t>
      </w:r>
    </w:p>
    <w:p>
      <w:pPr>
        <w:pStyle w:val="ListParagraph"/>
        <w:numPr>
          <w:ilvl w:val="0"/>
          <w:numId w:val="2"/>
        </w:numPr>
        <w:spacing w:after="60" w:before="0"/>
      </w:pPr>
      <w:r>
        <w:rPr>
          <w:rFonts w:ascii="Arial" w:cs="Arial" w:eastAsia="Arial" w:hAnsi="Arial"/>
          <w:color w:val="000000"/>
          <w:sz w:val="22"/>
          <w:szCs w:val="22"/>
        </w:rPr>
        <w:t xml:space="preserve">AWS Authorized Training Partner — Cloud Practitioner, Solutions Architect Associate.</w:t>
      </w:r>
    </w:p>
    <w:p>
      <w:pPr>
        <w:pStyle w:val="ListParagraph"/>
        <w:numPr>
          <w:ilvl w:val="0"/>
          <w:numId w:val="2"/>
        </w:numPr>
        <w:spacing w:after="60" w:before="0"/>
      </w:pPr>
      <w:r>
        <w:rPr>
          <w:rFonts w:ascii="Arial" w:cs="Arial" w:eastAsia="Arial" w:hAnsi="Arial"/>
          <w:color w:val="000000"/>
          <w:sz w:val="22"/>
          <w:szCs w:val="22"/>
        </w:rPr>
        <w:t xml:space="preserve">Microsoft Learn Partner — Azure Fundamentals and Administrator paths.</w:t>
      </w:r>
    </w:p>
    <w:p>
      <w:pPr>
        <w:pStyle w:val="ListParagraph"/>
        <w:numPr>
          <w:ilvl w:val="0"/>
          <w:numId w:val="2"/>
        </w:numPr>
        <w:spacing w:after="60" w:before="0"/>
      </w:pPr>
      <w:r>
        <w:rPr>
          <w:rFonts w:ascii="Arial" w:cs="Arial" w:eastAsia="Arial" w:hAnsi="Arial"/>
          <w:color w:val="000000"/>
          <w:sz w:val="22"/>
          <w:szCs w:val="22"/>
        </w:rPr>
        <w:t xml:space="preserve">Google Cloud Partner — Associate Cloud Engineer.</w:t>
      </w:r>
    </w:p>
    <w:p>
      <w:pPr>
        <w:pStyle w:val="ListParagraph"/>
        <w:numPr>
          <w:ilvl w:val="0"/>
          <w:numId w:val="2"/>
        </w:numPr>
        <w:spacing w:after="60" w:before="0"/>
      </w:pPr>
      <w:r>
        <w:rPr>
          <w:rFonts w:ascii="Arial" w:cs="Arial" w:eastAsia="Arial" w:hAnsi="Arial"/>
          <w:color w:val="000000"/>
          <w:sz w:val="22"/>
          <w:szCs w:val="22"/>
        </w:rPr>
        <w:t xml:space="preserve">CompTIA Authorised Partner — Security+, Network+, A+.</w:t>
      </w:r>
    </w:p>
    <w:p>
      <w:pPr>
        <w:pStyle w:val="ListParagraph"/>
        <w:numPr>
          <w:ilvl w:val="0"/>
          <w:numId w:val="2"/>
        </w:numPr>
        <w:spacing w:after="60" w:before="0"/>
      </w:pPr>
      <w:r>
        <w:rPr>
          <w:rFonts w:ascii="Arial" w:cs="Arial" w:eastAsia="Arial" w:hAnsi="Arial"/>
          <w:color w:val="000000"/>
          <w:sz w:val="22"/>
          <w:szCs w:val="22"/>
        </w:rPr>
        <w:t xml:space="preserve">SAPVIA solar industry certifications and SARETEC wind technician partnerships.</w:t>
      </w:r>
    </w:p>
    <w:p>
      <w:pPr>
        <w:pStyle w:val="ListParagraph"/>
        <w:numPr>
          <w:ilvl w:val="0"/>
          <w:numId w:val="2"/>
        </w:numPr>
        <w:spacing w:after="60" w:before="0"/>
      </w:pPr>
      <w:r>
        <w:rPr>
          <w:rFonts w:ascii="Arial" w:cs="Arial" w:eastAsia="Arial" w:hAnsi="Arial"/>
          <w:color w:val="000000"/>
          <w:sz w:val="22"/>
          <w:szCs w:val="22"/>
        </w:rPr>
        <w:t xml:space="preserve">Adobe Certified Education — graphic design, video, motion graphics.</w:t>
      </w:r>
    </w:p>
    <w:p>
      <w:pPr>
        <w:pStyle w:val="ListParagraph"/>
        <w:numPr>
          <w:ilvl w:val="0"/>
          <w:numId w:val="2"/>
        </w:numPr>
        <w:spacing w:after="60" w:before="0"/>
      </w:pPr>
      <w:r>
        <w:rPr>
          <w:rFonts w:ascii="Arial" w:cs="Arial" w:eastAsia="Arial" w:hAnsi="Arial"/>
          <w:color w:val="000000"/>
          <w:sz w:val="22"/>
          <w:szCs w:val="22"/>
        </w:rPr>
        <w:t xml:space="preserve">PMI Educational Foundation — project management foundations.</w:t>
      </w:r>
    </w:p>
    <w:p>
      <w:pPr>
        <w:pStyle w:val="ListParagraph"/>
        <w:numPr>
          <w:ilvl w:val="0"/>
          <w:numId w:val="2"/>
        </w:numPr>
        <w:spacing w:after="60" w:before="0"/>
      </w:pPr>
      <w:r>
        <w:rPr>
          <w:rFonts w:ascii="Arial" w:cs="Arial" w:eastAsia="Arial" w:hAnsi="Arial"/>
          <w:color w:val="000000"/>
          <w:sz w:val="22"/>
          <w:szCs w:val="22"/>
        </w:rPr>
        <w:t xml:space="preserve">SAICA Student Programme alignment for FinTech and accounting paths.</w:t>
      </w:r>
    </w:p>
    <w:p>
      <w:pPr>
        <w:pStyle w:val="ListParagraph"/>
        <w:numPr>
          <w:ilvl w:val="0"/>
          <w:numId w:val="2"/>
        </w:numPr>
        <w:spacing w:after="60" w:before="0"/>
      </w:pPr>
      <w:r>
        <w:rPr>
          <w:rFonts w:ascii="Arial" w:cs="Arial" w:eastAsia="Arial" w:hAnsi="Arial"/>
          <w:color w:val="000000"/>
          <w:sz w:val="22"/>
          <w:szCs w:val="22"/>
        </w:rPr>
        <w:t xml:space="preserve">FSCA Consumer Education accreditation for the FinTech stream.</w:t>
      </w:r>
    </w:p>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4 — LMS Architecture</w:t>
      </w:r>
    </w:p>
    <w:p>
      <w:pPr>
        <w:spacing w:after="140" w:before="0"/>
        <w:jc w:val="left"/>
      </w:pPr>
      <w:r>
        <w:rPr>
          <w:rFonts w:ascii="Arial" w:cs="Arial" w:eastAsia="Arial" w:hAnsi="Arial"/>
          <w:b w:val="false"/>
          <w:bCs w:val="false"/>
          <w:i w:val="false"/>
          <w:iCs w:val="false"/>
          <w:color w:val="000000"/>
          <w:sz w:val="22"/>
          <w:szCs w:val="22"/>
        </w:rPr>
        <w:t xml:space="preserve">The Ginashe Academy LMS is hosted at learn.ginashe.academy. It is the primary channel for the online-first delivery model and the secondary channel for hybrid courses. The architecture is designed for South African network conditions — mobile-first, offline-capable, low-bandwidth, with WhatsApp integration for the most data-poor learners.</w:t>
      </w:r>
    </w:p>
    <w:p>
      <w:pPr>
        <w:pStyle w:val="Heading2"/>
        <w:spacing w:after="100" w:before="240"/>
      </w:pPr>
      <w:r>
        <w:rPr>
          <w:rFonts w:ascii="Arial" w:cs="Arial" w:eastAsia="Arial" w:hAnsi="Arial"/>
          <w:b/>
          <w:bCs/>
          <w:color w:val="0F6E56"/>
          <w:sz w:val="24"/>
          <w:szCs w:val="24"/>
        </w:rPr>
        <w:t xml:space="preserve">Five-layer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6E56" w:sz="8"/>
              <w:left w:val="single" w:color="0F6E56" w:sz="8"/>
              <w:bottom w:val="single" w:color="0F6E56" w:sz="8"/>
              <w:right w:val="single" w:color="0F6E56" w:sz="8"/>
            </w:tcBorders>
            <w:shd w:fill="0F6E56" w:val="clear"/>
            <w:tcMar>
              <w:top w:type="dxa" w:w="140"/>
              <w:left w:type="dxa" w:w="140"/>
              <w:bottom w:type="dxa" w:w="140"/>
              <w:right w:type="dxa" w:w="80"/>
            </w:tcMar>
            <w:vAlign w:val="center"/>
          </w:tcPr>
          <w:p>
            <w:pPr>
              <w:jc w:val="center"/>
            </w:pPr>
            <w:r>
              <w:rPr>
                <w:rFonts w:ascii="Arial" w:cs="Arial" w:eastAsia="Arial" w:hAnsi="Arial"/>
                <w:b/>
                <w:bCs/>
                <w:color w:val="FFFFFF"/>
                <w:sz w:val="17"/>
                <w:szCs w:val="17"/>
              </w:rPr>
              <w:t xml:space="preserve">Learner layer</w:t>
            </w:r>
          </w:p>
        </w:tc>
        <w:tc>
          <w:tcPr>
            <w:tcW w:type="dxa" w:w="7160"/>
            <w:tcBorders>
              <w:top w:val="single" w:color="0F6E56" w:sz="8"/>
              <w:left w:val="single" w:color="0F6E56" w:sz="8"/>
              <w:bottom w:val="single" w:color="0F6E56" w:sz="4"/>
              <w:right w:val="single" w:color="0F6E56" w:sz="4"/>
            </w:tcBorders>
            <w:shd w:fill="D8F2E9" w:val="clear"/>
            <w:tcMar>
              <w:top w:type="dxa" w:w="120"/>
              <w:left w:type="dxa" w:w="200"/>
              <w:bottom w:type="dxa" w:w="120"/>
              <w:right w:type="dxa" w:w="140"/>
            </w:tcMar>
          </w:tcPr>
          <w:p>
            <w:pPr>
              <w:spacing w:after="40" w:before="0"/>
            </w:pPr>
            <w:r>
              <w:rPr>
                <w:rFonts w:ascii="Arial" w:cs="Arial" w:eastAsia="Arial" w:hAnsi="Arial"/>
                <w:b/>
                <w:bCs/>
                <w:color w:val="0F6E56"/>
                <w:sz w:val="21"/>
                <w:szCs w:val="21"/>
              </w:rPr>
              <w:t xml:space="preserve">Mobile-first LMS (Moodle + custom PWA)</w:t>
            </w:r>
          </w:p>
          <w:p>
            <w:pPr>
              <w:spacing w:after="0" w:before="0"/>
            </w:pPr>
            <w:r>
              <w:rPr>
                <w:rFonts w:ascii="Arial" w:cs="Arial" w:eastAsia="Arial" w:hAnsi="Arial"/>
                <w:color w:val="0B0C10"/>
                <w:sz w:val="19"/>
                <w:szCs w:val="19"/>
              </w:rPr>
              <w:t xml:space="preserve">Course catalogue · Video lessons · Interactive labs · Quizzes · Assignment submission · Progress dashboard · Peer forums · Certificate download · Offline content sync</w:t>
            </w:r>
          </w:p>
        </w:tc>
      </w:tr>
      <w:tr>
        <w:tc>
          <w:tcPr>
            <w:tcW w:type="dxa" w:w="2200"/>
            <w:tcBorders>
              <w:top w:val="single" w:color="1B4F8A" w:sz="8"/>
              <w:left w:val="single" w:color="1B4F8A" w:sz="8"/>
              <w:bottom w:val="single" w:color="1B4F8A" w:sz="8"/>
              <w:right w:val="single" w:color="1B4F8A" w:sz="8"/>
            </w:tcBorders>
            <w:shd w:fill="1B4F8A" w:val="clear"/>
            <w:tcMar>
              <w:top w:type="dxa" w:w="140"/>
              <w:left w:type="dxa" w:w="140"/>
              <w:bottom w:type="dxa" w:w="140"/>
              <w:right w:type="dxa" w:w="80"/>
            </w:tcMar>
            <w:vAlign w:val="center"/>
          </w:tcPr>
          <w:p>
            <w:pPr>
              <w:jc w:val="center"/>
            </w:pPr>
            <w:r>
              <w:rPr>
                <w:rFonts w:ascii="Arial" w:cs="Arial" w:eastAsia="Arial" w:hAnsi="Arial"/>
                <w:b/>
                <w:bCs/>
                <w:color w:val="FFFFFF"/>
                <w:sz w:val="17"/>
                <w:szCs w:val="17"/>
              </w:rPr>
              <w:t xml:space="preserve">Facilitator layer</w:t>
            </w:r>
          </w:p>
        </w:tc>
        <w:tc>
          <w:tcPr>
            <w:tcW w:type="dxa" w:w="7160"/>
            <w:tcBorders>
              <w:top w:val="single" w:color="1B4F8A" w:sz="8"/>
              <w:left w:val="single" w:color="1B4F8A" w:sz="8"/>
              <w:bottom w:val="single" w:color="1B4F8A" w:sz="4"/>
              <w:right w:val="single" w:color="1B4F8A" w:sz="4"/>
            </w:tcBorders>
            <w:shd w:fill="D6E8F8" w:val="clear"/>
            <w:tcMar>
              <w:top w:type="dxa" w:w="120"/>
              <w:left w:type="dxa" w:w="200"/>
              <w:bottom w:type="dxa" w:w="120"/>
              <w:right w:type="dxa" w:w="140"/>
            </w:tcMar>
          </w:tcPr>
          <w:p>
            <w:pPr>
              <w:spacing w:after="40" w:before="0"/>
            </w:pPr>
            <w:r>
              <w:rPr>
                <w:rFonts w:ascii="Arial" w:cs="Arial" w:eastAsia="Arial" w:hAnsi="Arial"/>
                <w:b/>
                <w:bCs/>
                <w:color w:val="1B4F8A"/>
                <w:sz w:val="21"/>
                <w:szCs w:val="21"/>
              </w:rPr>
              <w:t xml:space="preserve">Facilitator portal</w:t>
            </w:r>
          </w:p>
          <w:p>
            <w:pPr>
              <w:spacing w:after="0" w:before="0"/>
            </w:pPr>
            <w:r>
              <w:rPr>
                <w:rFonts w:ascii="Arial" w:cs="Arial" w:eastAsia="Arial" w:hAnsi="Arial"/>
                <w:color w:val="0B0C10"/>
                <w:sz w:val="19"/>
                <w:szCs w:val="19"/>
              </w:rPr>
              <w:t xml:space="preserve">Cohort management · Attendance register · Assessment marking · Learner progress alerts · Resource library · Facilitator community · CPD tracker · 1-on-1 office hours scheduler</w:t>
            </w:r>
          </w:p>
        </w:tc>
      </w:tr>
      <w:tr>
        <w:tc>
          <w:tcPr>
            <w:tcW w:type="dxa" w:w="2200"/>
            <w:tcBorders>
              <w:top w:val="single" w:color="854F0B" w:sz="8"/>
              <w:left w:val="single" w:color="854F0B" w:sz="8"/>
              <w:bottom w:val="single" w:color="854F0B" w:sz="8"/>
              <w:right w:val="single" w:color="854F0B" w:sz="8"/>
            </w:tcBorders>
            <w:shd w:fill="854F0B" w:val="clear"/>
            <w:tcMar>
              <w:top w:type="dxa" w:w="140"/>
              <w:left w:type="dxa" w:w="140"/>
              <w:bottom w:type="dxa" w:w="140"/>
              <w:right w:type="dxa" w:w="80"/>
            </w:tcMar>
            <w:vAlign w:val="center"/>
          </w:tcPr>
          <w:p>
            <w:pPr>
              <w:jc w:val="center"/>
            </w:pPr>
            <w:r>
              <w:rPr>
                <w:rFonts w:ascii="Arial" w:cs="Arial" w:eastAsia="Arial" w:hAnsi="Arial"/>
                <w:b/>
                <w:bCs/>
                <w:color w:val="FFFFFF"/>
                <w:sz w:val="17"/>
                <w:szCs w:val="17"/>
              </w:rPr>
              <w:t xml:space="preserve">Admin layer</w:t>
            </w:r>
          </w:p>
        </w:tc>
        <w:tc>
          <w:tcPr>
            <w:tcW w:type="dxa" w:w="7160"/>
            <w:tcBorders>
              <w:top w:val="single" w:color="854F0B" w:sz="8"/>
              <w:left w:val="single" w:color="854F0B" w:sz="8"/>
              <w:bottom w:val="single" w:color="854F0B" w:sz="4"/>
              <w:right w:val="single" w:color="854F0B" w:sz="4"/>
            </w:tcBorders>
            <w:shd w:fill="FDF0D5" w:val="clear"/>
            <w:tcMar>
              <w:top w:type="dxa" w:w="120"/>
              <w:left w:type="dxa" w:w="200"/>
              <w:bottom w:type="dxa" w:w="120"/>
              <w:right w:type="dxa" w:w="140"/>
            </w:tcMar>
          </w:tcPr>
          <w:p>
            <w:pPr>
              <w:spacing w:after="40" w:before="0"/>
            </w:pPr>
            <w:r>
              <w:rPr>
                <w:rFonts w:ascii="Arial" w:cs="Arial" w:eastAsia="Arial" w:hAnsi="Arial"/>
                <w:b/>
                <w:bCs/>
                <w:color w:val="854F0B"/>
                <w:sz w:val="21"/>
                <w:szCs w:val="21"/>
              </w:rPr>
              <w:t xml:space="preserve">Academy management system</w:t>
            </w:r>
          </w:p>
          <w:p>
            <w:pPr>
              <w:spacing w:after="0" w:before="0"/>
            </w:pPr>
            <w:r>
              <w:rPr>
                <w:rFonts w:ascii="Arial" w:cs="Arial" w:eastAsia="Arial" w:hAnsi="Arial"/>
                <w:color w:val="0B0C10"/>
                <w:sz w:val="19"/>
                <w:szCs w:val="19"/>
              </w:rPr>
              <w:t xml:space="preserve">Enrolment &amp; intake · SETA reporting automation · Employer billing · Grant claim processing · Analytics &amp; outcomes · Certificate registry · SAQA submission · Compliance dashboard</w:t>
            </w:r>
          </w:p>
        </w:tc>
      </w:tr>
      <w:tr>
        <w:tc>
          <w:tcPr>
            <w:tcW w:type="dxa" w:w="2200"/>
            <w:tcBorders>
              <w:top w:val="single" w:color="3C3489" w:sz="8"/>
              <w:left w:val="single" w:color="3C3489" w:sz="8"/>
              <w:bottom w:val="single" w:color="3C3489" w:sz="8"/>
              <w:right w:val="single" w:color="3C3489" w:sz="8"/>
            </w:tcBorders>
            <w:shd w:fill="3C3489" w:val="clear"/>
            <w:tcMar>
              <w:top w:type="dxa" w:w="140"/>
              <w:left w:type="dxa" w:w="140"/>
              <w:bottom w:type="dxa" w:w="140"/>
              <w:right w:type="dxa" w:w="80"/>
            </w:tcMar>
            <w:vAlign w:val="center"/>
          </w:tcPr>
          <w:p>
            <w:pPr>
              <w:jc w:val="center"/>
            </w:pPr>
            <w:r>
              <w:rPr>
                <w:rFonts w:ascii="Arial" w:cs="Arial" w:eastAsia="Arial" w:hAnsi="Arial"/>
                <w:b/>
                <w:bCs/>
                <w:color w:val="FFFFFF"/>
                <w:sz w:val="17"/>
                <w:szCs w:val="17"/>
              </w:rPr>
              <w:t xml:space="preserve">AI layer</w:t>
            </w:r>
          </w:p>
        </w:tc>
        <w:tc>
          <w:tcPr>
            <w:tcW w:type="dxa" w:w="7160"/>
            <w:tcBorders>
              <w:top w:val="single" w:color="3C3489" w:sz="8"/>
              <w:left w:val="single" w:color="3C3489" w:sz="8"/>
              <w:bottom w:val="single" w:color="3C3489" w:sz="4"/>
              <w:right w:val="single" w:color="3C3489" w:sz="4"/>
            </w:tcBorders>
            <w:shd w:fill="E5E3FC" w:val="clear"/>
            <w:tcMar>
              <w:top w:type="dxa" w:w="120"/>
              <w:left w:type="dxa" w:w="200"/>
              <w:bottom w:type="dxa" w:w="120"/>
              <w:right w:type="dxa" w:w="140"/>
            </w:tcMar>
          </w:tcPr>
          <w:p>
            <w:pPr>
              <w:spacing w:after="40" w:before="0"/>
            </w:pPr>
            <w:r>
              <w:rPr>
                <w:rFonts w:ascii="Arial" w:cs="Arial" w:eastAsia="Arial" w:hAnsi="Arial"/>
                <w:b/>
                <w:bCs/>
                <w:color w:val="3C3489"/>
                <w:sz w:val="21"/>
                <w:szCs w:val="21"/>
              </w:rPr>
              <w:t xml:space="preserve">Ginashe AI tutor (Claude API)</w:t>
            </w:r>
          </w:p>
          <w:p>
            <w:pPr>
              <w:spacing w:after="0" w:before="0"/>
            </w:pPr>
            <w:r>
              <w:rPr>
                <w:rFonts w:ascii="Arial" w:cs="Arial" w:eastAsia="Arial" w:hAnsi="Arial"/>
                <w:color w:val="0B0C10"/>
                <w:sz w:val="19"/>
                <w:szCs w:val="19"/>
              </w:rPr>
              <w:t xml:space="preserve">24/7 question answering scoped to course context · Auto-grading of short-answer questions · Personalised learning path recommendations · Facilitator feedback drafts · Content gap detection</w:t>
            </w:r>
          </w:p>
        </w:tc>
      </w:tr>
      <w:tr>
        <w:tc>
          <w:tcPr>
            <w:tcW w:type="dxa" w:w="2200"/>
            <w:tcBorders>
              <w:top w:val="single" w:color="3B6D11" w:sz="8"/>
              <w:left w:val="single" w:color="3B6D11" w:sz="8"/>
              <w:bottom w:val="single" w:color="3B6D11" w:sz="8"/>
              <w:right w:val="single" w:color="3B6D11" w:sz="8"/>
            </w:tcBorders>
            <w:shd w:fill="3B6D11" w:val="clear"/>
            <w:tcMar>
              <w:top w:type="dxa" w:w="140"/>
              <w:left w:type="dxa" w:w="140"/>
              <w:bottom w:type="dxa" w:w="140"/>
              <w:right w:type="dxa" w:w="80"/>
            </w:tcMar>
            <w:vAlign w:val="center"/>
          </w:tcPr>
          <w:p>
            <w:pPr>
              <w:jc w:val="center"/>
            </w:pPr>
            <w:r>
              <w:rPr>
                <w:rFonts w:ascii="Arial" w:cs="Arial" w:eastAsia="Arial" w:hAnsi="Arial"/>
                <w:b/>
                <w:bCs/>
                <w:color w:val="FFFFFF"/>
                <w:sz w:val="17"/>
                <w:szCs w:val="17"/>
              </w:rPr>
              <w:t xml:space="preserve">Infrastructure</w:t>
            </w:r>
          </w:p>
        </w:tc>
        <w:tc>
          <w:tcPr>
            <w:tcW w:type="dxa" w:w="7160"/>
            <w:tcBorders>
              <w:top w:val="single" w:color="3B6D11" w:sz="8"/>
              <w:left w:val="single" w:color="3B6D11" w:sz="8"/>
              <w:bottom w:val="single" w:color="3B6D11" w:sz="4"/>
              <w:right w:val="single" w:color="3B6D11" w:sz="4"/>
            </w:tcBorders>
            <w:shd w:fill="EAF3DE" w:val="clear"/>
            <w:tcMar>
              <w:top w:type="dxa" w:w="120"/>
              <w:left w:type="dxa" w:w="200"/>
              <w:bottom w:type="dxa" w:w="120"/>
              <w:right w:type="dxa" w:w="140"/>
            </w:tcMar>
          </w:tcPr>
          <w:p>
            <w:pPr>
              <w:spacing w:after="40" w:before="0"/>
            </w:pPr>
            <w:r>
              <w:rPr>
                <w:rFonts w:ascii="Arial" w:cs="Arial" w:eastAsia="Arial" w:hAnsi="Arial"/>
                <w:b/>
                <w:bCs/>
                <w:color w:val="3B6D11"/>
                <w:sz w:val="21"/>
                <w:szCs w:val="21"/>
              </w:rPr>
              <w:t xml:space="preserve">AWS af-south-1 Cape Town — all data in SA</w:t>
            </w:r>
          </w:p>
          <w:p>
            <w:pPr>
              <w:spacing w:after="0" w:before="0"/>
            </w:pPr>
            <w:r>
              <w:rPr>
                <w:rFonts w:ascii="Arial" w:cs="Arial" w:eastAsia="Arial" w:hAnsi="Arial"/>
                <w:color w:val="0B0C10"/>
                <w:sz w:val="19"/>
                <w:szCs w:val="19"/>
              </w:rPr>
              <w:t xml:space="preserve">EC2 autoscaling · RDS PostgreSQL Multi-AZ · S3 video CDN · CloudFront · KMS encryption (POPIA) · CloudTrail audit · Disaster recovery · 99.9% SLA · POPIA-compliant by design</w:t>
            </w:r>
          </w:p>
        </w:tc>
      </w:tr>
    </w:tbl>
    <w:p>
      <w:pPr>
        <w:spacing w:after="240" w:before="0"/>
      </w:pPr>
    </w:p>
    <w:p>
      <w:pPr>
        <w:pStyle w:val="Heading2"/>
        <w:spacing w:after="100" w:before="240"/>
      </w:pPr>
      <w:r>
        <w:rPr>
          <w:rFonts w:ascii="Arial" w:cs="Arial" w:eastAsia="Arial" w:hAnsi="Arial"/>
          <w:b/>
          <w:bCs/>
          <w:color w:val="0F6E56"/>
          <w:sz w:val="24"/>
          <w:szCs w:val="24"/>
        </w:rPr>
        <w:t xml:space="preserve">Low-bandwidth design principles</w:t>
      </w:r>
    </w:p>
    <w:p>
      <w:pPr>
        <w:spacing w:after="120" w:before="0"/>
        <w:jc w:val="left"/>
      </w:pPr>
      <w:r>
        <w:rPr>
          <w:rFonts w:ascii="Arial" w:cs="Arial" w:eastAsia="Arial" w:hAnsi="Arial"/>
          <w:b w:val="false"/>
          <w:bCs w:val="false"/>
          <w:i w:val="false"/>
          <w:iCs w:val="false"/>
          <w:color w:val="000000"/>
          <w:sz w:val="22"/>
          <w:szCs w:val="22"/>
        </w:rPr>
        <w:t xml:space="preserve">The LMS is built for South African network conditions — patchy coverage, expensive data, intermittent connectivity. Three design principles dominate every technical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Offline-first</w:t>
            </w:r>
          </w:p>
          <w:p>
            <w:pPr>
              <w:spacing w:after="60" w:before="0"/>
            </w:pPr>
            <w:r>
              <w:rPr>
                <w:rFonts w:ascii="Arial" w:cs="Arial" w:eastAsia="Arial" w:hAnsi="Arial"/>
                <w:i/>
                <w:iCs/>
                <w:color w:val="5A6A7A"/>
                <w:sz w:val="18"/>
                <w:szCs w:val="18"/>
              </w:rPr>
              <w:t xml:space="preserve">PWA with service worker</w:t>
            </w:r>
          </w:p>
          <w:p>
            <w:pPr>
              <w:spacing w:after="0" w:before="0"/>
            </w:pPr>
            <w:r>
              <w:rPr>
                <w:rFonts w:ascii="Arial" w:cs="Arial" w:eastAsia="Arial" w:hAnsi="Arial"/>
                <w:color w:val="0B0C10"/>
                <w:sz w:val="21"/>
                <w:szCs w:val="21"/>
              </w:rPr>
              <w:t xml:space="preserve">The LMS is built as a Progressive Web App with a service worker that caches lessons locally. Learners download content when they have connectivity, then study offline. The LMS syncs assignments and progress automatically when the learner reconnects. Designed to function on 2G connections at minimum.</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40"/>
              <w:left w:type="dxa" w:w="200"/>
              <w:bottom w:type="dxa" w:w="120"/>
              <w:right w:type="dxa" w:w="140"/>
            </w:tcMar>
          </w:tcPr>
          <w:p>
            <w:pPr>
              <w:spacing w:after="30" w:before="0"/>
            </w:pPr>
            <w:r>
              <w:rPr>
                <w:rFonts w:ascii="Arial" w:cs="Arial" w:eastAsia="Arial" w:hAnsi="Arial"/>
                <w:b/>
                <w:bCs/>
                <w:color w:val="1B4F8A"/>
                <w:sz w:val="22"/>
                <w:szCs w:val="22"/>
              </w:rPr>
              <w:t xml:space="preserve">Video compression</w:t>
            </w:r>
          </w:p>
          <w:p>
            <w:pPr>
              <w:spacing w:after="60" w:before="0"/>
            </w:pPr>
            <w:r>
              <w:rPr>
                <w:rFonts w:ascii="Arial" w:cs="Arial" w:eastAsia="Arial" w:hAnsi="Arial"/>
                <w:i/>
                <w:iCs/>
                <w:color w:val="5A6A7A"/>
                <w:sz w:val="18"/>
                <w:szCs w:val="18"/>
              </w:rPr>
              <w:t xml:space="preserve">Adaptive bitrate schooling</w:t>
            </w:r>
          </w:p>
          <w:p>
            <w:pPr>
              <w:spacing w:after="0" w:before="0"/>
            </w:pPr>
            <w:r>
              <w:rPr>
                <w:rFonts w:ascii="Arial" w:cs="Arial" w:eastAsia="Arial" w:hAnsi="Arial"/>
                <w:color w:val="0B0C10"/>
                <w:sz w:val="21"/>
                <w:szCs w:val="21"/>
              </w:rPr>
              <w:t xml:space="preserve">All video content uses adaptive bitrate schooling. Mobile users default to 360p; the player only requests higher quality on stable Wi-Fi. Every video has a transcript for text-based study. Audio-only mode lets learners study during commutes when video data costs are prohibitive.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40"/>
              <w:left w:type="dxa" w:w="200"/>
              <w:bottom w:type="dxa" w:w="120"/>
              <w:right w:type="dxa" w:w="140"/>
            </w:tcMar>
          </w:tcPr>
          <w:p>
            <w:pPr>
              <w:spacing w:after="30" w:before="0"/>
            </w:pPr>
            <w:r>
              <w:rPr>
                <w:rFonts w:ascii="Arial" w:cs="Arial" w:eastAsia="Arial" w:hAnsi="Arial"/>
                <w:b/>
                <w:bCs/>
                <w:color w:val="854F0B"/>
                <w:sz w:val="22"/>
                <w:szCs w:val="22"/>
              </w:rPr>
              <w:t xml:space="preserve">WhatsApp integration</w:t>
            </w:r>
          </w:p>
          <w:p>
            <w:pPr>
              <w:spacing w:after="60" w:before="0"/>
            </w:pPr>
            <w:r>
              <w:rPr>
                <w:rFonts w:ascii="Arial" w:cs="Arial" w:eastAsia="Arial" w:hAnsi="Arial"/>
                <w:i/>
                <w:iCs/>
                <w:color w:val="5A6A7A"/>
                <w:sz w:val="18"/>
                <w:szCs w:val="18"/>
              </w:rPr>
              <w:t xml:space="preserve">Reaching the data-poor learner</w:t>
            </w:r>
          </w:p>
          <w:p>
            <w:pPr>
              <w:spacing w:after="0" w:before="0"/>
            </w:pPr>
            <w:r>
              <w:rPr>
                <w:rFonts w:ascii="Arial" w:cs="Arial" w:eastAsia="Arial" w:hAnsi="Arial"/>
                <w:color w:val="0B0C10"/>
                <w:sz w:val="21"/>
                <w:szCs w:val="21"/>
              </w:rPr>
              <w:t xml:space="preserve">A custom WhatsApp bot lets learners submit assignments, take quizzes, ask the AI tutor questions, and receive facilitator notifications via WhatsApp. For learners whose data plans only cover WhatsApp (the majority of low-income SA users), this is the difference between participation and exclusion.</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5 — Facilitator Pipeline</w:t>
      </w:r>
    </w:p>
    <w:p>
      <w:pPr>
        <w:spacing w:after="140" w:before="0"/>
        <w:jc w:val="left"/>
      </w:pPr>
      <w:r>
        <w:rPr>
          <w:rFonts w:ascii="Arial" w:cs="Arial" w:eastAsia="Arial" w:hAnsi="Arial"/>
          <w:b w:val="false"/>
          <w:bCs w:val="false"/>
          <w:i w:val="false"/>
          <w:iCs w:val="false"/>
          <w:color w:val="000000"/>
          <w:sz w:val="22"/>
          <w:szCs w:val="22"/>
        </w:rPr>
        <w:t xml:space="preserve">The quality of an academy is the quality of its facilitators. Ginashe Academy operates a four-level facilitator competency framework — sourcing, training, and progressing facilitators systematically.</w:t>
      </w:r>
    </w:p>
    <w:p>
      <w:pPr>
        <w:pStyle w:val="Heading2"/>
        <w:spacing w:after="100" w:before="240"/>
      </w:pPr>
      <w:r>
        <w:rPr>
          <w:rFonts w:ascii="Arial" w:cs="Arial" w:eastAsia="Arial" w:hAnsi="Arial"/>
          <w:b/>
          <w:bCs/>
          <w:color w:val="0F6E56"/>
          <w:sz w:val="24"/>
          <w:szCs w:val="24"/>
        </w:rPr>
        <w:t xml:space="preserve">Four-level competency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Entry</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Level 1 — Subject Matter Expert</w:t>
            </w:r>
          </w:p>
          <w:p>
            <w:pPr>
              <w:spacing w:after="0" w:before="0"/>
            </w:pPr>
            <w:r>
              <w:rPr>
                <w:rFonts w:ascii="Arial" w:cs="Arial" w:eastAsia="Arial" w:hAnsi="Arial"/>
                <w:color w:val="5A6A7A"/>
                <w:sz w:val="20"/>
                <w:szCs w:val="20"/>
              </w:rPr>
              <w:t xml:space="preserve">Industry professional with 3+ years of practical experience. Assessed through portfolio review. Recognised Prior Learning pathway. Paid per session — typically R600 to R1,200 per session for senior practitioners.</w:t>
            </w:r>
          </w:p>
        </w:tc>
      </w:tr>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After 4 weeks</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Level 2 — Registered Facilitator</w:t>
            </w:r>
          </w:p>
          <w:p>
            <w:pPr>
              <w:spacing w:after="0" w:before="0"/>
            </w:pPr>
            <w:r>
              <w:rPr>
                <w:rFonts w:ascii="Arial" w:cs="Arial" w:eastAsia="Arial" w:hAnsi="Arial"/>
                <w:color w:val="5A6A7A"/>
                <w:sz w:val="20"/>
                <w:szCs w:val="20"/>
              </w:rPr>
              <w:t xml:space="preserve">Completes the Ginashe Facilitator Foundations programme (4 weeks). Achieves ETDP SETA unit standard 117871 (Facilitate Learning). Assigned to cohorts as primary facilitator. Available part-time or full-time.</w:t>
            </w:r>
          </w:p>
        </w:tc>
      </w:tr>
      <w:tr>
        <w:tc>
          <w:tcPr>
            <w:tcW w:type="dxa" w:w="1100"/>
            <w:tcBorders>
              <w:top w:val="single" w:color="FFFFFF" w:sz="4"/>
              <w:left w:val="single" w:color="FFFFFF" w:sz="4"/>
              <w:bottom w:val="single" w:color="FFFFFF" w:sz="4"/>
              <w:right w:val="single" w:color="1B4F8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1B4F8A"/>
                <w:sz w:val="17"/>
                <w:szCs w:val="17"/>
              </w:rPr>
              <w:t xml:space="preserve">After 12 months</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Level 3 — Master Facilitator</w:t>
            </w:r>
          </w:p>
          <w:p>
            <w:pPr>
              <w:spacing w:after="0" w:before="0"/>
            </w:pPr>
            <w:r>
              <w:rPr>
                <w:rFonts w:ascii="Arial" w:cs="Arial" w:eastAsia="Arial" w:hAnsi="Arial"/>
                <w:color w:val="5A6A7A"/>
                <w:sz w:val="20"/>
                <w:szCs w:val="20"/>
              </w:rPr>
              <w:t xml:space="preserve">Mentors Level 1 and Level 2 facilitators. Designs new course modules. Contributes to SETA evidence packs. Higher session rate plus benefits package. Eligible for stream-level decision-making roles.</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After 2+ years</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Level 4 — Stream Lead</w:t>
            </w:r>
          </w:p>
          <w:p>
            <w:pPr>
              <w:spacing w:after="0" w:before="0"/>
            </w:pPr>
            <w:r>
              <w:rPr>
                <w:rFonts w:ascii="Arial" w:cs="Arial" w:eastAsia="Arial" w:hAnsi="Arial"/>
                <w:color w:val="5A6A7A"/>
                <w:sz w:val="20"/>
                <w:szCs w:val="20"/>
              </w:rPr>
              <w:t xml:space="preserve">Owns curriculum quality for an entire stream. Manages academic partnerships. Carries P&amp;L responsibility for stream revenue. Reports to the Academic Director. Typically a small number of these roles per stream (1–2).</w:t>
            </w:r>
          </w:p>
        </w:tc>
      </w:tr>
    </w:tbl>
    <w:p>
      <w:pPr>
        <w:spacing w:after="240" w:before="0"/>
      </w:pPr>
    </w:p>
    <w:p>
      <w:pPr>
        <w:pStyle w:val="Heading2"/>
        <w:spacing w:after="100" w:before="240"/>
      </w:pPr>
      <w:r>
        <w:rPr>
          <w:rFonts w:ascii="Arial" w:cs="Arial" w:eastAsia="Arial" w:hAnsi="Arial"/>
          <w:b/>
          <w:bCs/>
          <w:color w:val="0F6E56"/>
          <w:sz w:val="24"/>
          <w:szCs w:val="24"/>
        </w:rPr>
        <w:t xml:space="preserve">Facilitator Foundations programme — 4 weeks</w:t>
      </w:r>
    </w:p>
    <w:p>
      <w:pPr>
        <w:spacing w:after="120" w:before="0"/>
        <w:jc w:val="left"/>
      </w:pPr>
      <w:r>
        <w:rPr>
          <w:rFonts w:ascii="Arial" w:cs="Arial" w:eastAsia="Arial" w:hAnsi="Arial"/>
          <w:b w:val="false"/>
          <w:bCs w:val="false"/>
          <w:i w:val="false"/>
          <w:iCs w:val="false"/>
          <w:color w:val="000000"/>
          <w:sz w:val="22"/>
          <w:szCs w:val="22"/>
        </w:rPr>
        <w:t xml:space="preserve">Every Ginashe Academy facilitator completes the Foundations programme. It is not optional. Industry expertise alone does not equal teaching capability — adults learn differently, classrooms have dynamics, assessments have rigour, and SETA paperwork has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Week 1 — Adult Learning Theory</w:t>
            </w:r>
          </w:p>
          <w:p>
            <w:pPr>
              <w:spacing w:after="60" w:before="0"/>
            </w:pPr>
            <w:r>
              <w:rPr>
                <w:rFonts w:ascii="Arial" w:cs="Arial" w:eastAsia="Arial" w:hAnsi="Arial"/>
                <w:i/>
                <w:iCs/>
                <w:color w:val="5A6A7A"/>
                <w:sz w:val="18"/>
                <w:szCs w:val="18"/>
              </w:rPr>
              <w:t xml:space="preserve">How adults learn differently from children</w:t>
            </w:r>
          </w:p>
          <w:p>
            <w:pPr>
              <w:spacing w:after="0" w:before="0"/>
            </w:pPr>
            <w:r>
              <w:rPr>
                <w:rFonts w:ascii="Arial" w:cs="Arial" w:eastAsia="Arial" w:hAnsi="Arial"/>
                <w:color w:val="0B0C10"/>
                <w:sz w:val="21"/>
                <w:szCs w:val="21"/>
              </w:rPr>
              <w:t xml:space="preserve">Andragogy versus pedagogy. Active learning principles. The South African adult literacy context. How to assess incoming learners' actual level (which often differs from their formal qualifications). Why "learning by doing" beats "learning by listening" for working-age adults.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40"/>
              <w:left w:type="dxa" w:w="200"/>
              <w:bottom w:type="dxa" w:w="120"/>
              <w:right w:type="dxa" w:w="140"/>
            </w:tcMar>
          </w:tcPr>
          <w:p>
            <w:pPr>
              <w:spacing w:after="30" w:before="0"/>
            </w:pPr>
            <w:r>
              <w:rPr>
                <w:rFonts w:ascii="Arial" w:cs="Arial" w:eastAsia="Arial" w:hAnsi="Arial"/>
                <w:b/>
                <w:bCs/>
                <w:color w:val="1B4F8A"/>
                <w:sz w:val="22"/>
                <w:szCs w:val="22"/>
              </w:rPr>
              <w:t xml:space="preserve">Week 2 — Lesson Design</w:t>
            </w:r>
          </w:p>
          <w:p>
            <w:pPr>
              <w:spacing w:after="60" w:before="0"/>
            </w:pPr>
            <w:r>
              <w:rPr>
                <w:rFonts w:ascii="Arial" w:cs="Arial" w:eastAsia="Arial" w:hAnsi="Arial"/>
                <w:i/>
                <w:iCs/>
                <w:color w:val="5A6A7A"/>
                <w:sz w:val="18"/>
                <w:szCs w:val="18"/>
              </w:rPr>
              <w:t xml:space="preserve">From course brief to deliverable lesson</w:t>
            </w:r>
          </w:p>
          <w:p>
            <w:pPr>
              <w:spacing w:after="0" w:before="0"/>
            </w:pPr>
            <w:r>
              <w:rPr>
                <w:rFonts w:ascii="Arial" w:cs="Arial" w:eastAsia="Arial" w:hAnsi="Arial"/>
                <w:color w:val="0B0C10"/>
                <w:sz w:val="21"/>
                <w:szCs w:val="21"/>
              </w:rPr>
              <w:t xml:space="preserve">Backwards design — start with the assessment, work backwards to the lesson plan. Lesson plan templates aligned to Ginashe LMS structure. SA-specific examples in every lesson. Assessment design — formative versus summative. LMS content creation hands-on workshop.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40"/>
              <w:left w:type="dxa" w:w="200"/>
              <w:bottom w:type="dxa" w:w="120"/>
              <w:right w:type="dxa" w:w="140"/>
            </w:tcMar>
          </w:tcPr>
          <w:p>
            <w:pPr>
              <w:spacing w:after="30" w:before="0"/>
            </w:pPr>
            <w:r>
              <w:rPr>
                <w:rFonts w:ascii="Arial" w:cs="Arial" w:eastAsia="Arial" w:hAnsi="Arial"/>
                <w:b/>
                <w:bCs/>
                <w:color w:val="854F0B"/>
                <w:sz w:val="22"/>
                <w:szCs w:val="22"/>
              </w:rPr>
              <w:t xml:space="preserve">Week 3 — Facilitation Skills</w:t>
            </w:r>
          </w:p>
          <w:p>
            <w:pPr>
              <w:spacing w:after="60" w:before="0"/>
            </w:pPr>
            <w:r>
              <w:rPr>
                <w:rFonts w:ascii="Arial" w:cs="Arial" w:eastAsia="Arial" w:hAnsi="Arial"/>
                <w:i/>
                <w:iCs/>
                <w:color w:val="5A6A7A"/>
                <w:sz w:val="18"/>
                <w:szCs w:val="18"/>
              </w:rPr>
              <w:t xml:space="preserve">Running a real classroom or video session</w:t>
            </w:r>
          </w:p>
          <w:p>
            <w:pPr>
              <w:spacing w:after="0" w:before="0"/>
            </w:pPr>
            <w:r>
              <w:rPr>
                <w:rFonts w:ascii="Arial" w:cs="Arial" w:eastAsia="Arial" w:hAnsi="Arial"/>
                <w:color w:val="0B0C10"/>
                <w:sz w:val="21"/>
                <w:szCs w:val="21"/>
              </w:rPr>
              <w:t xml:space="preserve">Managing diverse cohorts (different ages, backgrounds, prior knowledge). Asking questions versus telling answers. Microphone presence and screen discipline for video. Handling conflict, disruption, and emotional moments in the classroom. Learner support and wellbeing.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40"/>
              <w:left w:type="dxa" w:w="200"/>
              <w:bottom w:type="dxa" w:w="120"/>
              <w:right w:type="dxa" w:w="140"/>
            </w:tcMar>
          </w:tcPr>
          <w:p>
            <w:pPr>
              <w:spacing w:after="30" w:before="0"/>
            </w:pPr>
            <w:r>
              <w:rPr>
                <w:rFonts w:ascii="Arial" w:cs="Arial" w:eastAsia="Arial" w:hAnsi="Arial"/>
                <w:b/>
                <w:bCs/>
                <w:color w:val="3C3489"/>
                <w:sz w:val="22"/>
                <w:szCs w:val="22"/>
              </w:rPr>
              <w:t xml:space="preserve">Week 4 — Assessment &amp; SETA</w:t>
            </w:r>
          </w:p>
          <w:p>
            <w:pPr>
              <w:spacing w:after="60" w:before="0"/>
            </w:pPr>
            <w:r>
              <w:rPr>
                <w:rFonts w:ascii="Arial" w:cs="Arial" w:eastAsia="Arial" w:hAnsi="Arial"/>
                <w:i/>
                <w:iCs/>
                <w:color w:val="5A6A7A"/>
                <w:sz w:val="18"/>
                <w:szCs w:val="18"/>
              </w:rPr>
              <w:t xml:space="preserve">The paperwork that protects the qualification</w:t>
            </w:r>
          </w:p>
          <w:p>
            <w:pPr>
              <w:spacing w:after="0" w:before="0"/>
            </w:pPr>
            <w:r>
              <w:rPr>
                <w:rFonts w:ascii="Arial" w:cs="Arial" w:eastAsia="Arial" w:hAnsi="Arial"/>
                <w:color w:val="0B0C10"/>
                <w:sz w:val="21"/>
                <w:szCs w:val="21"/>
              </w:rPr>
              <w:t xml:space="preserve">Formative versus summative assessment in detail. Portfolio of Evidence (PoE) requirements per SETA. Marking guides and moderation. SETA forms and reporting deadlines. Academic integrity. Learner appeals process. The non-negotiable compliance basics.</w:t>
            </w:r>
          </w:p>
        </w:tc>
      </w:tr>
    </w:tbl>
    <w:p>
      <w:pPr>
        <w:spacing w:after="240" w:before="0"/>
      </w:pPr>
    </w:p>
    <w:p>
      <w:pPr>
        <w:pStyle w:val="Heading2"/>
        <w:spacing w:after="100" w:before="240"/>
      </w:pPr>
      <w:r>
        <w:rPr>
          <w:rFonts w:ascii="Arial" w:cs="Arial" w:eastAsia="Arial" w:hAnsi="Arial"/>
          <w:b/>
          <w:bCs/>
          <w:color w:val="0F6E56"/>
          <w:sz w:val="24"/>
          <w:szCs w:val="24"/>
        </w:rPr>
        <w:t xml:space="preserve">Where facilitators come from — sourcing strategy</w:t>
      </w:r>
    </w:p>
    <w:p>
      <w:pPr>
        <w:pStyle w:val="ListParagraph"/>
        <w:numPr>
          <w:ilvl w:val="0"/>
          <w:numId w:val="2"/>
        </w:numPr>
        <w:spacing w:after="60" w:before="0"/>
      </w:pPr>
      <w:r>
        <w:rPr>
          <w:rFonts w:ascii="Arial" w:cs="Arial" w:eastAsia="Arial" w:hAnsi="Arial"/>
          <w:color w:val="000000"/>
          <w:sz w:val="22"/>
          <w:szCs w:val="22"/>
        </w:rPr>
        <w:t xml:space="preserve">Alumni-to-facilitator — top graduates from each cohort are invited into the facilitator track 12 months after graduation, once they have employment experience. This creates a self-reinforcing pipeline of practitioners who already know the Ginashe method.</w:t>
      </w:r>
    </w:p>
    <w:p>
      <w:pPr>
        <w:pStyle w:val="ListParagraph"/>
        <w:numPr>
          <w:ilvl w:val="0"/>
          <w:numId w:val="2"/>
        </w:numPr>
        <w:spacing w:after="60" w:before="0"/>
      </w:pPr>
      <w:r>
        <w:rPr>
          <w:rFonts w:ascii="Arial" w:cs="Arial" w:eastAsia="Arial" w:hAnsi="Arial"/>
          <w:color w:val="000000"/>
          <w:sz w:val="22"/>
          <w:szCs w:val="22"/>
        </w:rPr>
        <w:t xml:space="preserve">Industry practitioners — part-time facilitation by working professionals. Cloud engineers, nurses, electricians, farmers. Authentic industry experience in every classroom. The biggest advantage Ginashe has over traditional academic institutions.</w:t>
      </w:r>
    </w:p>
    <w:p>
      <w:pPr>
        <w:pStyle w:val="ListParagraph"/>
        <w:numPr>
          <w:ilvl w:val="0"/>
          <w:numId w:val="2"/>
        </w:numPr>
        <w:spacing w:after="60" w:before="0"/>
      </w:pPr>
      <w:r>
        <w:rPr>
          <w:rFonts w:ascii="Arial" w:cs="Arial" w:eastAsia="Arial" w:hAnsi="Arial"/>
          <w:color w:val="000000"/>
          <w:sz w:val="22"/>
          <w:szCs w:val="22"/>
        </w:rPr>
        <w:t xml:space="preserve">University partnership — final-year and postgraduate students from Wits, UCT, UJ, and Tshwane do supervised facilitation as part of their community engagement credits. Lower cost to the Academy and meaningful experience for the students.</w:t>
      </w:r>
    </w:p>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6 — Revenue Model</w:t>
      </w:r>
    </w:p>
    <w:p>
      <w:pPr>
        <w:spacing w:after="140" w:before="0"/>
        <w:jc w:val="left"/>
      </w:pPr>
      <w:r>
        <w:rPr>
          <w:rFonts w:ascii="Arial" w:cs="Arial" w:eastAsia="Arial" w:hAnsi="Arial"/>
          <w:b w:val="false"/>
          <w:bCs w:val="false"/>
          <w:i w:val="false"/>
          <w:iCs w:val="false"/>
          <w:color w:val="000000"/>
          <w:sz w:val="22"/>
          <w:szCs w:val="22"/>
        </w:rPr>
        <w:t xml:space="preserve">Ginashe Academy operates as Ginashe Academy (Pty) Ltd. The revenue model below targets approximately R45 million per year by Year 3, scaling to R120 million by Year 5 with continental expansion. While the current Pty Ltd structure provides commercial flexibility, future conversion to or sister-company creation as a Non-Profit Company (NPC) may be considered when SETA grant and donor revenue justifies it — see Phase 4 for full detail.</w:t>
      </w:r>
    </w:p>
    <w:p>
      <w:pPr>
        <w:pStyle w:val="Heading2"/>
        <w:spacing w:after="100" w:before="240"/>
      </w:pPr>
      <w:r>
        <w:rPr>
          <w:rFonts w:ascii="Arial" w:cs="Arial" w:eastAsia="Arial" w:hAnsi="Arial"/>
          <w:b/>
          <w:bCs/>
          <w:color w:val="0F6E56"/>
          <w:sz w:val="24"/>
          <w:szCs w:val="24"/>
        </w:rPr>
        <w:t xml:space="preserve">Six revenue streams — target split at Year 3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r>
              <w:rPr>
                <w:rFonts w:ascii="Arial" w:cs="Arial" w:eastAsia="Arial" w:hAnsi="Arial"/>
                <w:b/>
                <w:bCs/>
                <w:color w:val="0B0C10"/>
                <w:sz w:val="19"/>
                <w:szCs w:val="19"/>
              </w:rPr>
              <w:t xml:space="preserve">SETA grants</w:t>
            </w:r>
          </w:p>
        </w:tc>
        <w:tc>
          <w:tcPr>
            <w:tcW w:type="dxa" w:w="4760"/>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vAlign w:val="center"/>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1523"/>
              <w:gridCol w:w="3237"/>
            </w:tblGrid>
            <w:tr>
              <w:tc>
                <w:tcPr>
                  <w:tcW w:type="dxa" w:w="1523"/>
                  <w:tcBorders>
                    <w:top w:val="single" w:color="0F6E56" w:sz="4"/>
                    <w:left w:val="single" w:color="0F6E56" w:sz="4"/>
                    <w:bottom w:val="single" w:color="0F6E56" w:sz="4"/>
                    <w:right w:val="single" w:color="0F6E56" w:sz="4"/>
                  </w:tcBorders>
                  <w:shd w:fill="0F6E56" w:val="clear"/>
                  <w:tcMar>
                    <w:top w:type="dxa" w:w="60"/>
                    <w:left w:type="dxa" w:w="80"/>
                    <w:bottom w:type="dxa" w:w="60"/>
                    <w:right w:type="dxa" w:w="60"/>
                  </w:tcMar>
                  <w:vAlign w:val="center"/>
                </w:tcPr>
                <w:p>
                  <w:pPr>
                    <w:jc w:val="left"/>
                  </w:pPr>
                  <w:r>
                    <w:rPr>
                      <w:rFonts w:ascii="Arial Black" w:cs="Arial Black" w:eastAsia="Arial Black" w:hAnsi="Arial Black"/>
                      <w:b/>
                      <w:bCs/>
                      <w:color w:val="FFFFFF"/>
                      <w:sz w:val="16"/>
                      <w:szCs w:val="16"/>
                    </w:rPr>
                    <w:t xml:space="preserve">32%</w:t>
                  </w:r>
                </w:p>
              </w:tc>
              <w:tc>
                <w:tcPr>
                  <w:tcW w:type="dxa" w:w="3237"/>
                  <w:tcBorders>
                    <w:top w:val="single" w:color="C8D4E0" w:sz="4"/>
                    <w:left w:val="single" w:color="0F6E56" w:sz="4"/>
                    <w:bottom w:val="single" w:color="C8D4E0" w:sz="4"/>
                    <w:right w:val="single" w:color="C8D4E0" w:sz="4"/>
                  </w:tcBorders>
                  <w:shd w:fill="F4F7FB" w:val="clear"/>
                  <w:tcMar>
                    <w:top w:type="dxa" w:w="60"/>
                    <w:left w:type="dxa" w:w="80"/>
                    <w:bottom w:type="dxa" w:w="60"/>
                    <w:right w:type="dxa" w:w="60"/>
                  </w:tcMar>
                </w:tcPr>
                <w:p>
                  <w:r>
                    <w:rPr>
                      <w:sz w:val="14"/>
                      <w:szCs w:val="14"/>
                    </w:rPr>
                    <w:t xml:space="preserve"/>
                  </w:r>
                </w:p>
              </w:tc>
            </w:tr>
          </w:tbl>
          <w:p/>
        </w:tc>
        <w:tc>
          <w:tcPr>
            <w:tcW w:type="dxa" w:w="2000"/>
            <w:tcBorders>
              <w:top w:val="single" w:color="C8D4E0" w:sz="4"/>
              <w:left w:val="single" w:color="C8D4E0" w:sz="4"/>
              <w:bottom w:val="single" w:color="C8D4E0" w:sz="4"/>
              <w:right w:val="single" w:color="C8D4E0" w:sz="4"/>
            </w:tcBorders>
            <w:shd w:fill="F4F7FB" w:val="clear"/>
            <w:tcMar>
              <w:top w:type="dxa" w:w="80"/>
              <w:left w:type="dxa" w:w="80"/>
              <w:bottom w:type="dxa" w:w="80"/>
              <w:right w:type="dxa" w:w="120"/>
            </w:tcMar>
            <w:vAlign w:val="center"/>
          </w:tcPr>
          <w:p>
            <w:pPr>
              <w:jc w:val="right"/>
            </w:pPr>
            <w:r>
              <w:rPr>
                <w:rFonts w:ascii="Arial" w:cs="Arial" w:eastAsia="Arial" w:hAnsi="Arial"/>
                <w:b/>
                <w:bCs/>
                <w:color w:val="0F6E56"/>
                <w:sz w:val="19"/>
                <w:szCs w:val="19"/>
              </w:rPr>
              <w:t xml:space="preserve">~R14.4M</w:t>
            </w:r>
          </w:p>
        </w:tc>
      </w:tr>
      <w:tr>
        <w:tc>
          <w:tcPr>
            <w:tcW w:type="dxa" w:w="26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vAlign w:val="center"/>
          </w:tcPr>
          <w:p>
            <w:r>
              <w:rPr>
                <w:rFonts w:ascii="Arial" w:cs="Arial" w:eastAsia="Arial" w:hAnsi="Arial"/>
                <w:b/>
                <w:bCs/>
                <w:color w:val="0B0C10"/>
                <w:sz w:val="19"/>
                <w:szCs w:val="19"/>
              </w:rPr>
              <w:t xml:space="preserve">Corporate B-BBEE</w:t>
            </w:r>
          </w:p>
        </w:tc>
        <w:tc>
          <w:tcPr>
            <w:tcW w:type="dxa" w:w="4760"/>
            <w:tcBorders>
              <w:top w:val="single" w:color="C8D4E0" w:sz="4"/>
              <w:left w:val="single" w:color="C8D4E0" w:sz="4"/>
              <w:bottom w:val="single" w:color="C8D4E0" w:sz="4"/>
              <w:right w:val="single" w:color="C8D4E0" w:sz="4"/>
            </w:tcBorders>
            <w:shd w:fill="FFFFFF" w:val="clear"/>
            <w:tcMar>
              <w:top w:type="dxa" w:w="60"/>
              <w:left w:type="dxa" w:w="80"/>
              <w:bottom w:type="dxa" w:w="60"/>
              <w:right w:type="dxa" w:w="80"/>
            </w:tcMar>
            <w:vAlign w:val="center"/>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1238"/>
              <w:gridCol w:w="3522"/>
            </w:tblGrid>
            <w:tr>
              <w:tc>
                <w:tcPr>
                  <w:tcW w:type="dxa" w:w="1238"/>
                  <w:tcBorders>
                    <w:top w:val="single" w:color="1B4F8A" w:sz="4"/>
                    <w:left w:val="single" w:color="1B4F8A" w:sz="4"/>
                    <w:bottom w:val="single" w:color="1B4F8A" w:sz="4"/>
                    <w:right w:val="single" w:color="1B4F8A" w:sz="4"/>
                  </w:tcBorders>
                  <w:shd w:fill="1B4F8A" w:val="clear"/>
                  <w:tcMar>
                    <w:top w:type="dxa" w:w="60"/>
                    <w:left w:type="dxa" w:w="80"/>
                    <w:bottom w:type="dxa" w:w="60"/>
                    <w:right w:type="dxa" w:w="60"/>
                  </w:tcMar>
                  <w:vAlign w:val="center"/>
                </w:tcPr>
                <w:p>
                  <w:pPr>
                    <w:jc w:val="left"/>
                  </w:pPr>
                  <w:r>
                    <w:rPr>
                      <w:rFonts w:ascii="Arial Black" w:cs="Arial Black" w:eastAsia="Arial Black" w:hAnsi="Arial Black"/>
                      <w:b/>
                      <w:bCs/>
                      <w:color w:val="FFFFFF"/>
                      <w:sz w:val="16"/>
                      <w:szCs w:val="16"/>
                    </w:rPr>
                    <w:t xml:space="preserve">26%</w:t>
                  </w:r>
                </w:p>
              </w:tc>
              <w:tc>
                <w:tcPr>
                  <w:tcW w:type="dxa" w:w="3522"/>
                  <w:tcBorders>
                    <w:top w:val="single" w:color="C8D4E0" w:sz="4"/>
                    <w:left w:val="single" w:color="1B4F8A" w:sz="4"/>
                    <w:bottom w:val="single" w:color="C8D4E0" w:sz="4"/>
                    <w:right w:val="single" w:color="C8D4E0" w:sz="4"/>
                  </w:tcBorders>
                  <w:shd w:fill="FFFFFF" w:val="clear"/>
                  <w:tcMar>
                    <w:top w:type="dxa" w:w="60"/>
                    <w:left w:type="dxa" w:w="80"/>
                    <w:bottom w:type="dxa" w:w="60"/>
                    <w:right w:type="dxa" w:w="60"/>
                  </w:tcMar>
                </w:tcPr>
                <w:p>
                  <w:r>
                    <w:rPr>
                      <w:sz w:val="14"/>
                      <w:szCs w:val="14"/>
                    </w:rPr>
                    <w:t xml:space="preserve"/>
                  </w:r>
                </w:p>
              </w:tc>
            </w:tr>
          </w:tbl>
          <w:p/>
        </w:tc>
        <w:tc>
          <w:tcPr>
            <w:tcW w:type="dxa" w:w="2000"/>
            <w:tcBorders>
              <w:top w:val="single" w:color="C8D4E0" w:sz="4"/>
              <w:left w:val="single" w:color="C8D4E0" w:sz="4"/>
              <w:bottom w:val="single" w:color="C8D4E0" w:sz="4"/>
              <w:right w:val="single" w:color="C8D4E0" w:sz="4"/>
            </w:tcBorders>
            <w:shd w:fill="FFFFFF" w:val="clear"/>
            <w:tcMar>
              <w:top w:type="dxa" w:w="80"/>
              <w:left w:type="dxa" w:w="80"/>
              <w:bottom w:type="dxa" w:w="80"/>
              <w:right w:type="dxa" w:w="120"/>
            </w:tcMar>
            <w:vAlign w:val="center"/>
          </w:tcPr>
          <w:p>
            <w:pPr>
              <w:jc w:val="right"/>
            </w:pPr>
            <w:r>
              <w:rPr>
                <w:rFonts w:ascii="Arial" w:cs="Arial" w:eastAsia="Arial" w:hAnsi="Arial"/>
                <w:b/>
                <w:bCs/>
                <w:color w:val="1B4F8A"/>
                <w:sz w:val="19"/>
                <w:szCs w:val="19"/>
              </w:rPr>
              <w:t xml:space="preserve">~R11.7M</w:t>
            </w:r>
          </w:p>
        </w:tc>
      </w:tr>
      <w:tr>
        <w:tc>
          <w:tcPr>
            <w:tcW w:type="dxa" w:w="26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r>
              <w:rPr>
                <w:rFonts w:ascii="Arial" w:cs="Arial" w:eastAsia="Arial" w:hAnsi="Arial"/>
                <w:b/>
                <w:bCs/>
                <w:color w:val="0B0C10"/>
                <w:sz w:val="19"/>
                <w:szCs w:val="19"/>
              </w:rPr>
              <w:t xml:space="preserve">Learner fees</w:t>
            </w:r>
          </w:p>
        </w:tc>
        <w:tc>
          <w:tcPr>
            <w:tcW w:type="dxa" w:w="4760"/>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vAlign w:val="center"/>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857"/>
              <w:gridCol w:w="3903"/>
            </w:tblGrid>
            <w:tr>
              <w:tc>
                <w:tcPr>
                  <w:tcW w:type="dxa" w:w="857"/>
                  <w:tcBorders>
                    <w:top w:val="single" w:color="854F0B" w:sz="4"/>
                    <w:left w:val="single" w:color="854F0B" w:sz="4"/>
                    <w:bottom w:val="single" w:color="854F0B" w:sz="4"/>
                    <w:right w:val="single" w:color="854F0B" w:sz="4"/>
                  </w:tcBorders>
                  <w:shd w:fill="854F0B" w:val="clear"/>
                  <w:tcMar>
                    <w:top w:type="dxa" w:w="60"/>
                    <w:left w:type="dxa" w:w="80"/>
                    <w:bottom w:type="dxa" w:w="60"/>
                    <w:right w:type="dxa" w:w="60"/>
                  </w:tcMar>
                  <w:vAlign w:val="center"/>
                </w:tcPr>
                <w:p>
                  <w:pPr>
                    <w:jc w:val="left"/>
                  </w:pPr>
                  <w:r>
                    <w:rPr>
                      <w:rFonts w:ascii="Arial Black" w:cs="Arial Black" w:eastAsia="Arial Black" w:hAnsi="Arial Black"/>
                      <w:b/>
                      <w:bCs/>
                      <w:color w:val="FFFFFF"/>
                      <w:sz w:val="16"/>
                      <w:szCs w:val="16"/>
                    </w:rPr>
                    <w:t xml:space="preserve">18%</w:t>
                  </w:r>
                </w:p>
              </w:tc>
              <w:tc>
                <w:tcPr>
                  <w:tcW w:type="dxa" w:w="3903"/>
                  <w:tcBorders>
                    <w:top w:val="single" w:color="C8D4E0" w:sz="4"/>
                    <w:left w:val="single" w:color="854F0B" w:sz="4"/>
                    <w:bottom w:val="single" w:color="C8D4E0" w:sz="4"/>
                    <w:right w:val="single" w:color="C8D4E0" w:sz="4"/>
                  </w:tcBorders>
                  <w:shd w:fill="F4F7FB" w:val="clear"/>
                  <w:tcMar>
                    <w:top w:type="dxa" w:w="60"/>
                    <w:left w:type="dxa" w:w="80"/>
                    <w:bottom w:type="dxa" w:w="60"/>
                    <w:right w:type="dxa" w:w="60"/>
                  </w:tcMar>
                </w:tcPr>
                <w:p>
                  <w:r>
                    <w:rPr>
                      <w:sz w:val="14"/>
                      <w:szCs w:val="14"/>
                    </w:rPr>
                    <w:t xml:space="preserve"/>
                  </w:r>
                </w:p>
              </w:tc>
            </w:tr>
          </w:tbl>
          <w:p/>
        </w:tc>
        <w:tc>
          <w:tcPr>
            <w:tcW w:type="dxa" w:w="2000"/>
            <w:tcBorders>
              <w:top w:val="single" w:color="C8D4E0" w:sz="4"/>
              <w:left w:val="single" w:color="C8D4E0" w:sz="4"/>
              <w:bottom w:val="single" w:color="C8D4E0" w:sz="4"/>
              <w:right w:val="single" w:color="C8D4E0" w:sz="4"/>
            </w:tcBorders>
            <w:shd w:fill="F4F7FB" w:val="clear"/>
            <w:tcMar>
              <w:top w:type="dxa" w:w="80"/>
              <w:left w:type="dxa" w:w="80"/>
              <w:bottom w:type="dxa" w:w="80"/>
              <w:right w:type="dxa" w:w="120"/>
            </w:tcMar>
            <w:vAlign w:val="center"/>
          </w:tcPr>
          <w:p>
            <w:pPr>
              <w:jc w:val="right"/>
            </w:pPr>
            <w:r>
              <w:rPr>
                <w:rFonts w:ascii="Arial" w:cs="Arial" w:eastAsia="Arial" w:hAnsi="Arial"/>
                <w:b/>
                <w:bCs/>
                <w:color w:val="854F0B"/>
                <w:sz w:val="19"/>
                <w:szCs w:val="19"/>
              </w:rPr>
              <w:t xml:space="preserve">~R8.1M</w:t>
            </w:r>
          </w:p>
        </w:tc>
      </w:tr>
      <w:tr>
        <w:tc>
          <w:tcPr>
            <w:tcW w:type="dxa" w:w="26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vAlign w:val="center"/>
          </w:tcPr>
          <w:p>
            <w:r>
              <w:rPr>
                <w:rFonts w:ascii="Arial" w:cs="Arial" w:eastAsia="Arial" w:hAnsi="Arial"/>
                <w:b/>
                <w:bCs/>
                <w:color w:val="0B0C10"/>
                <w:sz w:val="19"/>
                <w:szCs w:val="19"/>
              </w:rPr>
              <w:t xml:space="preserve">Government contracts</w:t>
            </w:r>
          </w:p>
        </w:tc>
        <w:tc>
          <w:tcPr>
            <w:tcW w:type="dxa" w:w="4760"/>
            <w:tcBorders>
              <w:top w:val="single" w:color="C8D4E0" w:sz="4"/>
              <w:left w:val="single" w:color="C8D4E0" w:sz="4"/>
              <w:bottom w:val="single" w:color="C8D4E0" w:sz="4"/>
              <w:right w:val="single" w:color="C8D4E0" w:sz="4"/>
            </w:tcBorders>
            <w:shd w:fill="FFFFFF" w:val="clear"/>
            <w:tcMar>
              <w:top w:type="dxa" w:w="60"/>
              <w:left w:type="dxa" w:w="80"/>
              <w:bottom w:type="dxa" w:w="60"/>
              <w:right w:type="dxa" w:w="80"/>
            </w:tcMar>
            <w:vAlign w:val="center"/>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666"/>
              <w:gridCol w:w="4094"/>
            </w:tblGrid>
            <w:tr>
              <w:tc>
                <w:tcPr>
                  <w:tcW w:type="dxa" w:w="666"/>
                  <w:tcBorders>
                    <w:top w:val="single" w:color="3C3489" w:sz="4"/>
                    <w:left w:val="single" w:color="3C3489" w:sz="4"/>
                    <w:bottom w:val="single" w:color="3C3489" w:sz="4"/>
                    <w:right w:val="single" w:color="3C3489" w:sz="4"/>
                  </w:tcBorders>
                  <w:shd w:fill="3C3489" w:val="clear"/>
                  <w:tcMar>
                    <w:top w:type="dxa" w:w="60"/>
                    <w:left w:type="dxa" w:w="80"/>
                    <w:bottom w:type="dxa" w:w="60"/>
                    <w:right w:type="dxa" w:w="60"/>
                  </w:tcMar>
                  <w:vAlign w:val="center"/>
                </w:tcPr>
                <w:p>
                  <w:pPr>
                    <w:jc w:val="left"/>
                  </w:pPr>
                  <w:r>
                    <w:rPr>
                      <w:rFonts w:ascii="Arial Black" w:cs="Arial Black" w:eastAsia="Arial Black" w:hAnsi="Arial Black"/>
                      <w:b/>
                      <w:bCs/>
                      <w:color w:val="FFFFFF"/>
                      <w:sz w:val="16"/>
                      <w:szCs w:val="16"/>
                    </w:rPr>
                    <w:t xml:space="preserve">14%</w:t>
                  </w:r>
                </w:p>
              </w:tc>
              <w:tc>
                <w:tcPr>
                  <w:tcW w:type="dxa" w:w="4094"/>
                  <w:tcBorders>
                    <w:top w:val="single" w:color="C8D4E0" w:sz="4"/>
                    <w:left w:val="single" w:color="3C3489" w:sz="4"/>
                    <w:bottom w:val="single" w:color="C8D4E0" w:sz="4"/>
                    <w:right w:val="single" w:color="C8D4E0" w:sz="4"/>
                  </w:tcBorders>
                  <w:shd w:fill="FFFFFF" w:val="clear"/>
                  <w:tcMar>
                    <w:top w:type="dxa" w:w="60"/>
                    <w:left w:type="dxa" w:w="80"/>
                    <w:bottom w:type="dxa" w:w="60"/>
                    <w:right w:type="dxa" w:w="60"/>
                  </w:tcMar>
                </w:tcPr>
                <w:p>
                  <w:r>
                    <w:rPr>
                      <w:sz w:val="14"/>
                      <w:szCs w:val="14"/>
                    </w:rPr>
                    <w:t xml:space="preserve"/>
                  </w:r>
                </w:p>
              </w:tc>
            </w:tr>
          </w:tbl>
          <w:p/>
        </w:tc>
        <w:tc>
          <w:tcPr>
            <w:tcW w:type="dxa" w:w="2000"/>
            <w:tcBorders>
              <w:top w:val="single" w:color="C8D4E0" w:sz="4"/>
              <w:left w:val="single" w:color="C8D4E0" w:sz="4"/>
              <w:bottom w:val="single" w:color="C8D4E0" w:sz="4"/>
              <w:right w:val="single" w:color="C8D4E0" w:sz="4"/>
            </w:tcBorders>
            <w:shd w:fill="FFFFFF" w:val="clear"/>
            <w:tcMar>
              <w:top w:type="dxa" w:w="80"/>
              <w:left w:type="dxa" w:w="80"/>
              <w:bottom w:type="dxa" w:w="80"/>
              <w:right w:type="dxa" w:w="120"/>
            </w:tcMar>
            <w:vAlign w:val="center"/>
          </w:tcPr>
          <w:p>
            <w:pPr>
              <w:jc w:val="right"/>
            </w:pPr>
            <w:r>
              <w:rPr>
                <w:rFonts w:ascii="Arial" w:cs="Arial" w:eastAsia="Arial" w:hAnsi="Arial"/>
                <w:b/>
                <w:bCs/>
                <w:color w:val="3C3489"/>
                <w:sz w:val="19"/>
                <w:szCs w:val="19"/>
              </w:rPr>
              <w:t xml:space="preserve">~R6.3M</w:t>
            </w:r>
          </w:p>
        </w:tc>
      </w:tr>
      <w:tr>
        <w:tc>
          <w:tcPr>
            <w:tcW w:type="dxa" w:w="26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vAlign w:val="center"/>
          </w:tcPr>
          <w:p>
            <w:r>
              <w:rPr>
                <w:rFonts w:ascii="Arial" w:cs="Arial" w:eastAsia="Arial" w:hAnsi="Arial"/>
                <w:b/>
                <w:bCs/>
                <w:color w:val="0B0C10"/>
                <w:sz w:val="19"/>
                <w:szCs w:val="19"/>
              </w:rPr>
              <w:t xml:space="preserve">Donor &amp; foundation</w:t>
            </w:r>
          </w:p>
        </w:tc>
        <w:tc>
          <w:tcPr>
            <w:tcW w:type="dxa" w:w="4760"/>
            <w:tcBorders>
              <w:top w:val="single" w:color="C8D4E0" w:sz="4"/>
              <w:left w:val="single" w:color="C8D4E0" w:sz="4"/>
              <w:bottom w:val="single" w:color="C8D4E0" w:sz="4"/>
              <w:right w:val="single" w:color="C8D4E0" w:sz="4"/>
            </w:tcBorders>
            <w:shd w:fill="F4F7FB" w:val="clear"/>
            <w:tcMar>
              <w:top w:type="dxa" w:w="60"/>
              <w:left w:type="dxa" w:w="80"/>
              <w:bottom w:type="dxa" w:w="60"/>
              <w:right w:type="dxa" w:w="80"/>
            </w:tcMar>
            <w:vAlign w:val="center"/>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333"/>
              <w:gridCol w:w="4427"/>
            </w:tblGrid>
            <w:tr>
              <w:tc>
                <w:tcPr>
                  <w:tcW w:type="dxa" w:w="333"/>
                  <w:tcBorders>
                    <w:top w:val="single" w:color="3B6D11" w:sz="4"/>
                    <w:left w:val="single" w:color="3B6D11" w:sz="4"/>
                    <w:bottom w:val="single" w:color="3B6D11" w:sz="4"/>
                    <w:right w:val="single" w:color="3B6D11" w:sz="4"/>
                  </w:tcBorders>
                  <w:shd w:fill="3B6D11" w:val="clear"/>
                  <w:tcMar>
                    <w:top w:type="dxa" w:w="60"/>
                    <w:left w:type="dxa" w:w="80"/>
                    <w:bottom w:type="dxa" w:w="60"/>
                    <w:right w:type="dxa" w:w="60"/>
                  </w:tcMar>
                  <w:vAlign w:val="center"/>
                </w:tcPr>
                <w:p>
                  <w:pPr>
                    <w:jc w:val="left"/>
                  </w:pPr>
                  <w:r>
                    <w:rPr>
                      <w:rFonts w:ascii="Arial Black" w:cs="Arial Black" w:eastAsia="Arial Black" w:hAnsi="Arial Black"/>
                      <w:b/>
                      <w:bCs/>
                      <w:color w:val="FFFFFF"/>
                      <w:sz w:val="16"/>
                      <w:szCs w:val="16"/>
                    </w:rPr>
                    <w:t xml:space="preserve">7%</w:t>
                  </w:r>
                </w:p>
              </w:tc>
              <w:tc>
                <w:tcPr>
                  <w:tcW w:type="dxa" w:w="4427"/>
                  <w:tcBorders>
                    <w:top w:val="single" w:color="C8D4E0" w:sz="4"/>
                    <w:left w:val="single" w:color="3B6D11" w:sz="4"/>
                    <w:bottom w:val="single" w:color="C8D4E0" w:sz="4"/>
                    <w:right w:val="single" w:color="C8D4E0" w:sz="4"/>
                  </w:tcBorders>
                  <w:shd w:fill="F4F7FB" w:val="clear"/>
                  <w:tcMar>
                    <w:top w:type="dxa" w:w="60"/>
                    <w:left w:type="dxa" w:w="80"/>
                    <w:bottom w:type="dxa" w:w="60"/>
                    <w:right w:type="dxa" w:w="60"/>
                  </w:tcMar>
                </w:tcPr>
                <w:p>
                  <w:r>
                    <w:rPr>
                      <w:sz w:val="14"/>
                      <w:szCs w:val="14"/>
                    </w:rPr>
                    <w:t xml:space="preserve"/>
                  </w:r>
                </w:p>
              </w:tc>
            </w:tr>
          </w:tbl>
          <w:p/>
        </w:tc>
        <w:tc>
          <w:tcPr>
            <w:tcW w:type="dxa" w:w="2000"/>
            <w:tcBorders>
              <w:top w:val="single" w:color="C8D4E0" w:sz="4"/>
              <w:left w:val="single" w:color="C8D4E0" w:sz="4"/>
              <w:bottom w:val="single" w:color="C8D4E0" w:sz="4"/>
              <w:right w:val="single" w:color="C8D4E0" w:sz="4"/>
            </w:tcBorders>
            <w:shd w:fill="F4F7FB" w:val="clear"/>
            <w:tcMar>
              <w:top w:type="dxa" w:w="80"/>
              <w:left w:type="dxa" w:w="80"/>
              <w:bottom w:type="dxa" w:w="80"/>
              <w:right w:type="dxa" w:w="120"/>
            </w:tcMar>
            <w:vAlign w:val="center"/>
          </w:tcPr>
          <w:p>
            <w:pPr>
              <w:jc w:val="right"/>
            </w:pPr>
            <w:r>
              <w:rPr>
                <w:rFonts w:ascii="Arial" w:cs="Arial" w:eastAsia="Arial" w:hAnsi="Arial"/>
                <w:b/>
                <w:bCs/>
                <w:color w:val="3B6D11"/>
                <w:sz w:val="19"/>
                <w:szCs w:val="19"/>
              </w:rPr>
              <w:t xml:space="preserve">~R3.1M</w:t>
            </w:r>
          </w:p>
        </w:tc>
      </w:tr>
      <w:tr>
        <w:tc>
          <w:tcPr>
            <w:tcW w:type="dxa" w:w="26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vAlign w:val="center"/>
          </w:tcPr>
          <w:p>
            <w:r>
              <w:rPr>
                <w:rFonts w:ascii="Arial" w:cs="Arial" w:eastAsia="Arial" w:hAnsi="Arial"/>
                <w:b/>
                <w:bCs/>
                <w:color w:val="0B0C10"/>
                <w:sz w:val="19"/>
                <w:szCs w:val="19"/>
              </w:rPr>
              <w:t xml:space="preserve">Content licensing</w:t>
            </w:r>
          </w:p>
        </w:tc>
        <w:tc>
          <w:tcPr>
            <w:tcW w:type="dxa" w:w="4760"/>
            <w:tcBorders>
              <w:top w:val="single" w:color="C8D4E0" w:sz="4"/>
              <w:left w:val="single" w:color="C8D4E0" w:sz="4"/>
              <w:bottom w:val="single" w:color="C8D4E0" w:sz="4"/>
              <w:right w:val="single" w:color="C8D4E0" w:sz="4"/>
            </w:tcBorders>
            <w:shd w:fill="FFFFFF" w:val="clear"/>
            <w:tcMar>
              <w:top w:type="dxa" w:w="60"/>
              <w:left w:type="dxa" w:w="80"/>
              <w:bottom w:type="dxa" w:w="60"/>
              <w:right w:type="dxa" w:w="80"/>
            </w:tcMar>
            <w:vAlign w:val="center"/>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143"/>
              <w:gridCol w:w="4617"/>
            </w:tblGrid>
            <w:tr>
              <w:tc>
                <w:tcPr>
                  <w:tcW w:type="dxa" w:w="143"/>
                  <w:tcBorders>
                    <w:top w:val="single" w:color="993556" w:sz="4"/>
                    <w:left w:val="single" w:color="993556" w:sz="4"/>
                    <w:bottom w:val="single" w:color="993556" w:sz="4"/>
                    <w:right w:val="single" w:color="993556" w:sz="4"/>
                  </w:tcBorders>
                  <w:shd w:fill="993556" w:val="clear"/>
                  <w:tcMar>
                    <w:top w:type="dxa" w:w="60"/>
                    <w:left w:type="dxa" w:w="80"/>
                    <w:bottom w:type="dxa" w:w="60"/>
                    <w:right w:type="dxa" w:w="60"/>
                  </w:tcMar>
                  <w:vAlign w:val="center"/>
                </w:tcPr>
                <w:p>
                  <w:pPr>
                    <w:jc w:val="left"/>
                  </w:pPr>
                  <w:r>
                    <w:rPr>
                      <w:rFonts w:ascii="Arial Black" w:cs="Arial Black" w:eastAsia="Arial Black" w:hAnsi="Arial Black"/>
                      <w:b/>
                      <w:bCs/>
                      <w:color w:val="FFFFFF"/>
                      <w:sz w:val="16"/>
                      <w:szCs w:val="16"/>
                    </w:rPr>
                    <w:t xml:space="preserve">3%</w:t>
                  </w:r>
                </w:p>
              </w:tc>
              <w:tc>
                <w:tcPr>
                  <w:tcW w:type="dxa" w:w="4617"/>
                  <w:tcBorders>
                    <w:top w:val="single" w:color="C8D4E0" w:sz="4"/>
                    <w:left w:val="single" w:color="993556" w:sz="4"/>
                    <w:bottom w:val="single" w:color="C8D4E0" w:sz="4"/>
                    <w:right w:val="single" w:color="C8D4E0" w:sz="4"/>
                  </w:tcBorders>
                  <w:shd w:fill="FFFFFF" w:val="clear"/>
                  <w:tcMar>
                    <w:top w:type="dxa" w:w="60"/>
                    <w:left w:type="dxa" w:w="80"/>
                    <w:bottom w:type="dxa" w:w="60"/>
                    <w:right w:type="dxa" w:w="60"/>
                  </w:tcMar>
                </w:tcPr>
                <w:p>
                  <w:r>
                    <w:rPr>
                      <w:sz w:val="14"/>
                      <w:szCs w:val="14"/>
                    </w:rPr>
                    <w:t xml:space="preserve"/>
                  </w:r>
                </w:p>
              </w:tc>
            </w:tr>
          </w:tbl>
          <w:p/>
        </w:tc>
        <w:tc>
          <w:tcPr>
            <w:tcW w:type="dxa" w:w="2000"/>
            <w:tcBorders>
              <w:top w:val="single" w:color="C8D4E0" w:sz="4"/>
              <w:left w:val="single" w:color="C8D4E0" w:sz="4"/>
              <w:bottom w:val="single" w:color="C8D4E0" w:sz="4"/>
              <w:right w:val="single" w:color="C8D4E0" w:sz="4"/>
            </w:tcBorders>
            <w:shd w:fill="FFFFFF" w:val="clear"/>
            <w:tcMar>
              <w:top w:type="dxa" w:w="80"/>
              <w:left w:type="dxa" w:w="80"/>
              <w:bottom w:type="dxa" w:w="80"/>
              <w:right w:type="dxa" w:w="120"/>
            </w:tcMar>
            <w:vAlign w:val="center"/>
          </w:tcPr>
          <w:p>
            <w:pPr>
              <w:jc w:val="right"/>
            </w:pPr>
            <w:r>
              <w:rPr>
                <w:rFonts w:ascii="Arial" w:cs="Arial" w:eastAsia="Arial" w:hAnsi="Arial"/>
                <w:b/>
                <w:bCs/>
                <w:color w:val="993556"/>
                <w:sz w:val="19"/>
                <w:szCs w:val="19"/>
              </w:rPr>
              <w:t xml:space="preserve">~R1.4M</w:t>
            </w:r>
          </w:p>
        </w:tc>
      </w:tr>
    </w:tbl>
    <w:p>
      <w:pPr>
        <w:spacing w:after="240" w:before="0"/>
      </w:pPr>
    </w:p>
    <w:p>
      <w:pPr>
        <w:pStyle w:val="Heading2"/>
        <w:spacing w:after="100" w:before="240"/>
      </w:pPr>
      <w:r>
        <w:rPr>
          <w:rFonts w:ascii="Arial" w:cs="Arial" w:eastAsia="Arial" w:hAnsi="Arial"/>
          <w:b/>
          <w:bCs/>
          <w:color w:val="0F6E56"/>
          <w:sz w:val="24"/>
          <w:szCs w:val="24"/>
        </w:rPr>
        <w:t xml:space="preserve">Stream 1 — SETA grants (32%)</w:t>
      </w:r>
    </w:p>
    <w:p>
      <w:pPr>
        <w:spacing w:after="80" w:before="0"/>
        <w:jc w:val="left"/>
      </w:pPr>
      <w:r>
        <w:rPr>
          <w:rFonts w:ascii="Arial" w:cs="Arial" w:eastAsia="Arial" w:hAnsi="Arial"/>
          <w:b w:val="false"/>
          <w:bCs w:val="false"/>
          <w:i w:val="false"/>
          <w:iCs w:val="false"/>
          <w:color w:val="000000"/>
          <w:sz w:val="22"/>
          <w:szCs w:val="22"/>
        </w:rPr>
        <w:t xml:space="preserve">SETA discretionary grants are the largest single revenue stream and the most stable. Every accredited training provider that meets SETA quality standards is eligible to apply. Ginashe Academy aligns 9 of its 10 streams to a primary SETA, ensuring no over-dependency on any one funding body.</w:t>
      </w:r>
    </w:p>
    <w:p>
      <w:pPr>
        <w:spacing w:after="120" w:before="0"/>
        <w:jc w:val="left"/>
      </w:pPr>
      <w:r>
        <w:rPr>
          <w:rFonts w:ascii="Arial" w:cs="Arial" w:eastAsia="Arial" w:hAnsi="Arial"/>
          <w:b w:val="false"/>
          <w:bCs w:val="false"/>
          <w:i w:val="false"/>
          <w:iCs w:val="false"/>
          <w:color w:val="000000"/>
          <w:sz w:val="22"/>
          <w:szCs w:val="22"/>
        </w:rPr>
        <w:t xml:space="preserve">Priority SETAs in Year 1: MICT (Digital Systems, Creative Media), HWSETA (Health Sciences), EWSETA (Energy &amp; Infrastructure), AgriSETA (Agriculture &amp; Food Security), and INSETA (Financial Literacy &amp; FinTech).</w:t>
      </w:r>
    </w:p>
    <w:p>
      <w:pPr>
        <w:pStyle w:val="Heading2"/>
        <w:spacing w:after="100" w:before="240"/>
      </w:pPr>
      <w:r>
        <w:rPr>
          <w:rFonts w:ascii="Arial" w:cs="Arial" w:eastAsia="Arial" w:hAnsi="Arial"/>
          <w:b/>
          <w:bCs/>
          <w:color w:val="0F6E56"/>
          <w:sz w:val="24"/>
          <w:szCs w:val="24"/>
        </w:rPr>
        <w:t xml:space="preserve">Stream 2 — Corporate B-BBEE skills spend (26%)</w:t>
      </w:r>
    </w:p>
    <w:p>
      <w:pPr>
        <w:spacing w:after="80" w:before="0"/>
        <w:jc w:val="left"/>
      </w:pPr>
      <w:r>
        <w:rPr>
          <w:rFonts w:ascii="Arial" w:cs="Arial" w:eastAsia="Arial" w:hAnsi="Arial"/>
          <w:b w:val="false"/>
          <w:bCs w:val="false"/>
          <w:i w:val="false"/>
          <w:iCs w:val="false"/>
          <w:color w:val="000000"/>
          <w:sz w:val="22"/>
          <w:szCs w:val="22"/>
        </w:rPr>
        <w:t xml:space="preserve">South African corporates with annual leviable income above R10 million are required to spend a portion on skills development. Ginashe Academy positions itself as a high-value B-BBEE skills development partner — providing certified training at scale, with detailed B-BBEE scorecard reporting, and graduates that integrate directly into the corporate's talent pipeline.</w:t>
      </w:r>
    </w:p>
    <w:p>
      <w:pPr>
        <w:spacing w:after="120" w:before="0"/>
        <w:jc w:val="left"/>
      </w:pPr>
      <w:r>
        <w:rPr>
          <w:rFonts w:ascii="Arial" w:cs="Arial" w:eastAsia="Arial" w:hAnsi="Arial"/>
          <w:b w:val="false"/>
          <w:bCs w:val="false"/>
          <w:i w:val="false"/>
          <w:iCs w:val="false"/>
          <w:color w:val="000000"/>
          <w:sz w:val="22"/>
          <w:szCs w:val="22"/>
        </w:rPr>
        <w:t xml:space="preserve">Typical corporate cohort: 30 to 100 learners, R5,000 to R15,000 per learner, fully customised to the corporate's context and B-BBEE needs.</w:t>
      </w:r>
    </w:p>
    <w:p>
      <w:pPr>
        <w:pStyle w:val="Heading2"/>
        <w:spacing w:after="100" w:before="240"/>
      </w:pPr>
      <w:r>
        <w:rPr>
          <w:rFonts w:ascii="Arial" w:cs="Arial" w:eastAsia="Arial" w:hAnsi="Arial"/>
          <w:b/>
          <w:bCs/>
          <w:color w:val="0F6E56"/>
          <w:sz w:val="24"/>
          <w:szCs w:val="24"/>
        </w:rPr>
        <w:t xml:space="preserve">Stream 3 — Learner fees (18%) — sliding scale</w:t>
      </w:r>
    </w:p>
    <w:p>
      <w:pPr>
        <w:spacing w:after="120" w:before="0"/>
        <w:jc w:val="left"/>
      </w:pPr>
      <w:r>
        <w:rPr>
          <w:rFonts w:ascii="Arial" w:cs="Arial" w:eastAsia="Arial" w:hAnsi="Arial"/>
          <w:b w:val="false"/>
          <w:bCs w:val="false"/>
          <w:i w:val="false"/>
          <w:iCs w:val="false"/>
          <w:color w:val="000000"/>
          <w:sz w:val="22"/>
          <w:szCs w:val="22"/>
        </w:rPr>
        <w:t xml:space="preserve">Ginashe Academy charges a sliding-scale fee aligned to learner means. Unemployed learners pay nothing. Working professionals pay according to their income bracket. Corporate-sponsored learners pay full rate. Online self-paced learners pay a monthly subscription. This structure ensures no learner is excluded by fees, while those who can pay do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r>
              <w:rPr>
                <w:rFonts w:ascii="Arial" w:cs="Arial" w:eastAsia="Arial" w:hAnsi="Arial"/>
                <w:b/>
                <w:bCs/>
                <w:color w:val="FFFFFF"/>
                <w:sz w:val="19"/>
                <w:szCs w:val="19"/>
              </w:rPr>
              <w:t xml:space="preserve">Learner segment</w:t>
            </w:r>
          </w:p>
        </w:tc>
        <w:tc>
          <w:tcPr>
            <w:tcW w:type="dxa" w:w="4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80"/>
            </w:tcMar>
          </w:tcPr>
          <w:p>
            <w:r>
              <w:rPr>
                <w:rFonts w:ascii="Arial" w:cs="Arial" w:eastAsia="Arial" w:hAnsi="Arial"/>
                <w:b/>
                <w:bCs/>
                <w:color w:val="FFFFFF"/>
                <w:sz w:val="19"/>
                <w:szCs w:val="19"/>
              </w:rPr>
              <w:t xml:space="preserve">Fee per course</w:t>
            </w:r>
          </w:p>
        </w:tc>
      </w:tr>
      <w:tr>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20"/>
                <w:szCs w:val="20"/>
              </w:rPr>
              <w:t xml:space="preserve">Unemployed (SETA-funded)</w:t>
            </w:r>
          </w:p>
        </w:tc>
        <w:tc>
          <w:tcPr>
            <w:tcW w:type="dxa" w:w="40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20"/>
                <w:szCs w:val="20"/>
              </w:rPr>
              <w:t xml:space="preserve">R0 — fully subsidised</w:t>
            </w:r>
          </w:p>
        </w:tc>
      </w:tr>
      <w:tr>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20"/>
                <w:szCs w:val="20"/>
              </w:rPr>
              <w:t xml:space="preserve">Employed, income &lt; R10k/month</w:t>
            </w:r>
          </w:p>
        </w:tc>
        <w:tc>
          <w:tcPr>
            <w:tcW w:type="dxa" w:w="40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F6E56"/>
                <w:sz w:val="20"/>
                <w:szCs w:val="20"/>
              </w:rPr>
              <w:t xml:space="preserve">R500 to R1,500</w:t>
            </w:r>
          </w:p>
        </w:tc>
      </w:tr>
      <w:tr>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20"/>
                <w:szCs w:val="20"/>
              </w:rPr>
              <w:t xml:space="preserve">Employed, income R10k–R25k/month</w:t>
            </w:r>
          </w:p>
        </w:tc>
        <w:tc>
          <w:tcPr>
            <w:tcW w:type="dxa" w:w="40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20"/>
                <w:szCs w:val="20"/>
              </w:rPr>
              <w:t xml:space="preserve">R1,500 to R4,000</w:t>
            </w:r>
          </w:p>
        </w:tc>
      </w:tr>
      <w:tr>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20"/>
                <w:szCs w:val="20"/>
              </w:rPr>
              <w:t xml:space="preserve">Corporate-sponsored</w:t>
            </w:r>
          </w:p>
        </w:tc>
        <w:tc>
          <w:tcPr>
            <w:tcW w:type="dxa" w:w="40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F6E56"/>
                <w:sz w:val="20"/>
                <w:szCs w:val="20"/>
              </w:rPr>
              <w:t xml:space="preserve">R5,000 to R15,000</w:t>
            </w:r>
          </w:p>
        </w:tc>
      </w:tr>
      <w:tr>
        <w:tc>
          <w:tcPr>
            <w:tcW w:type="dxa" w:w="536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color w:val="0B0C10"/>
                <w:sz w:val="20"/>
                <w:szCs w:val="20"/>
              </w:rPr>
              <w:t xml:space="preserve">Online self-paced subscription</w:t>
            </w:r>
          </w:p>
        </w:tc>
        <w:tc>
          <w:tcPr>
            <w:tcW w:type="dxa" w:w="4000"/>
            <w:tcBorders>
              <w:top w:val="single" w:color="C8D4E0" w:sz="4"/>
              <w:left w:val="single" w:color="C8D4E0" w:sz="4"/>
              <w:bottom w:val="single" w:color="C8D4E0" w:sz="4"/>
              <w:right w:val="single" w:color="C8D4E0" w:sz="4"/>
            </w:tcBorders>
            <w:shd w:fill="F4F7FB" w:val="clear"/>
            <w:tcMar>
              <w:top w:type="dxa" w:w="80"/>
              <w:left w:type="dxa" w:w="120"/>
              <w:bottom w:type="dxa" w:w="80"/>
              <w:right w:type="dxa" w:w="80"/>
            </w:tcMar>
          </w:tcPr>
          <w:p>
            <w:r>
              <w:rPr>
                <w:rFonts w:ascii="Arial" w:cs="Arial" w:eastAsia="Arial" w:hAnsi="Arial"/>
                <w:b/>
                <w:bCs/>
                <w:color w:val="0F6E56"/>
                <w:sz w:val="20"/>
                <w:szCs w:val="20"/>
              </w:rPr>
              <w:t xml:space="preserve">R299 to R999/month</w:t>
            </w:r>
          </w:p>
        </w:tc>
      </w:tr>
      <w:tr>
        <w:tc>
          <w:tcPr>
            <w:tcW w:type="dxa" w:w="536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color w:val="0B0C10"/>
                <w:sz w:val="20"/>
                <w:szCs w:val="20"/>
              </w:rPr>
              <w:t xml:space="preserve">Certification prep add-on</w:t>
            </w:r>
          </w:p>
        </w:tc>
        <w:tc>
          <w:tcPr>
            <w:tcW w:type="dxa" w:w="4000"/>
            <w:tcBorders>
              <w:top w:val="single" w:color="C8D4E0" w:sz="4"/>
              <w:left w:val="single" w:color="C8D4E0" w:sz="4"/>
              <w:bottom w:val="single" w:color="C8D4E0" w:sz="4"/>
              <w:right w:val="single" w:color="C8D4E0" w:sz="4"/>
            </w:tcBorders>
            <w:shd w:fill="FFFFFF" w:val="clear"/>
            <w:tcMar>
              <w:top w:type="dxa" w:w="80"/>
              <w:left w:type="dxa" w:w="120"/>
              <w:bottom w:type="dxa" w:w="80"/>
              <w:right w:type="dxa" w:w="80"/>
            </w:tcMar>
          </w:tcPr>
          <w:p>
            <w:r>
              <w:rPr>
                <w:rFonts w:ascii="Arial" w:cs="Arial" w:eastAsia="Arial" w:hAnsi="Arial"/>
                <w:b/>
                <w:bCs/>
                <w:color w:val="0F6E56"/>
                <w:sz w:val="20"/>
                <w:szCs w:val="20"/>
              </w:rPr>
              <w:t xml:space="preserve">R1,000 to R3,000</w:t>
            </w:r>
          </w:p>
        </w:tc>
      </w:tr>
    </w:tbl>
    <w:p>
      <w:pPr>
        <w:spacing w:after="240" w:before="0"/>
      </w:pPr>
    </w:p>
    <w:p>
      <w:pPr>
        <w:pStyle w:val="Heading2"/>
        <w:spacing w:after="100" w:before="240"/>
      </w:pPr>
      <w:r>
        <w:rPr>
          <w:rFonts w:ascii="Arial" w:cs="Arial" w:eastAsia="Arial" w:hAnsi="Arial"/>
          <w:b/>
          <w:bCs/>
          <w:color w:val="0F6E56"/>
          <w:sz w:val="24"/>
          <w:szCs w:val="24"/>
        </w:rPr>
        <w:t xml:space="preserve">Stream 4 — Government contracts (14%)</w:t>
      </w:r>
    </w:p>
    <w:p>
      <w:pPr>
        <w:spacing w:after="120" w:before="0"/>
        <w:jc w:val="left"/>
      </w:pPr>
      <w:r>
        <w:rPr>
          <w:rFonts w:ascii="Arial" w:cs="Arial" w:eastAsia="Arial" w:hAnsi="Arial"/>
          <w:b w:val="false"/>
          <w:bCs w:val="false"/>
          <w:i w:val="false"/>
          <w:iCs w:val="false"/>
          <w:color w:val="000000"/>
          <w:sz w:val="22"/>
          <w:szCs w:val="22"/>
        </w:rPr>
        <w:t xml:space="preserve">Direct contracts with DBE, DHET, NSF, NEF, and provincial education departments. Typical contract: a multi-cohort training delivery for a specific demographic (rural youth, women in trades, ECD practitioners). Government contracts are less stable than SETA grants but offer larger single deals — often R3 million to R10 million per contract.</w:t>
      </w:r>
    </w:p>
    <w:p>
      <w:pPr>
        <w:pStyle w:val="Heading2"/>
        <w:spacing w:after="100" w:before="240"/>
      </w:pPr>
      <w:r>
        <w:rPr>
          <w:rFonts w:ascii="Arial" w:cs="Arial" w:eastAsia="Arial" w:hAnsi="Arial"/>
          <w:b/>
          <w:bCs/>
          <w:color w:val="0F6E56"/>
          <w:sz w:val="24"/>
          <w:szCs w:val="24"/>
        </w:rPr>
        <w:t xml:space="preserve">Stream 5 — Donor and foundation grants (7%)</w:t>
      </w:r>
    </w:p>
    <w:p>
      <w:pPr>
        <w:spacing w:after="120" w:before="0"/>
        <w:jc w:val="left"/>
      </w:pPr>
      <w:r>
        <w:rPr>
          <w:rFonts w:ascii="Arial" w:cs="Arial" w:eastAsia="Arial" w:hAnsi="Arial"/>
          <w:b w:val="false"/>
          <w:bCs w:val="false"/>
          <w:i w:val="false"/>
          <w:iCs w:val="false"/>
          <w:color w:val="000000"/>
          <w:sz w:val="22"/>
          <w:szCs w:val="22"/>
        </w:rPr>
        <w:t xml:space="preserve">Major foundations support specific streams or themes. Mastercard Foundation (youth employment), GIZ (energy and agriculture), USAID (health and food security), Ford Foundation (social enterprise). Donor grants typically support 1–3 year programmes and require detailed impact reporting.</w:t>
      </w:r>
    </w:p>
    <w:p>
      <w:pPr>
        <w:pStyle w:val="Heading2"/>
        <w:spacing w:after="100" w:before="240"/>
      </w:pPr>
      <w:r>
        <w:rPr>
          <w:rFonts w:ascii="Arial" w:cs="Arial" w:eastAsia="Arial" w:hAnsi="Arial"/>
          <w:b/>
          <w:bCs/>
          <w:color w:val="0F6E56"/>
          <w:sz w:val="24"/>
          <w:szCs w:val="24"/>
        </w:rPr>
        <w:t xml:space="preserve">Stream 6 — Content licensing (3%)</w:t>
      </w:r>
    </w:p>
    <w:p>
      <w:pPr>
        <w:spacing w:after="120" w:before="0"/>
        <w:jc w:val="left"/>
      </w:pPr>
      <w:r>
        <w:rPr>
          <w:rFonts w:ascii="Arial" w:cs="Arial" w:eastAsia="Arial" w:hAnsi="Arial"/>
          <w:b w:val="false"/>
          <w:bCs w:val="false"/>
          <w:i w:val="false"/>
          <w:iCs w:val="false"/>
          <w:color w:val="000000"/>
          <w:sz w:val="22"/>
          <w:szCs w:val="22"/>
        </w:rPr>
        <w:t xml:space="preserve">Ginashe Academy licenses curriculum content to partner training providers across Africa. A small but growing revenue stream that scales without proportional cost increase. Partners pay annual licence fees plus a per-learner royalty.</w:t>
      </w:r>
    </w:p>
    <w:p>
      <w:pPr>
        <w:pStyle w:val="Heading2"/>
        <w:spacing w:after="100" w:before="240"/>
      </w:pPr>
      <w:r>
        <w:rPr>
          <w:rFonts w:ascii="Arial" w:cs="Arial" w:eastAsia="Arial" w:hAnsi="Arial"/>
          <w:b/>
          <w:bCs/>
          <w:color w:val="0F6E56"/>
          <w:sz w:val="24"/>
          <w:szCs w:val="24"/>
        </w:rPr>
        <w:t xml:space="preserve">Growth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Year 1</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1 — Foundation year</w:t>
            </w:r>
          </w:p>
          <w:p>
            <w:pPr>
              <w:spacing w:after="0" w:before="0"/>
            </w:pPr>
            <w:r>
              <w:rPr>
                <w:rFonts w:ascii="Arial" w:cs="Arial" w:eastAsia="Arial" w:hAnsi="Arial"/>
                <w:color w:val="5A6A7A"/>
                <w:sz w:val="20"/>
                <w:szCs w:val="20"/>
              </w:rPr>
              <w:t xml:space="preserve">DSS continuing + 2 new streams launched. 500 learners. R4.5 million revenue. Provisional SETA accreditation. Two campuses operational.</w:t>
            </w:r>
          </w:p>
        </w:tc>
      </w:tr>
      <w:tr>
        <w:tc>
          <w:tcPr>
            <w:tcW w:type="dxa" w:w="1100"/>
            <w:tcBorders>
              <w:top w:val="single" w:color="FFFFFF" w:sz="4"/>
              <w:left w:val="single" w:color="FFFFFF" w:sz="4"/>
              <w:bottom w:val="single" w:color="FFFFFF" w:sz="4"/>
              <w:right w:val="single" w:color="1B4F8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1B4F8A"/>
                <w:sz w:val="17"/>
                <w:szCs w:val="17"/>
              </w:rPr>
              <w:t xml:space="preserve">Year 2</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2 — Scaling year</w:t>
            </w:r>
          </w:p>
          <w:p>
            <w:pPr>
              <w:spacing w:after="0" w:before="0"/>
            </w:pPr>
            <w:r>
              <w:rPr>
                <w:rFonts w:ascii="Arial" w:cs="Arial" w:eastAsia="Arial" w:hAnsi="Arial"/>
                <w:color w:val="5A6A7A"/>
                <w:sz w:val="20"/>
                <w:szCs w:val="20"/>
              </w:rPr>
              <w:t xml:space="preserve">5 streams active. 2,000 learners. R12 million revenue. Full SAQA registration achieved. Mobile learning units deployed.</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Year 3</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3 — Maturity year</w:t>
            </w:r>
          </w:p>
          <w:p>
            <w:pPr>
              <w:spacing w:after="0" w:before="0"/>
            </w:pPr>
            <w:r>
              <w:rPr>
                <w:rFonts w:ascii="Arial" w:cs="Arial" w:eastAsia="Arial" w:hAnsi="Arial"/>
                <w:color w:val="5A6A7A"/>
                <w:sz w:val="20"/>
                <w:szCs w:val="20"/>
              </w:rPr>
              <w:t xml:space="preserve">All 10 streams active. 5,000 learners. R45 million revenue. University articulation agreements signed. National SA presence.</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Year 5</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5 — Continental year</w:t>
            </w:r>
          </w:p>
          <w:p>
            <w:pPr>
              <w:spacing w:after="0" w:before="0"/>
            </w:pPr>
            <w:r>
              <w:rPr>
                <w:rFonts w:ascii="Arial" w:cs="Arial" w:eastAsia="Arial" w:hAnsi="Arial"/>
                <w:color w:val="5A6A7A"/>
                <w:sz w:val="20"/>
                <w:szCs w:val="20"/>
              </w:rPr>
              <w:t xml:space="preserve">Pan-African expansion. 20,000 learners. R120 million revenue. SADC qualification recognition. First 3 African countries operational beyond SA.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40"/>
              <w:left w:type="dxa" w:w="200"/>
              <w:bottom w:type="dxa" w:w="120"/>
              <w:right w:type="dxa" w:w="140"/>
            </w:tcMar>
          </w:tcPr>
          <w:p>
            <w:pPr>
              <w:spacing w:after="30" w:before="0"/>
            </w:pPr>
            <w:r>
              <w:rPr>
                <w:rFonts w:ascii="Arial" w:cs="Arial" w:eastAsia="Arial" w:hAnsi="Arial"/>
                <w:b/>
                <w:bCs/>
                <w:color w:val="0F6E56"/>
                <w:sz w:val="22"/>
                <w:szCs w:val="22"/>
              </w:rPr>
              <w:t xml:space="preserve">Break-even target</w:t>
            </w:r>
          </w:p>
          <w:p>
            <w:pPr>
              <w:spacing w:after="60" w:before="0"/>
            </w:pPr>
            <w:r>
              <w:rPr>
                <w:rFonts w:ascii="Arial" w:cs="Arial" w:eastAsia="Arial" w:hAnsi="Arial"/>
                <w:i/>
                <w:iCs/>
                <w:color w:val="5A6A7A"/>
                <w:sz w:val="18"/>
                <w:szCs w:val="18"/>
              </w:rPr>
              <w:t xml:space="preserve">Month 18 (conservative)</w:t>
            </w:r>
          </w:p>
          <w:p>
            <w:pPr>
              <w:spacing w:after="0" w:before="0"/>
            </w:pPr>
            <w:r>
              <w:rPr>
                <w:rFonts w:ascii="Arial" w:cs="Arial" w:eastAsia="Arial" w:hAnsi="Arial"/>
                <w:color w:val="0B0C10"/>
                <w:sz w:val="21"/>
                <w:szCs w:val="21"/>
              </w:rPr>
              <w:t xml:space="preserve">Operational break-even is targeted by Month 18. The conservative case assumes 20% under-achievement of growth targets; even on this basis, the Academy reaches break-even before Year 2 close. Beyond break-even, all surplus is reinvested into learner bursaries, stream launches, and infrastructure expansion.</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7 — Stream Launch Sequence</w:t>
      </w:r>
    </w:p>
    <w:p>
      <w:pPr>
        <w:spacing w:after="140" w:before="0"/>
        <w:jc w:val="left"/>
      </w:pPr>
      <w:r>
        <w:rPr>
          <w:rFonts w:ascii="Arial" w:cs="Arial" w:eastAsia="Arial" w:hAnsi="Arial"/>
          <w:b w:val="false"/>
          <w:bCs w:val="false"/>
          <w:i w:val="false"/>
          <w:iCs w:val="false"/>
          <w:color w:val="000000"/>
          <w:sz w:val="22"/>
          <w:szCs w:val="22"/>
        </w:rPr>
        <w:t xml:space="preserve">Streams are launched in a sequence determined by three factors: market urgency, infrastructure cost, and SETA alignment readiness. The order below ensures the lowest-cost, highest-yield streams launch first, generating early revenue and credibility to fund the higher-cost streams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Months 0–3</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NOW — Digital Systems Stream (DSS)</w:t>
            </w:r>
          </w:p>
          <w:p>
            <w:pPr>
              <w:spacing w:after="0" w:before="0"/>
            </w:pPr>
            <w:r>
              <w:rPr>
                <w:rFonts w:ascii="Arial" w:cs="Arial" w:eastAsia="Arial" w:hAnsi="Arial"/>
                <w:color w:val="5A6A7A"/>
                <w:sz w:val="20"/>
                <w:szCs w:val="20"/>
              </w:rPr>
              <w:t xml:space="preserve">Already operational. Cloud Launchpad cohorts running. Materials complete. Begin formal MICT SETA provisional accreditation immediately. Zero new infrastructure required.</w:t>
            </w:r>
          </w:p>
        </w:tc>
      </w:tr>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Months 1–4</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Q1 — Financial Literacy &amp; FinTech Stream (FLS)</w:t>
            </w:r>
          </w:p>
          <w:p>
            <w:pPr>
              <w:spacing w:after="0" w:before="0"/>
            </w:pPr>
            <w:r>
              <w:rPr>
                <w:rFonts w:ascii="Arial" w:cs="Arial" w:eastAsia="Arial" w:hAnsi="Arial"/>
                <w:color w:val="5A6A7A"/>
                <w:sz w:val="20"/>
                <w:szCs w:val="20"/>
              </w:rPr>
              <w:t xml:space="preserve">Lowest infrastructure requirement of any new stream. Online-first delivery. Highest reach potential. INSETA grant application immediately. Personal Finance course live within 60 days of launch decision.</w:t>
            </w:r>
          </w:p>
        </w:tc>
      </w:tr>
      <w:tr>
        <w:tc>
          <w:tcPr>
            <w:tcW w:type="dxa" w:w="1100"/>
            <w:tcBorders>
              <w:top w:val="single" w:color="FFFFFF" w:sz="4"/>
              <w:left w:val="single" w:color="FFFFFF" w:sz="4"/>
              <w:bottom w:val="single" w:color="FFFFFF" w:sz="4"/>
              <w:right w:val="single" w:color="0F6E56"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0F6E56"/>
                <w:sz w:val="17"/>
                <w:szCs w:val="17"/>
              </w:rPr>
              <w:t xml:space="preserve">Months 2–6</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Q1 — Health Sciences Stream (HSS)</w:t>
            </w:r>
          </w:p>
          <w:p>
            <w:pPr>
              <w:spacing w:after="0" w:before="0"/>
            </w:pPr>
            <w:r>
              <w:rPr>
                <w:rFonts w:ascii="Arial" w:cs="Arial" w:eastAsia="Arial" w:hAnsi="Arial"/>
                <w:color w:val="5A6A7A"/>
                <w:sz w:val="20"/>
                <w:szCs w:val="20"/>
              </w:rPr>
              <w:t xml:space="preserve">Community Health Worker programme as the flagship. Partner with 2 clinics for practicum placements. HWSETA grant application. Stipend model from day 1 — non-negotiable for this learner cohort.</w:t>
            </w:r>
          </w:p>
        </w:tc>
      </w:tr>
      <w:tr>
        <w:tc>
          <w:tcPr>
            <w:tcW w:type="dxa" w:w="1100"/>
            <w:tcBorders>
              <w:top w:val="single" w:color="FFFFFF" w:sz="4"/>
              <w:left w:val="single" w:color="FFFFFF" w:sz="4"/>
              <w:bottom w:val="single" w:color="FFFFFF" w:sz="4"/>
              <w:right w:val="single" w:color="1B4F8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1B4F8A"/>
                <w:sz w:val="17"/>
                <w:szCs w:val="17"/>
              </w:rPr>
              <w:t xml:space="preserve">Months 4–8</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Q2 — Energy &amp; Infrastructure Stream (EIS)</w:t>
            </w:r>
          </w:p>
          <w:p>
            <w:pPr>
              <w:spacing w:after="0" w:before="0"/>
            </w:pPr>
            <w:r>
              <w:rPr>
                <w:rFonts w:ascii="Arial" w:cs="Arial" w:eastAsia="Arial" w:hAnsi="Arial"/>
                <w:color w:val="5A6A7A"/>
                <w:sz w:val="20"/>
                <w:szCs w:val="20"/>
              </w:rPr>
              <w:t xml:space="preserve">Solar PV Installation as the flagship course. EWSETA and SAPVIA partnership. First corporate funder: a solar EPC company. First campus location: Johannesburg south.</w:t>
            </w:r>
          </w:p>
        </w:tc>
      </w:tr>
      <w:tr>
        <w:tc>
          <w:tcPr>
            <w:tcW w:type="dxa" w:w="1100"/>
            <w:tcBorders>
              <w:top w:val="single" w:color="FFFFFF" w:sz="4"/>
              <w:left w:val="single" w:color="FFFFFF" w:sz="4"/>
              <w:bottom w:val="single" w:color="FFFFFF" w:sz="4"/>
              <w:right w:val="single" w:color="1B4F8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1B4F8A"/>
                <w:sz w:val="17"/>
                <w:szCs w:val="17"/>
              </w:rPr>
              <w:t xml:space="preserve">Months 5–9</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Q2 — Creative &amp; Digital Media Stream (CDS)</w:t>
            </w:r>
          </w:p>
          <w:p>
            <w:pPr>
              <w:spacing w:after="0" w:before="0"/>
            </w:pPr>
            <w:r>
              <w:rPr>
                <w:rFonts w:ascii="Arial" w:cs="Arial" w:eastAsia="Arial" w:hAnsi="Arial"/>
                <w:color w:val="5A6A7A"/>
                <w:sz w:val="20"/>
                <w:szCs w:val="20"/>
              </w:rPr>
              <w:t xml:space="preserve">Graphic Design and Social Media Management as the flagship courses. Online-first delivery. MICT SETA extension from existing accreditation. Partnership with an advertising agency for internship pipeline.</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Months 7–10</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Q3 — Leadership &amp; Entrepreneurship Stream (LES)</w:t>
            </w:r>
          </w:p>
          <w:p>
            <w:pPr>
              <w:spacing w:after="0" w:before="0"/>
            </w:pPr>
            <w:r>
              <w:rPr>
                <w:rFonts w:ascii="Arial" w:cs="Arial" w:eastAsia="Arial" w:hAnsi="Arial"/>
                <w:color w:val="5A6A7A"/>
                <w:sz w:val="20"/>
                <w:szCs w:val="20"/>
              </w:rPr>
              <w:t xml:space="preserve">Embedded as an add-on to all other streams. Business Fundamentals module added to every technical course. NEF and DTI partnerships secured. The "multiplier stream" — every other stream benefits from its presence.</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Months 8–12</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Q3 — Agriculture &amp; Food Security Stream (AFS)</w:t>
            </w:r>
          </w:p>
          <w:p>
            <w:pPr>
              <w:spacing w:after="0" w:before="0"/>
            </w:pPr>
            <w:r>
              <w:rPr>
                <w:rFonts w:ascii="Arial" w:cs="Arial" w:eastAsia="Arial" w:hAnsi="Arial"/>
                <w:color w:val="5A6A7A"/>
                <w:sz w:val="20"/>
                <w:szCs w:val="20"/>
              </w:rPr>
              <w:t xml:space="preserve">Partnership with AgriSETA and a commercial farm for practicum. Initial geographic focus: Limpopo and Eastern Cape (where smallholder farming need is greatest).</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Months 10–15</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Q4 — Applied Trades &amp; Engineering Stream (ATS)</w:t>
            </w:r>
          </w:p>
          <w:p>
            <w:pPr>
              <w:spacing w:after="0" w:before="0"/>
            </w:pPr>
            <w:r>
              <w:rPr>
                <w:rFonts w:ascii="Arial" w:cs="Arial" w:eastAsia="Arial" w:hAnsi="Arial"/>
                <w:color w:val="5A6A7A"/>
                <w:sz w:val="20"/>
                <w:szCs w:val="20"/>
              </w:rPr>
              <w:t xml:space="preserve">Highest infrastructure cost of any stream. MERSETA funding is critical to make the unit economics work. Partnership with a TVET college for shared workshop space. Solar + electrical bundle as the launch flagship.</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Months 14–20</w:t>
            </w:r>
          </w:p>
        </w:tc>
        <w:tc>
          <w:tcPr>
            <w:tcW w:type="dxa" w:w="8260"/>
            <w:tcBorders>
              <w:top w:val="single" w:color="C8D4E0" w:sz="4"/>
              <w:left w:val="single" w:color="C8D4E0" w:sz="4"/>
              <w:bottom w:val="single" w:color="C8D4E0" w:sz="4"/>
              <w:right w:val="single" w:color="C8D4E0" w:sz="4"/>
            </w:tcBorders>
            <w:shd w:fill="F4F7FB"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2 — Early Childhood &amp; Education Stream (ECS)</w:t>
            </w:r>
          </w:p>
          <w:p>
            <w:pPr>
              <w:spacing w:after="0" w:before="0"/>
            </w:pPr>
            <w:r>
              <w:rPr>
                <w:rFonts w:ascii="Arial" w:cs="Arial" w:eastAsia="Arial" w:hAnsi="Arial"/>
                <w:color w:val="5A6A7A"/>
                <w:sz w:val="20"/>
                <w:szCs w:val="20"/>
              </w:rPr>
              <w:t xml:space="preserve">ETDP SETA leads the funding. DBE and DSD partnerships for ECD centre placements. Highest social impact per learner of any stream in the Academy.</w:t>
            </w:r>
          </w:p>
        </w:tc>
      </w:tr>
      <w:tr>
        <w:tc>
          <w:tcPr>
            <w:tcW w:type="dxa" w:w="1100"/>
            <w:tcBorders>
              <w:top w:val="single" w:color="FFFFFF" w:sz="4"/>
              <w:left w:val="single" w:color="FFFFFF" w:sz="4"/>
              <w:bottom w:val="single" w:color="FFFFFF" w:sz="4"/>
              <w:right w:val="single" w:color="5A6A7A" w:sz="8"/>
            </w:tcBorders>
            <w:shd w:fill="FFFFFF" w:val="clear"/>
            <w:tcMar>
              <w:top w:type="dxa" w:w="100"/>
              <w:left w:type="dxa" w:w="80"/>
              <w:bottom w:type="dxa" w:w="100"/>
              <w:right w:type="dxa" w:w="120"/>
            </w:tcMar>
            <w:vAlign w:val="top"/>
          </w:tcPr>
          <w:p>
            <w:pPr>
              <w:spacing w:after="20" w:before="0"/>
              <w:jc w:val="right"/>
            </w:pPr>
            <w:r>
              <w:rPr>
                <w:rFonts w:ascii="Arial" w:cs="Arial" w:eastAsia="Arial" w:hAnsi="Arial"/>
                <w:b/>
                <w:bCs/>
                <w:color w:val="5A6A7A"/>
                <w:sz w:val="17"/>
                <w:szCs w:val="17"/>
              </w:rPr>
              <w:t xml:space="preserve">Months 16–22</w:t>
            </w:r>
          </w:p>
        </w:tc>
        <w:tc>
          <w:tcPr>
            <w:tcW w:type="dxa" w:w="8260"/>
            <w:tcBorders>
              <w:top w:val="single" w:color="C8D4E0" w:sz="4"/>
              <w:left w:val="single" w:color="C8D4E0" w:sz="4"/>
              <w:bottom w:val="single" w:color="C8D4E0" w:sz="4"/>
              <w:right w:val="single" w:color="C8D4E0" w:sz="4"/>
            </w:tcBorders>
            <w:shd w:fill="FFFFFF" w:val="clear"/>
            <w:tcMar>
              <w:top w:type="dxa" w:w="100"/>
              <w:left w:type="dxa" w:w="160"/>
              <w:bottom w:type="dxa" w:w="100"/>
              <w:right w:type="dxa" w:w="120"/>
            </w:tcMar>
          </w:tcPr>
          <w:p>
            <w:pPr>
              <w:spacing w:after="40" w:before="0"/>
            </w:pPr>
            <w:r>
              <w:rPr>
                <w:rFonts w:ascii="Arial" w:cs="Arial" w:eastAsia="Arial" w:hAnsi="Arial"/>
                <w:b/>
                <w:bCs/>
                <w:color w:val="0B0C10"/>
                <w:sz w:val="21"/>
                <w:szCs w:val="21"/>
              </w:rPr>
              <w:t xml:space="preserve">Year 2 — Environment &amp; Climate Action Stream (CAS)</w:t>
            </w:r>
          </w:p>
          <w:p>
            <w:pPr>
              <w:spacing w:after="0" w:before="0"/>
            </w:pPr>
            <w:r>
              <w:rPr>
                <w:rFonts w:ascii="Arial" w:cs="Arial" w:eastAsia="Arial" w:hAnsi="Arial"/>
                <w:color w:val="5A6A7A"/>
                <w:sz w:val="20"/>
                <w:szCs w:val="20"/>
              </w:rPr>
              <w:t xml:space="preserve">WRSETA and DFFE partnerships. Timing aligned with Just Energy Transition investment cycle. Conservation NGO practicum agreements pre-secured.</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8 — Phase 3 Summary</w:t>
      </w:r>
    </w:p>
    <w:p>
      <w:pPr>
        <w:pStyle w:val="Heading2"/>
        <w:spacing w:after="100" w:before="240"/>
      </w:pPr>
      <w:r>
        <w:rPr>
          <w:rFonts w:ascii="Arial" w:cs="Arial" w:eastAsia="Arial" w:hAnsi="Arial"/>
          <w:b/>
          <w:bCs/>
          <w:color w:val="0F6E56"/>
          <w:sz w:val="24"/>
          <w:szCs w:val="24"/>
        </w:rPr>
        <w:t xml:space="preserve">What Phase 3 establishes</w:t>
      </w:r>
    </w:p>
    <w:p>
      <w:pPr>
        <w:pStyle w:val="ListParagraph"/>
        <w:numPr>
          <w:ilvl w:val="0"/>
          <w:numId w:val="2"/>
        </w:numPr>
        <w:spacing w:after="60" w:before="0"/>
      </w:pPr>
      <w:r>
        <w:rPr>
          <w:rFonts w:ascii="Arial" w:cs="Arial" w:eastAsia="Arial" w:hAnsi="Arial"/>
          <w:color w:val="000000"/>
          <w:sz w:val="22"/>
          <w:szCs w:val="22"/>
        </w:rPr>
        <w:t xml:space="preserve">A four-channel delivery model that reaches every learner segment in South Africa.</w:t>
      </w:r>
    </w:p>
    <w:p>
      <w:pPr>
        <w:pStyle w:val="ListParagraph"/>
        <w:numPr>
          <w:ilvl w:val="0"/>
          <w:numId w:val="2"/>
        </w:numPr>
        <w:spacing w:after="60" w:before="0"/>
      </w:pPr>
      <w:r>
        <w:rPr>
          <w:rFonts w:ascii="Arial" w:cs="Arial" w:eastAsia="Arial" w:hAnsi="Arial"/>
          <w:color w:val="000000"/>
          <w:sz w:val="22"/>
          <w:szCs w:val="22"/>
        </w:rPr>
        <w:t xml:space="preserve">A four-year accreditation roadmap from provisional SETA accreditation to continental qualification recognition.</w:t>
      </w:r>
    </w:p>
    <w:p>
      <w:pPr>
        <w:pStyle w:val="ListParagraph"/>
        <w:numPr>
          <w:ilvl w:val="0"/>
          <w:numId w:val="2"/>
        </w:numPr>
        <w:spacing w:after="60" w:before="0"/>
      </w:pPr>
      <w:r>
        <w:rPr>
          <w:rFonts w:ascii="Arial" w:cs="Arial" w:eastAsia="Arial" w:hAnsi="Arial"/>
          <w:color w:val="000000"/>
          <w:sz w:val="22"/>
          <w:szCs w:val="22"/>
        </w:rPr>
        <w:t xml:space="preserve">A five-layer LMS architecture optimised for South African network conditions.</w:t>
      </w:r>
    </w:p>
    <w:p>
      <w:pPr>
        <w:pStyle w:val="ListParagraph"/>
        <w:numPr>
          <w:ilvl w:val="0"/>
          <w:numId w:val="2"/>
        </w:numPr>
        <w:spacing w:after="60" w:before="0"/>
      </w:pPr>
      <w:r>
        <w:rPr>
          <w:rFonts w:ascii="Arial" w:cs="Arial" w:eastAsia="Arial" w:hAnsi="Arial"/>
          <w:color w:val="000000"/>
          <w:sz w:val="22"/>
          <w:szCs w:val="22"/>
        </w:rPr>
        <w:t xml:space="preserve">A four-level facilitator pipeline with a structured 4-week Foundations programme.</w:t>
      </w:r>
    </w:p>
    <w:p>
      <w:pPr>
        <w:pStyle w:val="ListParagraph"/>
        <w:numPr>
          <w:ilvl w:val="0"/>
          <w:numId w:val="2"/>
        </w:numPr>
        <w:spacing w:after="60" w:before="0"/>
      </w:pPr>
      <w:r>
        <w:rPr>
          <w:rFonts w:ascii="Arial" w:cs="Arial" w:eastAsia="Arial" w:hAnsi="Arial"/>
          <w:color w:val="000000"/>
          <w:sz w:val="22"/>
          <w:szCs w:val="22"/>
        </w:rPr>
        <w:t xml:space="preserve">A six-stream revenue model targeting R45 million per year by Year 3 and R120 million by Year 5.</w:t>
      </w:r>
    </w:p>
    <w:p>
      <w:pPr>
        <w:pStyle w:val="ListParagraph"/>
        <w:numPr>
          <w:ilvl w:val="0"/>
          <w:numId w:val="2"/>
        </w:numPr>
        <w:spacing w:after="60" w:before="0"/>
      </w:pPr>
      <w:r>
        <w:rPr>
          <w:rFonts w:ascii="Arial" w:cs="Arial" w:eastAsia="Arial" w:hAnsi="Arial"/>
          <w:color w:val="000000"/>
          <w:sz w:val="22"/>
          <w:szCs w:val="22"/>
        </w:rPr>
        <w:t xml:space="preserve">A stream launch sequence ordered by readiness, cost, and market urgency.</w:t>
      </w:r>
    </w:p>
    <w:p>
      <w:pPr>
        <w:spacing w:after="120" w:before="0"/>
      </w:pPr>
    </w:p>
    <w:p>
      <w:pPr>
        <w:pStyle w:val="Heading2"/>
        <w:spacing w:after="100" w:before="240"/>
      </w:pPr>
      <w:r>
        <w:rPr>
          <w:rFonts w:ascii="Arial" w:cs="Arial" w:eastAsia="Arial" w:hAnsi="Arial"/>
          <w:b/>
          <w:bCs/>
          <w:color w:val="0F6E56"/>
          <w:sz w:val="24"/>
          <w:szCs w:val="24"/>
        </w:rPr>
        <w:t xml:space="preserve">What comes next</w:t>
      </w:r>
    </w:p>
    <w:p>
      <w:pPr>
        <w:spacing w:after="80" w:before="0"/>
        <w:jc w:val="left"/>
      </w:pPr>
      <w:r>
        <w:rPr>
          <w:rFonts w:ascii="Arial" w:cs="Arial" w:eastAsia="Arial" w:hAnsi="Arial"/>
          <w:b w:val="false"/>
          <w:bCs w:val="false"/>
          <w:i w:val="false"/>
          <w:iCs w:val="false"/>
          <w:color w:val="000000"/>
          <w:sz w:val="22"/>
          <w:szCs w:val="22"/>
        </w:rPr>
        <w:t xml:space="preserve">Phase 4 — Governance, Brand &amp; Web — covers the remaining strategic pillars:</w:t>
      </w:r>
    </w:p>
    <w:p>
      <w:pPr>
        <w:pStyle w:val="ListParagraph"/>
        <w:numPr>
          <w:ilvl w:val="0"/>
          <w:numId w:val="2"/>
        </w:numPr>
        <w:spacing w:after="60" w:before="0"/>
      </w:pPr>
      <w:r>
        <w:rPr>
          <w:rFonts w:ascii="Arial" w:cs="Arial" w:eastAsia="Arial" w:hAnsi="Arial"/>
          <w:color w:val="000000"/>
          <w:sz w:val="22"/>
          <w:szCs w:val="22"/>
        </w:rPr>
        <w:t xml:space="preserve">Governance structure — board, Academic Council, and the relationship between Ginashe Group (Pty) Ltd and Ginashe Academy (Pty) Ltd.</w:t>
      </w:r>
    </w:p>
    <w:p>
      <w:pPr>
        <w:pStyle w:val="ListParagraph"/>
        <w:numPr>
          <w:ilvl w:val="0"/>
          <w:numId w:val="2"/>
        </w:numPr>
        <w:spacing w:after="60" w:before="0"/>
      </w:pPr>
      <w:r>
        <w:rPr>
          <w:rFonts w:ascii="Arial" w:cs="Arial" w:eastAsia="Arial" w:hAnsi="Arial"/>
          <w:color w:val="000000"/>
          <w:sz w:val="22"/>
          <w:szCs w:val="22"/>
        </w:rPr>
        <w:t xml:space="preserve">Brand identity system — the master tagline, stream taglines, colour palette, typography, and photography direction.</w:t>
      </w:r>
    </w:p>
    <w:p>
      <w:pPr>
        <w:pStyle w:val="ListParagraph"/>
        <w:numPr>
          <w:ilvl w:val="0"/>
          <w:numId w:val="2"/>
        </w:numPr>
        <w:spacing w:after="60" w:before="0"/>
      </w:pPr>
      <w:r>
        <w:rPr>
          <w:rFonts w:ascii="Arial" w:cs="Arial" w:eastAsia="Arial" w:hAnsi="Arial"/>
          <w:color w:val="000000"/>
          <w:sz w:val="22"/>
          <w:szCs w:val="22"/>
        </w:rPr>
        <w:t xml:space="preserve">Website architecture — the full ginashe.academy site map and learn.ginashe.academy LMS.</w:t>
      </w:r>
    </w:p>
    <w:p>
      <w:pPr>
        <w:pStyle w:val="ListParagraph"/>
        <w:numPr>
          <w:ilvl w:val="0"/>
          <w:numId w:val="2"/>
        </w:numPr>
        <w:spacing w:after="60" w:before="0"/>
      </w:pPr>
      <w:r>
        <w:rPr>
          <w:rFonts w:ascii="Arial" w:cs="Arial" w:eastAsia="Arial" w:hAnsi="Arial"/>
          <w:color w:val="000000"/>
          <w:sz w:val="22"/>
          <w:szCs w:val="22"/>
        </w:rPr>
        <w:t xml:space="preserve">Partnership framework — partner tiers and the six standard partnership clauses.</w:t>
      </w:r>
    </w:p>
    <w:p>
      <w:pPr>
        <w:pStyle w:val="ListParagraph"/>
        <w:numPr>
          <w:ilvl w:val="0"/>
          <w:numId w:val="2"/>
        </w:numPr>
        <w:spacing w:after="60" w:before="0"/>
      </w:pPr>
      <w:r>
        <w:rPr>
          <w:rFonts w:ascii="Arial" w:cs="Arial" w:eastAsia="Arial" w:hAnsi="Arial"/>
          <w:color w:val="000000"/>
          <w:sz w:val="22"/>
          <w:szCs w:val="22"/>
        </w:rPr>
        <w:t xml:space="preserve">Legal structure — current Pty Ltd configuration, the recommended subsidiary arrangement, and future-state options.</w:t>
      </w:r>
    </w:p>
    <w:p>
      <w:pPr>
        <w:spacing w:after="240" w:before="0"/>
      </w:pPr>
    </w:p>
    <w:p>
      <w:pPr>
        <w:pBdr>
          <w:bottom w:val="single" w:color="0F6E56" w:sz="4" w:space="1"/>
        </w:pBdr>
        <w:spacing w:after="80" w:before="80"/>
      </w:pPr>
    </w:p>
    <w:p>
      <w:pPr>
        <w:spacing w:after="240" w:before="0"/>
      </w:pPr>
    </w:p>
    <w:p>
      <w:pPr>
        <w:spacing w:after="0" w:before="200"/>
        <w:jc w:val="center"/>
      </w:pPr>
      <w:r>
        <w:drawing>
          <wp:inline distT="0" distB="0" distL="0" distR="0">
            <wp:extent cx="3810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123950"/>
                    </a:xfrm>
                    <a:prstGeom prst="rect">
                      <a:avLst/>
                    </a:prstGeom>
                  </pic:spPr>
                </pic:pic>
              </a:graphicData>
            </a:graphic>
          </wp:inline>
        </w:drawing>
      </w:r>
    </w:p>
    <w:p>
      <w:pPr>
        <w:spacing w:after="120" w:before="0"/>
      </w:pPr>
    </w:p>
    <w:p>
      <w:pPr>
        <w:spacing w:after="60" w:before="0"/>
        <w:jc w:val="center"/>
      </w:pPr>
      <w:r>
        <w:rPr>
          <w:rFonts w:ascii="Arial" w:cs="Arial" w:eastAsia="Arial" w:hAnsi="Arial"/>
          <w:i/>
          <w:iCs/>
          <w:color w:val="5A6A7A"/>
          <w:sz w:val="22"/>
          <w:szCs w:val="22"/>
        </w:rPr>
        <w:t xml:space="preserve">Build Something Real</w:t>
      </w:r>
    </w:p>
    <w:p>
      <w:pPr>
        <w:spacing w:after="0" w:before="0"/>
        <w:jc w:val="center"/>
      </w:pPr>
      <w:r>
        <w:rPr>
          <w:rFonts w:ascii="Arial" w:cs="Arial" w:eastAsia="Arial" w:hAnsi="Arial"/>
          <w:color w:val="5A6A7A"/>
          <w:sz w:val="18"/>
          <w:szCs w:val="18"/>
        </w:rPr>
        <w:t xml:space="preserve">ginashe.academy  ·  3 May 2026</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80"/>
      <w:jc w:val="center"/>
    </w:pPr>
    <w:r>
      <w:rPr>
        <w:rFonts w:ascii="Arial" w:cs="Arial" w:eastAsia="Arial" w:hAnsi="Arial"/>
        <w:color w:val="5A6A7A"/>
        <w:sz w:val="18"/>
        <w:szCs w:val="18"/>
      </w:rPr>
      <w:t xml:space="preserve">Ginashe Academy  |  Strategic Blueprint  |  Phase 3 — Delivery, LMS &amp; Revenue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jc w:val="right"/>
    </w:pPr>
    <w:r>
      <w:rPr>
        <w:rFonts w:ascii="Arial" w:cs="Arial" w:eastAsia="Arial" w:hAnsi="Arial"/>
        <w:color w:val="5A6A7A"/>
        <w:sz w:val="18"/>
        <w:szCs w:val="18"/>
      </w:rPr>
      <w:t xml:space="preserve">GINASHE ACADEMY  ·  ginashe.academy  ·  Phase 3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Arial" w:cs="Arial" w:eastAsia="Arial" w:hAnsi="Arial"/>
      <w:b/>
      <w:bCs/>
      <w:color w:val="0B0C10"/>
      <w:sz w:val="30"/>
      <w:szCs w:val="30"/>
    </w:rPr>
  </w:style>
  <w:style w:type="paragraph" w:styleId="Heading2">
    <w:name w:val="Heading 2"/>
    <w:basedOn w:val="Normal"/>
    <w:next w:val="Normal"/>
    <w:qFormat/>
    <w:pPr>
      <w:spacing w:after="100" w:before="240"/>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e052b0ba7785e74b24516788a5bb7b8b6e4bc8.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2026-05-03T19:50:03.368Z</dcterms:created>
  <dcterms:modified xsi:type="dcterms:W3CDTF">2026-05-03T19:50:03.368Z</dcterms:modified>
</cp:coreProperties>
</file>

<file path=docProps/custom.xml><?xml version="1.0" encoding="utf-8"?>
<Properties xmlns="http://schemas.openxmlformats.org/officeDocument/2006/custom-properties" xmlns:vt="http://schemas.openxmlformats.org/officeDocument/2006/docPropsVTypes"/>
</file>