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571625"/>
                    </a:xfrm>
                    <a:prstGeom prst="rect">
                      <a:avLst/>
                    </a:prstGeom>
                  </pic:spPr>
                </pic:pic>
              </a:graphicData>
            </a:graphic>
          </wp:inline>
        </w:drawing>
      </w:r>
    </w:p>
    <w:p>
      <w:pPr>
        <w:pBdr>
          <w:bottom w:val="single" w:color="0F6E56" w:sz="4" w:space="1"/>
        </w:pBdr>
        <w:spacing w:after="80" w:before="80"/>
      </w:pPr>
    </w:p>
    <w:p>
      <w:pPr>
        <w:spacing w:after="240" w:before="0"/>
      </w:pPr>
    </w:p>
    <w:p>
      <w:pPr>
        <w:spacing w:after="60" w:before="0"/>
        <w:jc w:val="center"/>
      </w:pPr>
      <w:r>
        <w:rPr>
          <w:rFonts w:ascii="Arial" w:cs="Arial" w:eastAsia="Arial" w:hAnsi="Arial"/>
          <w:color w:val="5A6A7A"/>
          <w:sz w:val="30"/>
          <w:szCs w:val="30"/>
        </w:rPr>
        <w:t xml:space="preserve">Strategic Blueprint</w:t>
      </w:r>
    </w:p>
    <w:p>
      <w:pPr>
        <w:spacing w:after="40" w:before="0"/>
        <w:jc w:val="center"/>
      </w:pPr>
      <w:r>
        <w:rPr>
          <w:rFonts w:ascii="Arial Black" w:cs="Arial Black" w:eastAsia="Arial Black" w:hAnsi="Arial Black"/>
          <w:b/>
          <w:bCs/>
          <w:color w:val="0B0C10"/>
          <w:spacing w:val="120"/>
          <w:sz w:val="80"/>
          <w:szCs w:val="80"/>
        </w:rPr>
        <w:t xml:space="preserve">PHASE 4</w:t>
      </w:r>
    </w:p>
    <w:p>
      <w:pPr>
        <w:spacing w:after="40" w:before="0"/>
        <w:jc w:val="center"/>
      </w:pPr>
      <w:r>
        <w:rPr>
          <w:rFonts w:ascii="Arial" w:cs="Arial" w:eastAsia="Arial" w:hAnsi="Arial"/>
          <w:b/>
          <w:bCs/>
          <w:color w:val="0F6E56"/>
          <w:sz w:val="42"/>
          <w:szCs w:val="42"/>
        </w:rPr>
        <w:t xml:space="preserve">Governance, Brand &amp; Web</w:t>
      </w:r>
    </w:p>
    <w:p>
      <w:pPr>
        <w:spacing w:after="200" w:before="80"/>
        <w:jc w:val="center"/>
      </w:pPr>
      <w:r>
        <w:rPr>
          <w:rFonts w:ascii="Arial" w:cs="Arial" w:eastAsia="Arial" w:hAnsi="Arial"/>
          <w:b w:val="false"/>
          <w:bCs w:val="false"/>
          <w:i/>
          <w:iCs/>
          <w:color w:val="5A6A7A"/>
          <w:sz w:val="28"/>
          <w:szCs w:val="28"/>
        </w:rPr>
        <w:t xml:space="preserve">How the Academy is governed, presented, and made discoverable</w:t>
      </w:r>
    </w:p>
    <w:p>
      <w:pPr>
        <w:spacing w:after="240" w:before="0"/>
      </w:pPr>
    </w:p>
    <w:p>
      <w:pPr>
        <w:pBdr>
          <w:bottom w:val="single" w:color="0F6E56" w:sz="4" w:space="1"/>
        </w:pBdr>
        <w:spacing w:after="80" w:before="80"/>
      </w:pPr>
    </w:p>
    <w:p>
      <w:pPr>
        <w:spacing w:after="120" w:before="0"/>
      </w:pPr>
    </w:p>
    <w:p>
      <w:pPr>
        <w:spacing w:after="80" w:before="0"/>
        <w:jc w:val="left"/>
      </w:pPr>
      <w:r>
        <w:rPr>
          <w:rFonts w:ascii="Arial" w:cs="Arial" w:eastAsia="Arial" w:hAnsi="Arial"/>
          <w:b/>
          <w:bCs/>
          <w:i w:val="false"/>
          <w:iCs w:val="false"/>
          <w:color w:val="0F6E56"/>
          <w:sz w:val="22"/>
          <w:szCs w:val="22"/>
        </w:rPr>
        <w:t xml:space="preserve">What this document delivers</w:t>
      </w:r>
    </w:p>
    <w:p>
      <w:pPr>
        <w:pStyle w:val="ListParagraph"/>
        <w:numPr>
          <w:ilvl w:val="0"/>
          <w:numId w:val="2"/>
        </w:numPr>
        <w:spacing w:after="60" w:before="0"/>
      </w:pPr>
      <w:r>
        <w:rPr>
          <w:rFonts w:ascii="Arial" w:cs="Arial" w:eastAsia="Arial" w:hAnsi="Arial"/>
          <w:color w:val="000000"/>
          <w:sz w:val="22"/>
          <w:szCs w:val="22"/>
        </w:rPr>
        <w:t xml:space="preserve">Governance structure — board composition, Academic Council, and the relationship between Ginashe Group and Ginashe Academy.</w:t>
      </w:r>
    </w:p>
    <w:p>
      <w:pPr>
        <w:pStyle w:val="ListParagraph"/>
        <w:numPr>
          <w:ilvl w:val="0"/>
          <w:numId w:val="2"/>
        </w:numPr>
        <w:spacing w:after="60" w:before="0"/>
      </w:pPr>
      <w:r>
        <w:rPr>
          <w:rFonts w:ascii="Arial" w:cs="Arial" w:eastAsia="Arial" w:hAnsi="Arial"/>
          <w:color w:val="000000"/>
          <w:sz w:val="22"/>
          <w:szCs w:val="22"/>
        </w:rPr>
        <w:t xml:space="preserve">Brand identity system — primary mark, dual-mode logo specifications, master tagline, stream taglines, full colour system, typography, photography direction.</w:t>
      </w:r>
    </w:p>
    <w:p>
      <w:pPr>
        <w:pStyle w:val="ListParagraph"/>
        <w:numPr>
          <w:ilvl w:val="0"/>
          <w:numId w:val="2"/>
        </w:numPr>
        <w:spacing w:after="60" w:before="0"/>
      </w:pPr>
      <w:r>
        <w:rPr>
          <w:rFonts w:ascii="Arial" w:cs="Arial" w:eastAsia="Arial" w:hAnsi="Arial"/>
          <w:color w:val="000000"/>
          <w:sz w:val="22"/>
          <w:szCs w:val="22"/>
        </w:rPr>
        <w:t xml:space="preserve">Website architecture — eight-section site map for ginashe.academy plus the learn.ginashe.academy LMS subdomain.</w:t>
      </w:r>
    </w:p>
    <w:p>
      <w:pPr>
        <w:pStyle w:val="ListParagraph"/>
        <w:numPr>
          <w:ilvl w:val="0"/>
          <w:numId w:val="2"/>
        </w:numPr>
        <w:spacing w:after="60" w:before="0"/>
      </w:pPr>
      <w:r>
        <w:rPr>
          <w:rFonts w:ascii="Arial" w:cs="Arial" w:eastAsia="Arial" w:hAnsi="Arial"/>
          <w:color w:val="000000"/>
          <w:sz w:val="22"/>
          <w:szCs w:val="22"/>
        </w:rPr>
        <w:t xml:space="preserve">Partnership framework — four partner tiers and six standard partnership clauses.</w:t>
      </w:r>
    </w:p>
    <w:p>
      <w:pPr>
        <w:pStyle w:val="ListParagraph"/>
        <w:numPr>
          <w:ilvl w:val="0"/>
          <w:numId w:val="2"/>
        </w:numPr>
        <w:spacing w:after="60" w:before="0"/>
      </w:pPr>
      <w:r>
        <w:rPr>
          <w:rFonts w:ascii="Arial" w:cs="Arial" w:eastAsia="Arial" w:hAnsi="Arial"/>
          <w:color w:val="000000"/>
          <w:sz w:val="22"/>
          <w:szCs w:val="22"/>
        </w:rPr>
        <w:t xml:space="preserve">Legal structure — Pty Ltd subsidiary configuration, current state, and future-state options for NPC conversion.</w:t>
      </w:r>
    </w:p>
    <w:p>
      <w:pPr>
        <w:spacing w:after="240" w:before="0"/>
      </w:pPr>
    </w:p>
    <w:p>
      <w:pPr>
        <w:pBdr>
          <w:bottom w:val="single" w:color="C8D4E0" w:sz="4" w:space="1"/>
        </w:pBdr>
        <w:spacing w:after="80" w:before="80"/>
      </w:pPr>
    </w:p>
    <w:p>
      <w:pPr>
        <w:spacing w:after="120" w:before="0"/>
      </w:pPr>
    </w:p>
    <w:p>
      <w:pPr>
        <w:spacing w:after="40" w:before="0"/>
        <w:jc w:val="left"/>
      </w:pPr>
      <w:r>
        <w:rPr>
          <w:rFonts w:ascii="Arial" w:cs="Arial" w:eastAsia="Arial" w:hAnsi="Arial"/>
          <w:b w:val="false"/>
          <w:bCs w:val="false"/>
          <w:i/>
          <w:iCs/>
          <w:color w:val="5A6A7A"/>
          <w:sz w:val="20"/>
          <w:szCs w:val="20"/>
        </w:rPr>
        <w:t xml:space="preserve">Document 4 of 4 in the Ginashe Academy Strategic Blueprint</w:t>
      </w:r>
    </w:p>
    <w:p>
      <w:pPr>
        <w:spacing w:after="40" w:before="0"/>
        <w:jc w:val="left"/>
      </w:pPr>
      <w:r>
        <w:rPr>
          <w:rFonts w:ascii="Arial" w:cs="Arial" w:eastAsia="Arial" w:hAnsi="Arial"/>
          <w:b w:val="false"/>
          <w:bCs w:val="false"/>
          <w:i w:val="false"/>
          <w:iCs w:val="false"/>
          <w:color w:val="5A6A7A"/>
          <w:sz w:val="20"/>
          <w:szCs w:val="20"/>
        </w:rPr>
        <w:t xml:space="preserve">Issued: 3 May 2026</w:t>
      </w:r>
    </w:p>
    <w:p>
      <w:pPr>
        <w:spacing w:after="120" w:before="0"/>
        <w:jc w:val="left"/>
      </w:pPr>
      <w:r>
        <w:rPr>
          <w:rFonts w:ascii="Arial" w:cs="Arial" w:eastAsia="Arial" w:hAnsi="Arial"/>
          <w:b w:val="false"/>
          <w:bCs w:val="false"/>
          <w:i w:val="false"/>
          <w:iCs w:val="false"/>
          <w:color w:val="5A6A7A"/>
          <w:sz w:val="20"/>
          <w:szCs w:val="20"/>
        </w:rPr>
        <w:t xml:space="preserve">Prepared by Ginashe Group</w:t>
      </w: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1 — Governance Structure</w:t>
      </w:r>
    </w:p>
    <w:p>
      <w:pPr>
        <w:spacing w:after="140" w:before="0"/>
        <w:jc w:val="left"/>
      </w:pPr>
      <w:r>
        <w:rPr>
          <w:rFonts w:ascii="Arial" w:cs="Arial" w:eastAsia="Arial" w:hAnsi="Arial"/>
          <w:b w:val="false"/>
          <w:bCs w:val="false"/>
          <w:i w:val="false"/>
          <w:iCs w:val="false"/>
          <w:color w:val="000000"/>
          <w:sz w:val="22"/>
          <w:szCs w:val="22"/>
        </w:rPr>
        <w:t xml:space="preserve">Ginashe Academy currently operates as Ginashe Academy (Pty) Ltd — a private company. The recommended structure is for Ginashe Academy (Pty) Ltd to operate as a wholly-owned subsidiary of Ginashe Group (Pty) Ltd, the holding company. This structure provides legal clarity, operational efficiency, and future flexibility — including the option to convert to or to spin out a sister NPC entity at the right time.</w:t>
      </w:r>
    </w:p>
    <w:p>
      <w:pPr>
        <w:pStyle w:val="Heading2"/>
        <w:spacing w:after="100" w:before="240"/>
      </w:pPr>
      <w:r>
        <w:rPr>
          <w:rFonts w:ascii="Arial" w:cs="Arial" w:eastAsia="Arial" w:hAnsi="Arial"/>
          <w:b/>
          <w:bCs/>
          <w:color w:val="0F6E56"/>
          <w:sz w:val="24"/>
          <w:szCs w:val="24"/>
        </w:rPr>
        <w:t xml:space="preserve">Board of Directors</w:t>
      </w:r>
    </w:p>
    <w:p>
      <w:pPr>
        <w:spacing w:after="120" w:before="0"/>
        <w:jc w:val="left"/>
      </w:pPr>
      <w:r>
        <w:rPr>
          <w:rFonts w:ascii="Arial" w:cs="Arial" w:eastAsia="Arial" w:hAnsi="Arial"/>
          <w:b w:val="false"/>
          <w:bCs w:val="false"/>
          <w:i w:val="false"/>
          <w:iCs w:val="false"/>
          <w:color w:val="000000"/>
          <w:sz w:val="22"/>
          <w:szCs w:val="22"/>
        </w:rPr>
        <w:t xml:space="preserve">Even as a Pty Ltd, Ginashe Academy operates with a properly constituted board. The board is the legal, fiduciary, and strategic governing body of the company. Five director roles, with a sixth subcommittee for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FFFFF" w:sz="4"/>
              <w:left w:val="single" w:color="FFFFFF" w:sz="4"/>
              <w:bottom w:val="single" w:color="FFFFFF" w:sz="4"/>
              <w:right w:val="single" w:color="0F6E56"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0F6E56"/>
                <w:sz w:val="17"/>
                <w:szCs w:val="17"/>
              </w:rPr>
              <w:t xml:space="preserve">Chair</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Chairperson — Independent non-executive</w:t>
            </w:r>
          </w:p>
          <w:p>
            <w:pPr>
              <w:spacing w:after="0" w:before="0"/>
            </w:pPr>
            <w:r>
              <w:rPr>
                <w:rFonts w:ascii="Arial" w:cs="Arial" w:eastAsia="Arial" w:hAnsi="Arial"/>
                <w:color w:val="5A6A7A"/>
                <w:sz w:val="20"/>
                <w:szCs w:val="20"/>
              </w:rPr>
              <w:t xml:space="preserve">Provides governance, fiduciary oversight, and public credibility. External to Ginashe Group operations. Appointed for an initial three-year term, renewable once. Recommended for the first board even though not legally required for a small Pty Ltd.</w:t>
            </w:r>
          </w:p>
        </w:tc>
      </w:tr>
      <w:tr>
        <w:tc>
          <w:tcPr>
            <w:tcW w:type="dxa" w:w="1100"/>
            <w:tcBorders>
              <w:top w:val="single" w:color="FFFFFF" w:sz="4"/>
              <w:left w:val="single" w:color="FFFFFF" w:sz="4"/>
              <w:bottom w:val="single" w:color="FFFFFF" w:sz="4"/>
              <w:right w:val="single" w:color="1B4F8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1B4F8A"/>
                <w:sz w:val="17"/>
                <w:szCs w:val="17"/>
              </w:rPr>
              <w:t xml:space="preserve">MD</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Managing Director — Ginashe Group nominee</w:t>
            </w:r>
          </w:p>
          <w:p>
            <w:pPr>
              <w:spacing w:after="0" w:before="0"/>
            </w:pPr>
            <w:r>
              <w:rPr>
                <w:rFonts w:ascii="Arial" w:cs="Arial" w:eastAsia="Arial" w:hAnsi="Arial"/>
                <w:color w:val="5A6A7A"/>
                <w:sz w:val="20"/>
                <w:szCs w:val="20"/>
              </w:rPr>
              <w:t xml:space="preserve">Holds the operational and strategic mandate. Day-to-day accountability for delivery of the Academy's mission. Maintains the relationship between Ginashe Group (parent) and Ginashe Academy (subsidiary).</w:t>
            </w:r>
          </w:p>
        </w:tc>
      </w:tr>
      <w:tr>
        <w:tc>
          <w:tcPr>
            <w:tcW w:type="dxa" w:w="1100"/>
            <w:tcBorders>
              <w:top w:val="single" w:color="FFFFFF" w:sz="4"/>
              <w:left w:val="single" w:color="FFFFFF" w:sz="4"/>
              <w:bottom w:val="single" w:color="FFFFFF" w:sz="4"/>
              <w:right w:val="single" w:color="854F0B"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854F0B"/>
                <w:sz w:val="17"/>
                <w:szCs w:val="17"/>
              </w:rPr>
              <w:t xml:space="preserve">NED-1</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Non-executive Director — Industry nominee</w:t>
            </w:r>
          </w:p>
          <w:p>
            <w:pPr>
              <w:spacing w:after="0" w:before="0"/>
            </w:pPr>
            <w:r>
              <w:rPr>
                <w:rFonts w:ascii="Arial" w:cs="Arial" w:eastAsia="Arial" w:hAnsi="Arial"/>
                <w:color w:val="5A6A7A"/>
                <w:sz w:val="20"/>
                <w:szCs w:val="20"/>
              </w:rPr>
              <w:t xml:space="preserve">Brings industry credibility and employer relations. Curriculum quality input from a market perspective. Typically a senior practitioner from one of the Academy's priority sectors (cloud, energy, health, agriculture).</w:t>
            </w:r>
          </w:p>
        </w:tc>
      </w:tr>
      <w:tr>
        <w:tc>
          <w:tcPr>
            <w:tcW w:type="dxa" w:w="1100"/>
            <w:tcBorders>
              <w:top w:val="single" w:color="FFFFFF" w:sz="4"/>
              <w:left w:val="single" w:color="FFFFFF" w:sz="4"/>
              <w:bottom w:val="single" w:color="FFFFFF" w:sz="4"/>
              <w:right w:val="single" w:color="3C3489"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3C3489"/>
                <w:sz w:val="17"/>
                <w:szCs w:val="17"/>
              </w:rPr>
              <w:t xml:space="preserve">NED-2</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Non-executive Director — Academic nominee</w:t>
            </w:r>
          </w:p>
          <w:p>
            <w:pPr>
              <w:spacing w:after="0" w:before="0"/>
            </w:pPr>
            <w:r>
              <w:rPr>
                <w:rFonts w:ascii="Arial" w:cs="Arial" w:eastAsia="Arial" w:hAnsi="Arial"/>
                <w:color w:val="5A6A7A"/>
                <w:sz w:val="20"/>
                <w:szCs w:val="20"/>
              </w:rPr>
              <w:t xml:space="preserve">Brings academic rigour and accreditation expertise. Provides external moderation guidance. Typically a senior academic from a SA university or an experienced SETA accreditation specialist.</w:t>
            </w:r>
          </w:p>
        </w:tc>
      </w:tr>
      <w:tr>
        <w:tc>
          <w:tcPr>
            <w:tcW w:type="dxa" w:w="1100"/>
            <w:tcBorders>
              <w:top w:val="single" w:color="FFFFFF" w:sz="4"/>
              <w:left w:val="single" w:color="FFFFFF" w:sz="4"/>
              <w:bottom w:val="single" w:color="FFFFFF" w:sz="4"/>
              <w:right w:val="single" w:color="3B6D11"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3B6D11"/>
                <w:sz w:val="17"/>
                <w:szCs w:val="17"/>
              </w:rPr>
              <w:t xml:space="preserve">COMM</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Community Representative</w:t>
            </w:r>
          </w:p>
          <w:p>
            <w:pPr>
              <w:spacing w:after="0" w:before="0"/>
            </w:pPr>
            <w:r>
              <w:rPr>
                <w:rFonts w:ascii="Arial" w:cs="Arial" w:eastAsia="Arial" w:hAnsi="Arial"/>
                <w:color w:val="5A6A7A"/>
                <w:sz w:val="20"/>
                <w:szCs w:val="20"/>
              </w:rPr>
              <w:t xml:space="preserve">Elected by the learner alumni body each year. Provides the learner voice at board level. Ensures the Academy's mission stays grounded in learner reality, not boardroom abstraction. May join formally once the alumni body reaches sufficient size.</w:t>
            </w:r>
          </w:p>
        </w:tc>
      </w:tr>
      <w:tr>
        <w:tc>
          <w:tcPr>
            <w:tcW w:type="dxa" w:w="1100"/>
            <w:tcBorders>
              <w:top w:val="single" w:color="FFFFFF" w:sz="4"/>
              <w:left w:val="single" w:color="FFFFFF" w:sz="4"/>
              <w:bottom w:val="single" w:color="FFFFFF" w:sz="4"/>
              <w:right w:val="single" w:color="993556"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993556"/>
                <w:sz w:val="17"/>
                <w:szCs w:val="17"/>
              </w:rPr>
              <w:t xml:space="preserve">FIN</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Finance Committee</w:t>
            </w:r>
          </w:p>
          <w:p>
            <w:pPr>
              <w:spacing w:after="0" w:before="0"/>
            </w:pPr>
            <w:r>
              <w:rPr>
                <w:rFonts w:ascii="Arial" w:cs="Arial" w:eastAsia="Arial" w:hAnsi="Arial"/>
                <w:color w:val="5A6A7A"/>
                <w:sz w:val="20"/>
                <w:szCs w:val="20"/>
              </w:rPr>
              <w:t xml:space="preserve">Subcommittee of the board. Oversees SETA reporting, grant expenditure, audit findings, and partner reporting. Meets quarterly. Reviews accounts before they go to the full board. Critical even at Pty Ltd stage — SETA expects this oversight to exist.</w:t>
            </w:r>
          </w:p>
        </w:tc>
      </w:tr>
    </w:tbl>
    <w:p>
      <w:pPr>
        <w:spacing w:after="240" w:before="0"/>
      </w:pPr>
    </w:p>
    <w:p>
      <w:pPr>
        <w:pStyle w:val="Heading2"/>
        <w:spacing w:after="100" w:before="240"/>
      </w:pPr>
      <w:r>
        <w:rPr>
          <w:rFonts w:ascii="Arial" w:cs="Arial" w:eastAsia="Arial" w:hAnsi="Arial"/>
          <w:b/>
          <w:bCs/>
          <w:color w:val="0F6E56"/>
          <w:sz w:val="24"/>
          <w:szCs w:val="24"/>
        </w:rPr>
        <w:t xml:space="preserve">Academic Council</w:t>
      </w:r>
    </w:p>
    <w:p>
      <w:pPr>
        <w:spacing w:after="120" w:before="0"/>
        <w:jc w:val="left"/>
      </w:pPr>
      <w:r>
        <w:rPr>
          <w:rFonts w:ascii="Arial" w:cs="Arial" w:eastAsia="Arial" w:hAnsi="Arial"/>
          <w:b w:val="false"/>
          <w:bCs w:val="false"/>
          <w:i w:val="false"/>
          <w:iCs w:val="false"/>
          <w:color w:val="000000"/>
          <w:sz w:val="22"/>
          <w:szCs w:val="22"/>
        </w:rPr>
        <w:t xml:space="preserve">Where the board governs the institution, the Academic Council governs the curriculum. Curriculum decisions cannot be made by financial signatories alone — they require academic and industry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40"/>
              <w:left w:type="dxa" w:w="200"/>
              <w:bottom w:type="dxa" w:w="120"/>
              <w:right w:type="dxa" w:w="140"/>
            </w:tcMar>
          </w:tcPr>
          <w:p>
            <w:pPr>
              <w:spacing w:after="30" w:before="0"/>
            </w:pPr>
            <w:r>
              <w:rPr>
                <w:rFonts w:ascii="Arial" w:cs="Arial" w:eastAsia="Arial" w:hAnsi="Arial"/>
                <w:b/>
                <w:bCs/>
                <w:color w:val="0F6E56"/>
                <w:sz w:val="22"/>
                <w:szCs w:val="22"/>
              </w:rPr>
              <w:t xml:space="preserve">Academic Council</w:t>
            </w:r>
          </w:p>
          <w:p>
            <w:pPr>
              <w:spacing w:after="60" w:before="0"/>
            </w:pPr>
            <w:r>
              <w:rPr>
                <w:rFonts w:ascii="Arial" w:cs="Arial" w:eastAsia="Arial" w:hAnsi="Arial"/>
                <w:i/>
                <w:iCs/>
                <w:color w:val="5A6A7A"/>
                <w:sz w:val="18"/>
                <w:szCs w:val="18"/>
              </w:rPr>
              <w:t xml:space="preserve">Quarterly governance of curriculum and assessment</w:t>
            </w:r>
          </w:p>
          <w:p>
            <w:pPr>
              <w:spacing w:after="0" w:before="0"/>
            </w:pPr>
            <w:r>
              <w:rPr>
                <w:rFonts w:ascii="Arial" w:cs="Arial" w:eastAsia="Arial" w:hAnsi="Arial"/>
                <w:color w:val="0B0C10"/>
                <w:sz w:val="21"/>
                <w:szCs w:val="21"/>
              </w:rPr>
              <w:t xml:space="preserve">Chaired by the Academic Director. Comprises all 10 stream leads plus 2 external academics. Approves curriculum changes, new programmes, assessment standards, and external moderation reports. Meets quarterly. Empowered to escalate concerns directly to the board.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40"/>
              <w:left w:type="dxa" w:w="200"/>
              <w:bottom w:type="dxa" w:w="120"/>
              <w:right w:type="dxa" w:w="140"/>
            </w:tcMar>
          </w:tcPr>
          <w:p>
            <w:pPr>
              <w:spacing w:after="30" w:before="0"/>
            </w:pPr>
            <w:r>
              <w:rPr>
                <w:rFonts w:ascii="Arial" w:cs="Arial" w:eastAsia="Arial" w:hAnsi="Arial"/>
                <w:b/>
                <w:bCs/>
                <w:color w:val="1B4F8A"/>
                <w:sz w:val="22"/>
                <w:szCs w:val="22"/>
              </w:rPr>
              <w:t xml:space="preserve">External Moderation Panel</w:t>
            </w:r>
          </w:p>
          <w:p>
            <w:pPr>
              <w:spacing w:after="60" w:before="0"/>
            </w:pPr>
            <w:r>
              <w:rPr>
                <w:rFonts w:ascii="Arial" w:cs="Arial" w:eastAsia="Arial" w:hAnsi="Arial"/>
                <w:i/>
                <w:iCs/>
                <w:color w:val="5A6A7A"/>
                <w:sz w:val="18"/>
                <w:szCs w:val="18"/>
              </w:rPr>
              <w:t xml:space="preserve">Per SETA accreditation requirement</w:t>
            </w:r>
          </w:p>
          <w:p>
            <w:pPr>
              <w:spacing w:after="0" w:before="0"/>
            </w:pPr>
            <w:r>
              <w:rPr>
                <w:rFonts w:ascii="Arial" w:cs="Arial" w:eastAsia="Arial" w:hAnsi="Arial"/>
                <w:color w:val="0B0C10"/>
                <w:sz w:val="21"/>
                <w:szCs w:val="21"/>
              </w:rPr>
              <w:t xml:space="preserve">Reviews 10% of all marked assessments per cohort. Conducts annual curriculum quality review per stream. Members are SETA-approved and entirely independent of the Academy. Critical for maintaining provisional and full SETA accreditation.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40"/>
              <w:left w:type="dxa" w:w="200"/>
              <w:bottom w:type="dxa" w:w="120"/>
              <w:right w:type="dxa" w:w="140"/>
            </w:tcMar>
          </w:tcPr>
          <w:p>
            <w:pPr>
              <w:spacing w:after="30" w:before="0"/>
            </w:pPr>
            <w:r>
              <w:rPr>
                <w:rFonts w:ascii="Arial" w:cs="Arial" w:eastAsia="Arial" w:hAnsi="Arial"/>
                <w:b/>
                <w:bCs/>
                <w:color w:val="854F0B"/>
                <w:sz w:val="22"/>
                <w:szCs w:val="22"/>
              </w:rPr>
              <w:t xml:space="preserve">Student Representative Council</w:t>
            </w:r>
          </w:p>
          <w:p>
            <w:pPr>
              <w:spacing w:after="60" w:before="0"/>
            </w:pPr>
            <w:r>
              <w:rPr>
                <w:rFonts w:ascii="Arial" w:cs="Arial" w:eastAsia="Arial" w:hAnsi="Arial"/>
                <w:i/>
                <w:iCs/>
                <w:color w:val="5A6A7A"/>
                <w:sz w:val="18"/>
                <w:szCs w:val="18"/>
              </w:rPr>
              <w:t xml:space="preserve">Monthly governance from the learner perspective</w:t>
            </w:r>
          </w:p>
          <w:p>
            <w:pPr>
              <w:spacing w:after="0" w:before="0"/>
            </w:pPr>
            <w:r>
              <w:rPr>
                <w:rFonts w:ascii="Arial" w:cs="Arial" w:eastAsia="Arial" w:hAnsi="Arial"/>
                <w:color w:val="0B0C10"/>
                <w:sz w:val="21"/>
                <w:szCs w:val="21"/>
              </w:rPr>
              <w:t xml:space="preserve">Elected by each cohort. Provides the formal feedback channel from learner to leadership. Meets monthly with the Academic Director. Participates in programme reviews. Empowered to raise concerns to the Community Representative on the board.</w:t>
            </w:r>
          </w:p>
        </w:tc>
      </w:tr>
    </w:tbl>
    <w:p>
      <w:pPr>
        <w:spacing w:after="240" w:before="0"/>
      </w:pPr>
    </w:p>
    <w:p>
      <w:pPr>
        <w:pStyle w:val="Heading2"/>
        <w:spacing w:after="100" w:before="240"/>
      </w:pPr>
      <w:r>
        <w:rPr>
          <w:rFonts w:ascii="Arial" w:cs="Arial" w:eastAsia="Arial" w:hAnsi="Arial"/>
          <w:b/>
          <w:bCs/>
          <w:color w:val="0F6E56"/>
          <w:sz w:val="24"/>
          <w:szCs w:val="24"/>
        </w:rPr>
        <w:t xml:space="preserve">Ginashe Group relationship</w:t>
      </w:r>
    </w:p>
    <w:p>
      <w:pPr>
        <w:spacing w:after="120" w:before="0"/>
        <w:jc w:val="left"/>
      </w:pPr>
      <w:r>
        <w:rPr>
          <w:rFonts w:ascii="Arial" w:cs="Arial" w:eastAsia="Arial" w:hAnsi="Arial"/>
          <w:b w:val="false"/>
          <w:bCs w:val="false"/>
          <w:i w:val="false"/>
          <w:iCs w:val="false"/>
          <w:color w:val="000000"/>
          <w:sz w:val="22"/>
          <w:szCs w:val="22"/>
        </w:rPr>
        <w:t xml:space="preserve">The recommended structure is for Ginashe Academy (Pty) Ltd to be a wholly-owned subsidiary of Ginashe Group (Pty) Ltd. This is the cleanest configuration for the early years and offers four advantages over running the Academy as a separate, independent entity:</w:t>
      </w:r>
    </w:p>
    <w:p>
      <w:pPr>
        <w:pStyle w:val="ListParagraph"/>
        <w:numPr>
          <w:ilvl w:val="0"/>
          <w:numId w:val="2"/>
        </w:numPr>
        <w:spacing w:after="60" w:before="0"/>
      </w:pPr>
      <w:r>
        <w:rPr>
          <w:rFonts w:ascii="Arial" w:cs="Arial" w:eastAsia="Arial" w:hAnsi="Arial"/>
          <w:color w:val="000000"/>
          <w:sz w:val="22"/>
          <w:szCs w:val="22"/>
        </w:rPr>
        <w:t xml:space="preserve">Brand and credibility transfer — the Group's existing relationships, vendor contracts, banking infrastructure, and credibility transfer to the subsidiary instantly. A separate independent entity must rebuild all of this from scratch.</w:t>
      </w:r>
    </w:p>
    <w:p>
      <w:pPr>
        <w:pStyle w:val="ListParagraph"/>
        <w:numPr>
          <w:ilvl w:val="0"/>
          <w:numId w:val="2"/>
        </w:numPr>
        <w:spacing w:after="60" w:before="0"/>
      </w:pPr>
      <w:r>
        <w:rPr>
          <w:rFonts w:ascii="Arial" w:cs="Arial" w:eastAsia="Arial" w:hAnsi="Arial"/>
          <w:color w:val="000000"/>
          <w:sz w:val="22"/>
          <w:szCs w:val="22"/>
        </w:rPr>
        <w:t xml:space="preserve">Tax efficiency on early-year losses — early-stage Academy losses can be group-relief'd against Ginashe Group profits in the same financial year. As a separate independent entity, those losses sit unused on the books for years before becoming valuable.</w:t>
      </w:r>
    </w:p>
    <w:p>
      <w:pPr>
        <w:pStyle w:val="ListParagraph"/>
        <w:numPr>
          <w:ilvl w:val="0"/>
          <w:numId w:val="2"/>
        </w:numPr>
        <w:spacing w:after="60" w:before="0"/>
      </w:pPr>
      <w:r>
        <w:rPr>
          <w:rFonts w:ascii="Arial" w:cs="Arial" w:eastAsia="Arial" w:hAnsi="Arial"/>
          <w:color w:val="000000"/>
          <w:sz w:val="22"/>
          <w:szCs w:val="22"/>
        </w:rPr>
        <w:t xml:space="preserve">Operational simplicity — shared services (IT infrastructure, finance, HR, legal counsel) flow naturally between parent and subsidiary without elaborate management-fee paperwork or transfer-pricing complexity. Auditors and SARS understand and accept this structure routinely.</w:t>
      </w:r>
    </w:p>
    <w:p>
      <w:pPr>
        <w:pStyle w:val="ListParagraph"/>
        <w:numPr>
          <w:ilvl w:val="0"/>
          <w:numId w:val="2"/>
        </w:numPr>
        <w:spacing w:after="60" w:before="0"/>
      </w:pPr>
      <w:r>
        <w:rPr>
          <w:rFonts w:ascii="Arial" w:cs="Arial" w:eastAsia="Arial" w:hAnsi="Arial"/>
          <w:color w:val="000000"/>
          <w:sz w:val="22"/>
          <w:szCs w:val="22"/>
        </w:rPr>
        <w:t xml:space="preserve">Future optionality — if the Academy later requires NPC conversion (when SETA grants and donor money become significant) or external investment, separating a subsidiary is far simpler than restructuring an independent entity. The subsidiary can also operate alongside a future sister NPC for the bursary or grant arm.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40"/>
              <w:left w:type="dxa" w:w="200"/>
              <w:bottom w:type="dxa" w:w="120"/>
              <w:right w:type="dxa" w:w="140"/>
            </w:tcMar>
          </w:tcPr>
          <w:p>
            <w:pPr>
              <w:spacing w:after="30" w:before="0"/>
            </w:pPr>
            <w:r>
              <w:rPr>
                <w:rFonts w:ascii="Arial" w:cs="Arial" w:eastAsia="Arial" w:hAnsi="Arial"/>
                <w:b/>
                <w:bCs/>
                <w:color w:val="3C3489"/>
                <w:sz w:val="22"/>
                <w:szCs w:val="22"/>
              </w:rPr>
              <w:t xml:space="preserve">Service-level agreement between parent and subsidiary</w:t>
            </w:r>
          </w:p>
          <w:p>
            <w:pPr>
              <w:spacing w:after="60" w:before="0"/>
            </w:pPr>
            <w:r>
              <w:rPr>
                <w:rFonts w:ascii="Arial" w:cs="Arial" w:eastAsia="Arial" w:hAnsi="Arial"/>
                <w:i/>
                <w:iCs/>
                <w:color w:val="5A6A7A"/>
                <w:sz w:val="18"/>
                <w:szCs w:val="18"/>
              </w:rPr>
              <w:t xml:space="preserve">Required even within the same group</w:t>
            </w:r>
          </w:p>
          <w:p>
            <w:pPr>
              <w:spacing w:after="0" w:before="0"/>
            </w:pPr>
            <w:r>
              <w:rPr>
                <w:rFonts w:ascii="Arial" w:cs="Arial" w:eastAsia="Arial" w:hAnsi="Arial"/>
                <w:color w:val="0B0C10"/>
                <w:sz w:val="21"/>
                <w:szCs w:val="21"/>
              </w:rPr>
              <w:t xml:space="preserve">A formal SLA between Ginashe Group and Ginashe Academy documents the management services provided (IT, finance, HR), the fees charged (transparent, market-rate), and the delivery commitments. This is required by SARS for transfer-pricing compliance and by SETAs as evidence of operational independence at the curriculum level.</w:t>
            </w:r>
          </w:p>
        </w:tc>
      </w:tr>
    </w:tbl>
    <w:p>
      <w:pPr>
        <w:spacing w:after="240" w:before="0"/>
      </w:pPr>
    </w:p>
    <w:p>
      <w:pPr>
        <w:pStyle w:val="Heading2"/>
        <w:spacing w:after="100" w:before="240"/>
      </w:pPr>
      <w:r>
        <w:rPr>
          <w:rFonts w:ascii="Arial" w:cs="Arial" w:eastAsia="Arial" w:hAnsi="Arial"/>
          <w:b/>
          <w:bCs/>
          <w:color w:val="0F6E56"/>
          <w:sz w:val="24"/>
          <w:szCs w:val="24"/>
        </w:rPr>
        <w:t xml:space="preserve">Core policy framework</w:t>
      </w:r>
    </w:p>
    <w:p>
      <w:pPr>
        <w:spacing w:after="80" w:before="0"/>
        <w:jc w:val="left"/>
      </w:pPr>
      <w:r>
        <w:rPr>
          <w:rFonts w:ascii="Arial" w:cs="Arial" w:eastAsia="Arial" w:hAnsi="Arial"/>
          <w:b w:val="false"/>
          <w:bCs w:val="false"/>
          <w:i w:val="false"/>
          <w:iCs w:val="false"/>
          <w:color w:val="000000"/>
          <w:sz w:val="22"/>
          <w:szCs w:val="22"/>
        </w:rPr>
        <w:t xml:space="preserve">Every training provider in the South African education sector must maintain a defined policy framework. Ginashe Academy's framework consists of nine documents that are reviewed annually by the Academic Council and approved by the board:</w:t>
      </w:r>
    </w:p>
    <w:p>
      <w:pPr>
        <w:pStyle w:val="ListParagraph"/>
        <w:numPr>
          <w:ilvl w:val="0"/>
          <w:numId w:val="2"/>
        </w:numPr>
        <w:spacing w:after="60" w:before="0"/>
      </w:pPr>
      <w:r>
        <w:rPr>
          <w:rFonts w:ascii="Arial" w:cs="Arial" w:eastAsia="Arial" w:hAnsi="Arial"/>
          <w:color w:val="000000"/>
          <w:sz w:val="22"/>
          <w:szCs w:val="22"/>
        </w:rPr>
        <w:t xml:space="preserve">Academic integrity policy — defines plagiarism, AI-assisted work boundaries, and assessment fraud.</w:t>
      </w:r>
    </w:p>
    <w:p>
      <w:pPr>
        <w:pStyle w:val="ListParagraph"/>
        <w:numPr>
          <w:ilvl w:val="0"/>
          <w:numId w:val="2"/>
        </w:numPr>
        <w:spacing w:after="60" w:before="0"/>
      </w:pPr>
      <w:r>
        <w:rPr>
          <w:rFonts w:ascii="Arial" w:cs="Arial" w:eastAsia="Arial" w:hAnsi="Arial"/>
          <w:color w:val="000000"/>
          <w:sz w:val="22"/>
          <w:szCs w:val="22"/>
        </w:rPr>
        <w:t xml:space="preserve">Learner rights and responsibilities charter — issued to every learner at intake.</w:t>
      </w:r>
    </w:p>
    <w:p>
      <w:pPr>
        <w:pStyle w:val="ListParagraph"/>
        <w:numPr>
          <w:ilvl w:val="0"/>
          <w:numId w:val="2"/>
        </w:numPr>
        <w:spacing w:after="60" w:before="0"/>
      </w:pPr>
      <w:r>
        <w:rPr>
          <w:rFonts w:ascii="Arial" w:cs="Arial" w:eastAsia="Arial" w:hAnsi="Arial"/>
          <w:color w:val="000000"/>
          <w:sz w:val="22"/>
          <w:szCs w:val="22"/>
        </w:rPr>
        <w:t xml:space="preserve">Facilitator code of conduct — defines professional standards for every facilitator.</w:t>
      </w:r>
    </w:p>
    <w:p>
      <w:pPr>
        <w:pStyle w:val="ListParagraph"/>
        <w:numPr>
          <w:ilvl w:val="0"/>
          <w:numId w:val="2"/>
        </w:numPr>
        <w:spacing w:after="60" w:before="0"/>
      </w:pPr>
      <w:r>
        <w:rPr>
          <w:rFonts w:ascii="Arial" w:cs="Arial" w:eastAsia="Arial" w:hAnsi="Arial"/>
          <w:color w:val="000000"/>
          <w:sz w:val="22"/>
          <w:szCs w:val="22"/>
        </w:rPr>
        <w:t xml:space="preserve">POPIA privacy policy — Information Officer appointed, data subject rights documented.</w:t>
      </w:r>
    </w:p>
    <w:p>
      <w:pPr>
        <w:pStyle w:val="ListParagraph"/>
        <w:numPr>
          <w:ilvl w:val="0"/>
          <w:numId w:val="2"/>
        </w:numPr>
        <w:spacing w:after="60" w:before="0"/>
      </w:pPr>
      <w:r>
        <w:rPr>
          <w:rFonts w:ascii="Arial" w:cs="Arial" w:eastAsia="Arial" w:hAnsi="Arial"/>
          <w:color w:val="000000"/>
          <w:sz w:val="22"/>
          <w:szCs w:val="22"/>
        </w:rPr>
        <w:t xml:space="preserve">Whistleblower protection policy — anonymous reporting channel for ethics concerns.</w:t>
      </w:r>
    </w:p>
    <w:p>
      <w:pPr>
        <w:pStyle w:val="ListParagraph"/>
        <w:numPr>
          <w:ilvl w:val="0"/>
          <w:numId w:val="2"/>
        </w:numPr>
        <w:spacing w:after="60" w:before="0"/>
      </w:pPr>
      <w:r>
        <w:rPr>
          <w:rFonts w:ascii="Arial" w:cs="Arial" w:eastAsia="Arial" w:hAnsi="Arial"/>
          <w:color w:val="000000"/>
          <w:sz w:val="22"/>
          <w:szCs w:val="22"/>
        </w:rPr>
        <w:t xml:space="preserve">Conflict of interest register — declared annually by every board member and employee.</w:t>
      </w:r>
    </w:p>
    <w:p>
      <w:pPr>
        <w:pStyle w:val="ListParagraph"/>
        <w:numPr>
          <w:ilvl w:val="0"/>
          <w:numId w:val="2"/>
        </w:numPr>
        <w:spacing w:after="60" w:before="0"/>
      </w:pPr>
      <w:r>
        <w:rPr>
          <w:rFonts w:ascii="Arial" w:cs="Arial" w:eastAsia="Arial" w:hAnsi="Arial"/>
          <w:color w:val="000000"/>
          <w:sz w:val="22"/>
          <w:szCs w:val="22"/>
        </w:rPr>
        <w:t xml:space="preserve">Grievance and appeals procedure — formal route for learner complaints and assessment appeals.</w:t>
      </w:r>
    </w:p>
    <w:p>
      <w:pPr>
        <w:pStyle w:val="ListParagraph"/>
        <w:numPr>
          <w:ilvl w:val="0"/>
          <w:numId w:val="2"/>
        </w:numPr>
        <w:spacing w:after="60" w:before="0"/>
      </w:pPr>
      <w:r>
        <w:rPr>
          <w:rFonts w:ascii="Arial" w:cs="Arial" w:eastAsia="Arial" w:hAnsi="Arial"/>
          <w:color w:val="000000"/>
          <w:sz w:val="22"/>
          <w:szCs w:val="22"/>
        </w:rPr>
        <w:t xml:space="preserve">Safeguarding policy for minor learners — applies to ECD school and any course with under-18s.</w:t>
      </w:r>
    </w:p>
    <w:p>
      <w:pPr>
        <w:pStyle w:val="ListParagraph"/>
        <w:numPr>
          <w:ilvl w:val="0"/>
          <w:numId w:val="2"/>
        </w:numPr>
        <w:spacing w:after="60" w:before="0"/>
      </w:pPr>
      <w:r>
        <w:rPr>
          <w:rFonts w:ascii="Arial" w:cs="Arial" w:eastAsia="Arial" w:hAnsi="Arial"/>
          <w:color w:val="000000"/>
          <w:sz w:val="22"/>
          <w:szCs w:val="22"/>
        </w:rPr>
        <w:t xml:space="preserve">Inclusion and accessibility policy — disability accommodation, language support, gender equity.</w:t>
      </w:r>
    </w:p>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2 — Brand Identity System</w:t>
      </w:r>
    </w:p>
    <w:p>
      <w:pPr>
        <w:spacing w:after="140" w:before="0"/>
        <w:jc w:val="left"/>
      </w:pPr>
      <w:r>
        <w:rPr>
          <w:rFonts w:ascii="Arial" w:cs="Arial" w:eastAsia="Arial" w:hAnsi="Arial"/>
          <w:b w:val="false"/>
          <w:bCs w:val="false"/>
          <w:i w:val="false"/>
          <w:iCs w:val="false"/>
          <w:color w:val="000000"/>
          <w:sz w:val="22"/>
          <w:szCs w:val="22"/>
        </w:rPr>
        <w:t xml:space="preserve">Ginashe Academy's brand identity is built around three principles: African-grounded, future-forward, and unmistakeably practical. The brand must work equally well on a township campus signboard, a corporate B-BBEE proposal, a smartphone LMS app, and a SETA accreditation document. The system below makes that possible.</w:t>
      </w:r>
    </w:p>
    <w:p>
      <w:pPr>
        <w:pStyle w:val="Heading2"/>
        <w:spacing w:after="100" w:before="240"/>
      </w:pPr>
      <w:r>
        <w:rPr>
          <w:rFonts w:ascii="Arial" w:cs="Arial" w:eastAsia="Arial" w:hAnsi="Arial"/>
          <w:b/>
          <w:bCs/>
          <w:color w:val="0F6E56"/>
          <w:sz w:val="24"/>
          <w:szCs w:val="24"/>
        </w:rPr>
        <w:t xml:space="preserve">Brand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40"/>
              <w:left w:type="dxa" w:w="200"/>
              <w:bottom w:type="dxa" w:w="120"/>
              <w:right w:type="dxa" w:w="140"/>
            </w:tcMar>
          </w:tcPr>
          <w:p>
            <w:pPr>
              <w:spacing w:after="30" w:before="0"/>
            </w:pPr>
            <w:r>
              <w:rPr>
                <w:rFonts w:ascii="Arial" w:cs="Arial" w:eastAsia="Arial" w:hAnsi="Arial"/>
                <w:b/>
                <w:bCs/>
                <w:color w:val="0F6E56"/>
                <w:sz w:val="22"/>
                <w:szCs w:val="22"/>
              </w:rPr>
              <w:t xml:space="preserve">Mission</w:t>
            </w:r>
          </w:p>
          <w:p>
            <w:pPr>
              <w:spacing w:after="60" w:before="0"/>
            </w:pPr>
            <w:r>
              <w:rPr>
                <w:rFonts w:ascii="Arial" w:cs="Arial" w:eastAsia="Arial" w:hAnsi="Arial"/>
                <w:i/>
                <w:iCs/>
                <w:color w:val="5A6A7A"/>
                <w:sz w:val="18"/>
                <w:szCs w:val="18"/>
              </w:rPr>
              <w:t xml:space="preserve">What Ginashe Academy exists to do</w:t>
            </w:r>
          </w:p>
          <w:p>
            <w:pPr>
              <w:spacing w:after="0" w:before="0"/>
            </w:pPr>
            <w:r>
              <w:rPr>
                <w:rFonts w:ascii="Arial" w:cs="Arial" w:eastAsia="Arial" w:hAnsi="Arial"/>
                <w:color w:val="0B0C10"/>
                <w:sz w:val="21"/>
                <w:szCs w:val="21"/>
              </w:rPr>
              <w:t xml:space="preserve">Making transformation a reality — one learner at a time.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40"/>
              <w:left w:type="dxa" w:w="200"/>
              <w:bottom w:type="dxa" w:w="120"/>
              <w:right w:type="dxa" w:w="140"/>
            </w:tcMar>
          </w:tcPr>
          <w:p>
            <w:pPr>
              <w:spacing w:after="30" w:before="0"/>
            </w:pPr>
            <w:r>
              <w:rPr>
                <w:rFonts w:ascii="Arial" w:cs="Arial" w:eastAsia="Arial" w:hAnsi="Arial"/>
                <w:b/>
                <w:bCs/>
                <w:color w:val="1B4F8A"/>
                <w:sz w:val="22"/>
                <w:szCs w:val="22"/>
              </w:rPr>
              <w:t xml:space="preserve">Vision</w:t>
            </w:r>
          </w:p>
          <w:p>
            <w:pPr>
              <w:spacing w:after="60" w:before="0"/>
            </w:pPr>
            <w:r>
              <w:rPr>
                <w:rFonts w:ascii="Arial" w:cs="Arial" w:eastAsia="Arial" w:hAnsi="Arial"/>
                <w:i/>
                <w:iCs/>
                <w:color w:val="5A6A7A"/>
                <w:sz w:val="18"/>
                <w:szCs w:val="18"/>
              </w:rPr>
              <w:t xml:space="preserve">What Ginashe Academy is becoming</w:t>
            </w:r>
          </w:p>
          <w:p>
            <w:pPr>
              <w:spacing w:after="0" w:before="0"/>
            </w:pPr>
            <w:r>
              <w:rPr>
                <w:rFonts w:ascii="Arial" w:cs="Arial" w:eastAsia="Arial" w:hAnsi="Arial"/>
                <w:color w:val="0B0C10"/>
                <w:sz w:val="21"/>
                <w:szCs w:val="21"/>
              </w:rPr>
              <w:t xml:space="preserve">Africa's most trusted and accessible skills academy.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40"/>
              <w:left w:type="dxa" w:w="200"/>
              <w:bottom w:type="dxa" w:w="120"/>
              <w:right w:type="dxa" w:w="140"/>
            </w:tcMar>
          </w:tcPr>
          <w:p>
            <w:pPr>
              <w:spacing w:after="30" w:before="0"/>
            </w:pPr>
            <w:r>
              <w:rPr>
                <w:rFonts w:ascii="Arial" w:cs="Arial" w:eastAsia="Arial" w:hAnsi="Arial"/>
                <w:b/>
                <w:bCs/>
                <w:color w:val="854F0B"/>
                <w:sz w:val="22"/>
                <w:szCs w:val="22"/>
              </w:rPr>
              <w:t xml:space="preserve">Brand personality</w:t>
            </w:r>
          </w:p>
          <w:p>
            <w:pPr>
              <w:spacing w:after="60" w:before="0"/>
            </w:pPr>
            <w:r>
              <w:rPr>
                <w:rFonts w:ascii="Arial" w:cs="Arial" w:eastAsia="Arial" w:hAnsi="Arial"/>
                <w:i/>
                <w:iCs/>
                <w:color w:val="5A6A7A"/>
                <w:sz w:val="18"/>
                <w:szCs w:val="18"/>
              </w:rPr>
              <w:t xml:space="preserve">Five attributes that define every touchpoint</w:t>
            </w:r>
          </w:p>
          <w:p>
            <w:pPr>
              <w:spacing w:after="0" w:before="0"/>
            </w:pPr>
            <w:r>
              <w:rPr>
                <w:rFonts w:ascii="Arial" w:cs="Arial" w:eastAsia="Arial" w:hAnsi="Arial"/>
                <w:color w:val="0B0C10"/>
                <w:sz w:val="21"/>
                <w:szCs w:val="21"/>
              </w:rPr>
              <w:t xml:space="preserve">Ambitious · Grounded · Practical · Warm · Proudly African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40"/>
              <w:left w:type="dxa" w:w="200"/>
              <w:bottom w:type="dxa" w:w="120"/>
              <w:right w:type="dxa" w:w="140"/>
            </w:tcMar>
          </w:tcPr>
          <w:p>
            <w:pPr>
              <w:spacing w:after="30" w:before="0"/>
            </w:pPr>
            <w:r>
              <w:rPr>
                <w:rFonts w:ascii="Arial" w:cs="Arial" w:eastAsia="Arial" w:hAnsi="Arial"/>
                <w:b/>
                <w:bCs/>
                <w:color w:val="3C3489"/>
                <w:sz w:val="22"/>
                <w:szCs w:val="22"/>
              </w:rPr>
              <w:t xml:space="preserve">Tone of voice</w:t>
            </w:r>
          </w:p>
          <w:p>
            <w:pPr>
              <w:spacing w:after="60" w:before="0"/>
            </w:pPr>
            <w:r>
              <w:rPr>
                <w:rFonts w:ascii="Arial" w:cs="Arial" w:eastAsia="Arial" w:hAnsi="Arial"/>
                <w:i/>
                <w:iCs/>
                <w:color w:val="5A6A7A"/>
                <w:sz w:val="18"/>
                <w:szCs w:val="18"/>
              </w:rPr>
              <w:t xml:space="preserve">How Ginashe Academy speaks</w:t>
            </w:r>
          </w:p>
          <w:p>
            <w:pPr>
              <w:spacing w:after="0" w:before="0"/>
            </w:pPr>
            <w:r>
              <w:rPr>
                <w:rFonts w:ascii="Arial" w:cs="Arial" w:eastAsia="Arial" w:hAnsi="Arial"/>
                <w:color w:val="0B0C10"/>
                <w:sz w:val="21"/>
                <w:szCs w:val="21"/>
              </w:rPr>
              <w:t xml:space="preserve">Direct and encouraging. Never condescending. Specific examples over vague claims. South African context in every illustration. First-person plural — "we build". Avoids jargon, embraces clarity.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556" w:sz="12"/>
              <w:left w:val="single" w:color="FBEAF0" w:sz="4"/>
              <w:bottom w:val="single" w:color="993556" w:sz="4"/>
              <w:right w:val="single" w:color="FBEAF0" w:sz="4"/>
            </w:tcBorders>
            <w:shd w:fill="FBEAF0" w:val="clear"/>
            <w:tcMar>
              <w:top w:type="dxa" w:w="140"/>
              <w:left w:type="dxa" w:w="200"/>
              <w:bottom w:type="dxa" w:w="120"/>
              <w:right w:type="dxa" w:w="140"/>
            </w:tcMar>
          </w:tcPr>
          <w:p>
            <w:pPr>
              <w:spacing w:after="30" w:before="0"/>
            </w:pPr>
            <w:r>
              <w:rPr>
                <w:rFonts w:ascii="Arial" w:cs="Arial" w:eastAsia="Arial" w:hAnsi="Arial"/>
                <w:b/>
                <w:bCs/>
                <w:color w:val="993556"/>
                <w:sz w:val="22"/>
                <w:szCs w:val="22"/>
              </w:rPr>
              <w:t xml:space="preserve">Master tagline</w:t>
            </w:r>
          </w:p>
          <w:p>
            <w:pPr>
              <w:spacing w:after="60" w:before="0"/>
            </w:pPr>
            <w:r>
              <w:rPr>
                <w:rFonts w:ascii="Arial" w:cs="Arial" w:eastAsia="Arial" w:hAnsi="Arial"/>
                <w:i/>
                <w:iCs/>
                <w:color w:val="5A6A7A"/>
                <w:sz w:val="18"/>
                <w:szCs w:val="18"/>
              </w:rPr>
              <w:t xml:space="preserve">The four-word promise that travels everywhere</w:t>
            </w:r>
          </w:p>
          <w:p>
            <w:pPr>
              <w:spacing w:after="0" w:before="0"/>
            </w:pPr>
            <w:r>
              <w:rPr>
                <w:rFonts w:ascii="Arial" w:cs="Arial" w:eastAsia="Arial" w:hAnsi="Arial"/>
                <w:color w:val="0B0C10"/>
                <w:sz w:val="21"/>
                <w:szCs w:val="21"/>
              </w:rPr>
              <w:t xml:space="preserve">Build Something Real — applicable across every stream, every learner, every audience.</w:t>
            </w:r>
          </w:p>
        </w:tc>
      </w:tr>
    </w:tbl>
    <w:p>
      <w:pPr>
        <w:spacing w:after="240" w:before="0"/>
      </w:pPr>
    </w:p>
    <w:p>
      <w:pPr>
        <w:pStyle w:val="Heading2"/>
        <w:spacing w:after="100" w:before="240"/>
      </w:pPr>
      <w:r>
        <w:rPr>
          <w:rFonts w:ascii="Arial" w:cs="Arial" w:eastAsia="Arial" w:hAnsi="Arial"/>
          <w:b/>
          <w:bCs/>
          <w:color w:val="0F6E56"/>
          <w:sz w:val="24"/>
          <w:szCs w:val="24"/>
        </w:rPr>
        <w:t xml:space="preserve">Stream-specific taglines</w:t>
      </w:r>
    </w:p>
    <w:p>
      <w:pPr>
        <w:spacing w:after="80" w:before="0"/>
        <w:jc w:val="left"/>
      </w:pPr>
      <w:r>
        <w:rPr>
          <w:rFonts w:ascii="Arial" w:cs="Arial" w:eastAsia="Arial" w:hAnsi="Arial"/>
          <w:b w:val="false"/>
          <w:bCs w:val="false"/>
          <w:i w:val="false"/>
          <w:iCs w:val="false"/>
          <w:color w:val="000000"/>
          <w:sz w:val="22"/>
          <w:szCs w:val="22"/>
        </w:rPr>
        <w:t xml:space="preserve">Each stream carries the master tagline as its institutional anchor, and adds a stream-specific tagline that signals its unique mission. These taglines appear on stream landing pages, course brochures, and graduate communications.</w:t>
      </w:r>
    </w:p>
    <w:p>
      <w:pPr>
        <w:pStyle w:val="ListParagraph"/>
        <w:numPr>
          <w:ilvl w:val="0"/>
          <w:numId w:val="2"/>
        </w:numPr>
        <w:spacing w:after="60" w:before="0"/>
      </w:pPr>
      <w:r>
        <w:rPr>
          <w:rFonts w:ascii="Arial" w:cs="Arial" w:eastAsia="Arial" w:hAnsi="Arial"/>
          <w:color w:val="000000"/>
          <w:sz w:val="22"/>
          <w:szCs w:val="22"/>
        </w:rPr>
        <w:t xml:space="preserve">DSS — Digital Systems: "Deploy to Cape Town"</w:t>
      </w:r>
    </w:p>
    <w:p>
      <w:pPr>
        <w:pStyle w:val="ListParagraph"/>
        <w:numPr>
          <w:ilvl w:val="0"/>
          <w:numId w:val="2"/>
        </w:numPr>
        <w:spacing w:after="60" w:before="0"/>
      </w:pPr>
      <w:r>
        <w:rPr>
          <w:rFonts w:ascii="Arial" w:cs="Arial" w:eastAsia="Arial" w:hAnsi="Arial"/>
          <w:color w:val="000000"/>
          <w:sz w:val="22"/>
          <w:szCs w:val="22"/>
        </w:rPr>
        <w:t xml:space="preserve">HSS — Health Sciences: "Heal Your Community"</w:t>
      </w:r>
    </w:p>
    <w:p>
      <w:pPr>
        <w:pStyle w:val="ListParagraph"/>
        <w:numPr>
          <w:ilvl w:val="0"/>
          <w:numId w:val="2"/>
        </w:numPr>
        <w:spacing w:after="60" w:before="0"/>
      </w:pPr>
      <w:r>
        <w:rPr>
          <w:rFonts w:ascii="Arial" w:cs="Arial" w:eastAsia="Arial" w:hAnsi="Arial"/>
          <w:color w:val="000000"/>
          <w:sz w:val="22"/>
          <w:szCs w:val="22"/>
        </w:rPr>
        <w:t xml:space="preserve">EIS — Energy &amp; Infrastructure: "Power the Future"</w:t>
      </w:r>
    </w:p>
    <w:p>
      <w:pPr>
        <w:pStyle w:val="ListParagraph"/>
        <w:numPr>
          <w:ilvl w:val="0"/>
          <w:numId w:val="2"/>
        </w:numPr>
        <w:spacing w:after="60" w:before="0"/>
      </w:pPr>
      <w:r>
        <w:rPr>
          <w:rFonts w:ascii="Arial" w:cs="Arial" w:eastAsia="Arial" w:hAnsi="Arial"/>
          <w:color w:val="000000"/>
          <w:sz w:val="22"/>
          <w:szCs w:val="22"/>
        </w:rPr>
        <w:t xml:space="preserve">AFS — Agriculture &amp; Food Security: "Feed the Continent"</w:t>
      </w:r>
    </w:p>
    <w:p>
      <w:pPr>
        <w:pStyle w:val="ListParagraph"/>
        <w:numPr>
          <w:ilvl w:val="0"/>
          <w:numId w:val="2"/>
        </w:numPr>
        <w:spacing w:after="60" w:before="0"/>
      </w:pPr>
      <w:r>
        <w:rPr>
          <w:rFonts w:ascii="Arial" w:cs="Arial" w:eastAsia="Arial" w:hAnsi="Arial"/>
          <w:color w:val="000000"/>
          <w:sz w:val="22"/>
          <w:szCs w:val="22"/>
        </w:rPr>
        <w:t xml:space="preserve">FLS — Financial Literacy &amp; FinTech: "Own Your Money"</w:t>
      </w:r>
    </w:p>
    <w:p>
      <w:pPr>
        <w:pStyle w:val="ListParagraph"/>
        <w:numPr>
          <w:ilvl w:val="0"/>
          <w:numId w:val="2"/>
        </w:numPr>
        <w:spacing w:after="60" w:before="0"/>
      </w:pPr>
      <w:r>
        <w:rPr>
          <w:rFonts w:ascii="Arial" w:cs="Arial" w:eastAsia="Arial" w:hAnsi="Arial"/>
          <w:color w:val="000000"/>
          <w:sz w:val="22"/>
          <w:szCs w:val="22"/>
        </w:rPr>
        <w:t xml:space="preserve">ATS — Applied Trades: "Build with Your Hands"</w:t>
      </w:r>
    </w:p>
    <w:p>
      <w:pPr>
        <w:pStyle w:val="ListParagraph"/>
        <w:numPr>
          <w:ilvl w:val="0"/>
          <w:numId w:val="2"/>
        </w:numPr>
        <w:spacing w:after="60" w:before="0"/>
      </w:pPr>
      <w:r>
        <w:rPr>
          <w:rFonts w:ascii="Arial" w:cs="Arial" w:eastAsia="Arial" w:hAnsi="Arial"/>
          <w:color w:val="000000"/>
          <w:sz w:val="22"/>
          <w:szCs w:val="22"/>
        </w:rPr>
        <w:t xml:space="preserve">CDS — Creative &amp; Digital Media: "Tell Africa's Story"</w:t>
      </w:r>
    </w:p>
    <w:p>
      <w:pPr>
        <w:pStyle w:val="ListParagraph"/>
        <w:numPr>
          <w:ilvl w:val="0"/>
          <w:numId w:val="2"/>
        </w:numPr>
        <w:spacing w:after="60" w:before="0"/>
      </w:pPr>
      <w:r>
        <w:rPr>
          <w:rFonts w:ascii="Arial" w:cs="Arial" w:eastAsia="Arial" w:hAnsi="Arial"/>
          <w:color w:val="000000"/>
          <w:sz w:val="22"/>
          <w:szCs w:val="22"/>
        </w:rPr>
        <w:t xml:space="preserve">LES — Leadership &amp; Entrepreneurship: "Make Things Happen"</w:t>
      </w:r>
    </w:p>
    <w:p>
      <w:pPr>
        <w:pStyle w:val="ListParagraph"/>
        <w:numPr>
          <w:ilvl w:val="0"/>
          <w:numId w:val="2"/>
        </w:numPr>
        <w:spacing w:after="60" w:before="0"/>
      </w:pPr>
      <w:r>
        <w:rPr>
          <w:rFonts w:ascii="Arial" w:cs="Arial" w:eastAsia="Arial" w:hAnsi="Arial"/>
          <w:color w:val="000000"/>
          <w:sz w:val="22"/>
          <w:szCs w:val="22"/>
        </w:rPr>
        <w:t xml:space="preserve">ECS — Early Childhood &amp; Education: "Shape Every Child"</w:t>
      </w:r>
    </w:p>
    <w:p>
      <w:pPr>
        <w:pStyle w:val="ListParagraph"/>
        <w:numPr>
          <w:ilvl w:val="0"/>
          <w:numId w:val="2"/>
        </w:numPr>
        <w:spacing w:after="60" w:before="0"/>
      </w:pPr>
      <w:r>
        <w:rPr>
          <w:rFonts w:ascii="Arial" w:cs="Arial" w:eastAsia="Arial" w:hAnsi="Arial"/>
          <w:color w:val="000000"/>
          <w:sz w:val="22"/>
          <w:szCs w:val="22"/>
        </w:rPr>
        <w:t xml:space="preserve">CAS — Environment &amp; Climate Action: "Protect What's Ours"</w:t>
      </w:r>
    </w:p>
    <w:p>
      <w:pPr>
        <w:spacing w:after="240" w:before="0"/>
      </w:pPr>
    </w:p>
    <w:p>
      <w:r>
        <w:br w:type="page"/>
      </w:r>
    </w:p>
    <w:p>
      <w:pPr>
        <w:pStyle w:val="Heading2"/>
        <w:spacing w:after="100" w:before="240"/>
      </w:pPr>
      <w:r>
        <w:rPr>
          <w:rFonts w:ascii="Arial" w:cs="Arial" w:eastAsia="Arial" w:hAnsi="Arial"/>
          <w:b/>
          <w:bCs/>
          <w:color w:val="0F6E56"/>
          <w:sz w:val="24"/>
          <w:szCs w:val="24"/>
        </w:rPr>
        <w:t xml:space="preserve">Logo system</w:t>
      </w:r>
    </w:p>
    <w:p>
      <w:pPr>
        <w:spacing w:after="120" w:before="0"/>
        <w:jc w:val="left"/>
      </w:pPr>
      <w:r>
        <w:rPr>
          <w:rFonts w:ascii="Arial" w:cs="Arial" w:eastAsia="Arial" w:hAnsi="Arial"/>
          <w:b w:val="false"/>
          <w:bCs w:val="false"/>
          <w:i w:val="false"/>
          <w:iCs w:val="false"/>
          <w:color w:val="000000"/>
          <w:sz w:val="22"/>
          <w:szCs w:val="22"/>
        </w:rPr>
        <w:t xml:space="preserve">The Ginashe Academy mark consists of three elements: a shield-form symbol containing a stylised "G", a strong wordmark in Montserrat 900, and a horizontal cyan signal line connecting the wordmark to a tracked-out "ACADEMY" lockup. The signal line carries the brand's digital character without confining the mark to a tech-only identity.</w:t>
      </w:r>
    </w:p>
    <w:p>
      <w:pPr>
        <w:spacing w:after="80" w:before="180"/>
      </w:pPr>
      <w:r>
        <w:rPr>
          <w:rFonts w:ascii="Arial" w:cs="Arial" w:eastAsia="Arial" w:hAnsi="Arial"/>
          <w:b/>
          <w:bCs/>
          <w:color w:val="0B0C10"/>
          <w:sz w:val="21"/>
          <w:szCs w:val="21"/>
        </w:rPr>
        <w:t xml:space="preserve">Primary mark — light variant</w:t>
      </w:r>
    </w:p>
    <w:p>
      <w:pPr>
        <w:spacing w:after="80" w:before="0"/>
        <w:jc w:val="left"/>
      </w:pPr>
      <w:r>
        <w:rPr>
          <w:rFonts w:ascii="Arial" w:cs="Arial" w:eastAsia="Arial" w:hAnsi="Arial"/>
          <w:b w:val="false"/>
          <w:bCs w:val="false"/>
          <w:i/>
          <w:iCs/>
          <w:color w:val="5A6A7A"/>
          <w:sz w:val="20"/>
          <w:szCs w:val="20"/>
        </w:rPr>
        <w:t xml:space="preserve">For use on white, light backgrounds, document headers, and printed collateral.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0" w:sz="8"/>
              <w:left w:val="single" w:color="C8D4E0" w:sz="8"/>
              <w:bottom w:val="single" w:color="C8D4E0" w:sz="8"/>
              <w:right w:val="single" w:color="C8D4E0" w:sz="8"/>
            </w:tcBorders>
            <w:shd w:fill="FFFFFF" w:val="clear"/>
            <w:tcMar>
              <w:top w:type="dxa" w:w="400"/>
              <w:left w:type="dxa" w:w="400"/>
              <w:bottom w:type="dxa" w:w="400"/>
              <w:right w:type="dxa" w:w="400"/>
            </w:tcMar>
            <w:vAlign w:val="center"/>
          </w:tcPr>
          <w:p>
            <w:pPr>
              <w:spacing w:after="0" w:before="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76400"/>
                          </a:xfrm>
                          <a:prstGeom prst="rect">
                            <a:avLst/>
                          </a:prstGeom>
                        </pic:spPr>
                      </pic:pic>
                    </a:graphicData>
                  </a:graphic>
                </wp:inline>
              </w:drawing>
            </w:r>
          </w:p>
        </w:tc>
      </w:tr>
      <w:tr>
        <w:tc>
          <w:tcPr>
            <w:tcW w:type="dxa" w:w="9360"/>
            <w:tcBorders>
              <w:top w:val="single" w:color="C8D4E0" w:sz="4"/>
              <w:left w:val="single" w:color="C8D4E0" w:sz="4"/>
              <w:bottom w:val="single" w:color="C8D4E0" w:sz="4"/>
              <w:right w:val="single" w:color="C8D4E0" w:sz="4"/>
            </w:tcBorders>
            <w:shd w:fill="F4F7FB" w:val="clear"/>
            <w:tcMar>
              <w:top w:type="dxa" w:w="80"/>
              <w:left w:type="dxa" w:w="200"/>
              <w:bottom w:type="dxa" w:w="80"/>
              <w:right w:type="dxa" w:w="200"/>
            </w:tcMar>
          </w:tcPr>
          <w:p>
            <w:pPr>
              <w:jc w:val="center"/>
            </w:pPr>
            <w:r>
              <w:rPr>
                <w:rFonts w:ascii="Arial" w:cs="Arial" w:eastAsia="Arial" w:hAnsi="Arial"/>
                <w:i/>
                <w:iCs/>
                <w:color w:val="5A6A7A"/>
                <w:sz w:val="16"/>
                <w:szCs w:val="16"/>
              </w:rPr>
              <w:t xml:space="preserve">Light-mode primary lockup — for use on White, light backgrounds, and document headers</w:t>
            </w:r>
          </w:p>
        </w:tc>
      </w:tr>
    </w:tbl>
    <w:p>
      <w:pPr>
        <w:spacing w:after="240" w:before="0"/>
      </w:pPr>
    </w:p>
    <w:p>
      <w:pPr>
        <w:spacing w:after="80" w:before="180"/>
      </w:pPr>
      <w:r>
        <w:rPr>
          <w:rFonts w:ascii="Arial" w:cs="Arial" w:eastAsia="Arial" w:hAnsi="Arial"/>
          <w:b/>
          <w:bCs/>
          <w:color w:val="0B0C10"/>
          <w:sz w:val="21"/>
          <w:szCs w:val="21"/>
        </w:rPr>
        <w:t xml:space="preserve">Primary mark — dark variant</w:t>
      </w:r>
    </w:p>
    <w:p>
      <w:pPr>
        <w:spacing w:after="80" w:before="0"/>
        <w:jc w:val="left"/>
      </w:pPr>
      <w:r>
        <w:rPr>
          <w:rFonts w:ascii="Arial" w:cs="Arial" w:eastAsia="Arial" w:hAnsi="Arial"/>
          <w:b w:val="false"/>
          <w:bCs w:val="false"/>
          <w:i/>
          <w:iCs/>
          <w:color w:val="5A6A7A"/>
          <w:sz w:val="20"/>
          <w:szCs w:val="20"/>
        </w:rPr>
        <w:t xml:space="preserve">For use on Night background (#0B0C10), dark photography overlays, and tech-led contexts such as the LMS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0" w:sz="8"/>
              <w:left w:val="single" w:color="C8D4E0" w:sz="8"/>
              <w:bottom w:val="single" w:color="C8D4E0" w:sz="8"/>
              <w:right w:val="single" w:color="C8D4E0" w:sz="8"/>
            </w:tcBorders>
            <w:shd w:fill="0B0C10" w:val="clear"/>
            <w:tcMar>
              <w:top w:type="dxa" w:w="400"/>
              <w:left w:type="dxa" w:w="400"/>
              <w:bottom w:type="dxa" w:w="400"/>
              <w:right w:type="dxa" w:w="400"/>
            </w:tcMar>
            <w:vAlign w:val="center"/>
          </w:tcPr>
          <w:p>
            <w:pPr>
              <w:spacing w:after="0" w:before="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76400"/>
                          </a:xfrm>
                          <a:prstGeom prst="rect">
                            <a:avLst/>
                          </a:prstGeom>
                        </pic:spPr>
                      </pic:pic>
                    </a:graphicData>
                  </a:graphic>
                </wp:inline>
              </w:drawing>
            </w:r>
          </w:p>
        </w:tc>
      </w:tr>
      <w:tr>
        <w:tc>
          <w:tcPr>
            <w:tcW w:type="dxa" w:w="9360"/>
            <w:tcBorders>
              <w:top w:val="single" w:color="C8D4E0" w:sz="4"/>
              <w:left w:val="single" w:color="C8D4E0" w:sz="4"/>
              <w:bottom w:val="single" w:color="C8D4E0" w:sz="4"/>
              <w:right w:val="single" w:color="C8D4E0" w:sz="4"/>
            </w:tcBorders>
            <w:shd w:fill="1A1B22" w:val="clear"/>
            <w:tcMar>
              <w:top w:type="dxa" w:w="80"/>
              <w:left w:type="dxa" w:w="200"/>
              <w:bottom w:type="dxa" w:w="80"/>
              <w:right w:type="dxa" w:w="200"/>
            </w:tcMar>
          </w:tcPr>
          <w:p>
            <w:pPr>
              <w:jc w:val="center"/>
            </w:pPr>
            <w:r>
              <w:rPr>
                <w:rFonts w:ascii="Arial" w:cs="Arial" w:eastAsia="Arial" w:hAnsi="Arial"/>
                <w:i/>
                <w:iCs/>
                <w:color w:val="B0B6BD"/>
                <w:sz w:val="16"/>
                <w:szCs w:val="16"/>
              </w:rPr>
              <w:t xml:space="preserve">Dark-mode primary lockup — for use on Night, dark photography overlays, and tech-led contexts</w:t>
            </w:r>
          </w:p>
        </w:tc>
      </w:tr>
    </w:tbl>
    <w:p>
      <w:pPr>
        <w:spacing w:after="240" w:before="0"/>
      </w:pPr>
    </w:p>
    <w:p>
      <w:pPr>
        <w:spacing w:after="80" w:before="180"/>
      </w:pPr>
      <w:r>
        <w:rPr>
          <w:rFonts w:ascii="Arial" w:cs="Arial" w:eastAsia="Arial" w:hAnsi="Arial"/>
          <w:b/>
          <w:bCs/>
          <w:color w:val="0B0C10"/>
          <w:sz w:val="21"/>
          <w:szCs w:val="21"/>
        </w:rPr>
        <w:t xml:space="preserve">Logo construction notes</w:t>
      </w:r>
    </w:p>
    <w:p>
      <w:pPr>
        <w:pStyle w:val="ListParagraph"/>
        <w:numPr>
          <w:ilvl w:val="0"/>
          <w:numId w:val="2"/>
        </w:numPr>
        <w:spacing w:after="60" w:before="0"/>
      </w:pPr>
      <w:r>
        <w:rPr>
          <w:rFonts w:ascii="Arial" w:cs="Arial" w:eastAsia="Arial" w:hAnsi="Arial"/>
          <w:color w:val="000000"/>
          <w:sz w:val="22"/>
          <w:szCs w:val="22"/>
        </w:rPr>
        <w:t xml:space="preserve">The shield-form symbol uses cyan (#00F2FF) as its fill, with a 7px outline that matches the active text colour (Night for light variant, White for dark variant).</w:t>
      </w:r>
    </w:p>
    <w:p>
      <w:pPr>
        <w:pStyle w:val="ListParagraph"/>
        <w:numPr>
          <w:ilvl w:val="0"/>
          <w:numId w:val="2"/>
        </w:numPr>
        <w:spacing w:after="60" w:before="0"/>
      </w:pPr>
      <w:r>
        <w:rPr>
          <w:rFonts w:ascii="Arial" w:cs="Arial" w:eastAsia="Arial" w:hAnsi="Arial"/>
          <w:color w:val="000000"/>
          <w:sz w:val="22"/>
          <w:szCs w:val="22"/>
        </w:rPr>
        <w:t xml:space="preserve">A bold "G" sits inside the shield, drawn at a 14px stroke-width, in Night colour for both variants.</w:t>
      </w:r>
    </w:p>
    <w:p>
      <w:pPr>
        <w:pStyle w:val="ListParagraph"/>
        <w:numPr>
          <w:ilvl w:val="0"/>
          <w:numId w:val="2"/>
        </w:numPr>
        <w:spacing w:after="60" w:before="0"/>
      </w:pPr>
      <w:r>
        <w:rPr>
          <w:rFonts w:ascii="Arial" w:cs="Arial" w:eastAsia="Arial" w:hAnsi="Arial"/>
          <w:color w:val="000000"/>
          <w:sz w:val="22"/>
          <w:szCs w:val="22"/>
        </w:rPr>
        <w:t xml:space="preserve">Circuit-pattern detail flanks both sides of the shield as decorative elements that animate in web/digital contexts (CSS pulse animation) and remain static in print.</w:t>
      </w:r>
    </w:p>
    <w:p>
      <w:pPr>
        <w:pStyle w:val="ListParagraph"/>
        <w:numPr>
          <w:ilvl w:val="0"/>
          <w:numId w:val="2"/>
        </w:numPr>
        <w:spacing w:after="60" w:before="0"/>
      </w:pPr>
      <w:r>
        <w:rPr>
          <w:rFonts w:ascii="Arial" w:cs="Arial" w:eastAsia="Arial" w:hAnsi="Arial"/>
          <w:color w:val="000000"/>
          <w:sz w:val="22"/>
          <w:szCs w:val="22"/>
        </w:rPr>
        <w:t xml:space="preserve">A small antenna-like glyph above the shield (the diamond + curved stroke + small square) signals connection, signal, broadcast — a subtle nod to digital identity without dominating the mark.</w:t>
      </w:r>
    </w:p>
    <w:p>
      <w:pPr>
        <w:pStyle w:val="ListParagraph"/>
        <w:numPr>
          <w:ilvl w:val="0"/>
          <w:numId w:val="2"/>
        </w:numPr>
        <w:spacing w:after="60" w:before="0"/>
      </w:pPr>
      <w:r>
        <w:rPr>
          <w:rFonts w:ascii="Arial" w:cs="Arial" w:eastAsia="Arial" w:hAnsi="Arial"/>
          <w:color w:val="000000"/>
          <w:sz w:val="22"/>
          <w:szCs w:val="22"/>
        </w:rPr>
        <w:t xml:space="preserve">The wordmark "GINASHE" uses Montserrat 900 with negative tracking to create density. "ACADEMY" uses Outfit 700 with widely tracked letters (0.5em) to create breathing space.</w:t>
      </w:r>
    </w:p>
    <w:p>
      <w:pPr>
        <w:pStyle w:val="ListParagraph"/>
        <w:numPr>
          <w:ilvl w:val="0"/>
          <w:numId w:val="2"/>
        </w:numPr>
        <w:spacing w:after="60" w:before="0"/>
      </w:pPr>
      <w:r>
        <w:rPr>
          <w:rFonts w:ascii="Arial" w:cs="Arial" w:eastAsia="Arial" w:hAnsi="Arial"/>
          <w:color w:val="000000"/>
          <w:sz w:val="22"/>
          <w:szCs w:val="22"/>
        </w:rPr>
        <w:t xml:space="preserve">A horizontal cyan signal line separates the two words. In digital contexts, this line carries an animated white pulse that travels left to right every 10 seconds.</w:t>
      </w:r>
    </w:p>
    <w:p>
      <w:pPr>
        <w:spacing w:after="240" w:before="0"/>
      </w:pPr>
    </w:p>
    <w:p>
      <w:pPr>
        <w:spacing w:after="80" w:before="180"/>
      </w:pPr>
      <w:r>
        <w:rPr>
          <w:rFonts w:ascii="Arial" w:cs="Arial" w:eastAsia="Arial" w:hAnsi="Arial"/>
          <w:b/>
          <w:bCs/>
          <w:color w:val="0B0C10"/>
          <w:sz w:val="21"/>
          <w:szCs w:val="21"/>
        </w:rPr>
        <w:t xml:space="preserve">Logo variations and minimum sizes</w:t>
      </w:r>
    </w:p>
    <w:p>
      <w:pPr>
        <w:pStyle w:val="ListParagraph"/>
        <w:numPr>
          <w:ilvl w:val="0"/>
          <w:numId w:val="2"/>
        </w:numPr>
        <w:spacing w:after="60" w:before="0"/>
      </w:pPr>
      <w:r>
        <w:rPr>
          <w:rFonts w:ascii="Arial" w:cs="Arial" w:eastAsia="Arial" w:hAnsi="Arial"/>
          <w:color w:val="000000"/>
          <w:sz w:val="22"/>
          <w:szCs w:val="22"/>
        </w:rPr>
        <w:t xml:space="preserve">Primary lockup (horizontal): minimum width 120px digital / 30mm print. Used for headers, signage, presentations.</w:t>
      </w:r>
    </w:p>
    <w:p>
      <w:pPr>
        <w:pStyle w:val="ListParagraph"/>
        <w:numPr>
          <w:ilvl w:val="0"/>
          <w:numId w:val="2"/>
        </w:numPr>
        <w:spacing w:after="60" w:before="0"/>
      </w:pPr>
      <w:r>
        <w:rPr>
          <w:rFonts w:ascii="Arial" w:cs="Arial" w:eastAsia="Arial" w:hAnsi="Arial"/>
          <w:color w:val="000000"/>
          <w:sz w:val="22"/>
          <w:szCs w:val="22"/>
        </w:rPr>
        <w:t xml:space="preserve">Stacked lockup (symbol above wordmark): used where horizontal space is constrained — apps, square ads, social profiles.</w:t>
      </w:r>
    </w:p>
    <w:p>
      <w:pPr>
        <w:pStyle w:val="ListParagraph"/>
        <w:numPr>
          <w:ilvl w:val="0"/>
          <w:numId w:val="2"/>
        </w:numPr>
        <w:spacing w:after="60" w:before="0"/>
      </w:pPr>
      <w:r>
        <w:rPr>
          <w:rFonts w:ascii="Arial" w:cs="Arial" w:eastAsia="Arial" w:hAnsi="Arial"/>
          <w:color w:val="000000"/>
          <w:sz w:val="22"/>
          <w:szCs w:val="22"/>
        </w:rPr>
        <w:t xml:space="preserve">Symbol-only mark (shield with G): used as favicon, app icon, social avatar. Minimum 16px.</w:t>
      </w:r>
    </w:p>
    <w:p>
      <w:pPr>
        <w:pStyle w:val="ListParagraph"/>
        <w:numPr>
          <w:ilvl w:val="0"/>
          <w:numId w:val="2"/>
        </w:numPr>
        <w:spacing w:after="60" w:before="0"/>
      </w:pPr>
      <w:r>
        <w:rPr>
          <w:rFonts w:ascii="Arial" w:cs="Arial" w:eastAsia="Arial" w:hAnsi="Arial"/>
          <w:color w:val="000000"/>
          <w:sz w:val="22"/>
          <w:szCs w:val="22"/>
        </w:rPr>
        <w:t xml:space="preserve">Wordmark-only: used in monochrome contexts where the symbol cannot reproduce cleanly — embossed or single-colour print.</w:t>
      </w:r>
    </w:p>
    <w:p>
      <w:pPr>
        <w:pStyle w:val="ListParagraph"/>
        <w:numPr>
          <w:ilvl w:val="0"/>
          <w:numId w:val="2"/>
        </w:numPr>
        <w:spacing w:after="60" w:before="0"/>
      </w:pPr>
      <w:r>
        <w:rPr>
          <w:rFonts w:ascii="Arial" w:cs="Arial" w:eastAsia="Arial" w:hAnsi="Arial"/>
          <w:color w:val="000000"/>
          <w:sz w:val="22"/>
          <w:szCs w:val="22"/>
        </w:rPr>
        <w:t xml:space="preserve">Reversed/monochrome variants: White on any solid colour for legibility on photography overlays.</w:t>
      </w:r>
    </w:p>
    <w:p>
      <w:pPr>
        <w:spacing w:after="240" w:before="0"/>
      </w:pPr>
    </w:p>
    <w:p>
      <w:pPr>
        <w:spacing w:after="80" w:before="180"/>
      </w:pPr>
      <w:r>
        <w:rPr>
          <w:rFonts w:ascii="Arial" w:cs="Arial" w:eastAsia="Arial" w:hAnsi="Arial"/>
          <w:b/>
          <w:bCs/>
          <w:color w:val="0B0C10"/>
          <w:sz w:val="21"/>
          <w:szCs w:val="21"/>
        </w:rPr>
        <w:t xml:space="preserve">Logo do-nots</w:t>
      </w:r>
    </w:p>
    <w:p>
      <w:pPr>
        <w:pStyle w:val="ListParagraph"/>
        <w:numPr>
          <w:ilvl w:val="0"/>
          <w:numId w:val="2"/>
        </w:numPr>
        <w:spacing w:after="60" w:before="0"/>
      </w:pPr>
      <w:r>
        <w:rPr>
          <w:rFonts w:ascii="Arial" w:cs="Arial" w:eastAsia="Arial" w:hAnsi="Arial"/>
          <w:color w:val="000000"/>
          <w:sz w:val="22"/>
          <w:szCs w:val="22"/>
        </w:rPr>
        <w:t xml:space="preserve">Do not stretch, skew, or recolour the symbol — cyan is the only acceptable fill.</w:t>
      </w:r>
    </w:p>
    <w:p>
      <w:pPr>
        <w:pStyle w:val="ListParagraph"/>
        <w:numPr>
          <w:ilvl w:val="0"/>
          <w:numId w:val="2"/>
        </w:numPr>
        <w:spacing w:after="60" w:before="0"/>
      </w:pPr>
      <w:r>
        <w:rPr>
          <w:rFonts w:ascii="Arial" w:cs="Arial" w:eastAsia="Arial" w:hAnsi="Arial"/>
          <w:color w:val="000000"/>
          <w:sz w:val="22"/>
          <w:szCs w:val="22"/>
        </w:rPr>
        <w:t xml:space="preserve">Do not place the logo on background colours that compromise the symbol's contrast — minimum WCAG AA contrast required.</w:t>
      </w:r>
    </w:p>
    <w:p>
      <w:pPr>
        <w:pStyle w:val="ListParagraph"/>
        <w:numPr>
          <w:ilvl w:val="0"/>
          <w:numId w:val="2"/>
        </w:numPr>
        <w:spacing w:after="60" w:before="0"/>
      </w:pPr>
      <w:r>
        <w:rPr>
          <w:rFonts w:ascii="Arial" w:cs="Arial" w:eastAsia="Arial" w:hAnsi="Arial"/>
          <w:color w:val="000000"/>
          <w:sz w:val="22"/>
          <w:szCs w:val="22"/>
        </w:rPr>
        <w:t xml:space="preserve">Do not separate the symbol from the wordmark in primary contexts — the lockup is the lockup.</w:t>
      </w:r>
    </w:p>
    <w:p>
      <w:pPr>
        <w:pStyle w:val="ListParagraph"/>
        <w:numPr>
          <w:ilvl w:val="0"/>
          <w:numId w:val="2"/>
        </w:numPr>
        <w:spacing w:after="60" w:before="0"/>
      </w:pPr>
      <w:r>
        <w:rPr>
          <w:rFonts w:ascii="Arial" w:cs="Arial" w:eastAsia="Arial" w:hAnsi="Arial"/>
          <w:color w:val="000000"/>
          <w:sz w:val="22"/>
          <w:szCs w:val="22"/>
        </w:rPr>
        <w:t xml:space="preserve">Do not animate the wordmark — only the cyan signal line is animated.</w:t>
      </w:r>
    </w:p>
    <w:p>
      <w:pPr>
        <w:pStyle w:val="ListParagraph"/>
        <w:numPr>
          <w:ilvl w:val="0"/>
          <w:numId w:val="2"/>
        </w:numPr>
        <w:spacing w:after="60" w:before="0"/>
      </w:pPr>
      <w:r>
        <w:rPr>
          <w:rFonts w:ascii="Arial" w:cs="Arial" w:eastAsia="Arial" w:hAnsi="Arial"/>
          <w:color w:val="000000"/>
          <w:sz w:val="22"/>
          <w:szCs w:val="22"/>
        </w:rPr>
        <w:t xml:space="preserve">Do not use the stream accent colours as the symbol fill — cyan is reserved for the master mark only.</w:t>
      </w:r>
    </w:p>
    <w:p>
      <w:pPr>
        <w:spacing w:after="240" w:before="0"/>
      </w:pPr>
    </w:p>
    <w:p>
      <w:r>
        <w:br w:type="page"/>
      </w:r>
    </w:p>
    <w:p>
      <w:pPr>
        <w:pStyle w:val="Heading2"/>
        <w:spacing w:after="100" w:before="240"/>
      </w:pPr>
      <w:r>
        <w:rPr>
          <w:rFonts w:ascii="Arial" w:cs="Arial" w:eastAsia="Arial" w:hAnsi="Arial"/>
          <w:b/>
          <w:bCs/>
          <w:color w:val="0F6E56"/>
          <w:sz w:val="24"/>
          <w:szCs w:val="24"/>
        </w:rPr>
        <w:t xml:space="preserve">Colour system</w:t>
      </w:r>
    </w:p>
    <w:p>
      <w:pPr>
        <w:spacing w:after="120" w:before="0"/>
        <w:jc w:val="left"/>
      </w:pPr>
      <w:r>
        <w:rPr>
          <w:rFonts w:ascii="Arial" w:cs="Arial" w:eastAsia="Arial" w:hAnsi="Arial"/>
          <w:b w:val="false"/>
          <w:bCs w:val="false"/>
          <w:i w:val="false"/>
          <w:iCs w:val="false"/>
          <w:color w:val="000000"/>
          <w:sz w:val="22"/>
          <w:szCs w:val="22"/>
        </w:rPr>
        <w:t xml:space="preserve">The Ginashe Academy colour system is layered. The master brand uses a five-colour palette anchored on Night, Cyan, Ink, Gold, and White. Each stream adds a single accent colour for differentiation. Stream colours never replace master brand colours — they sit alongside them.</w:t>
      </w:r>
    </w:p>
    <w:p>
      <w:pPr>
        <w:spacing w:after="80" w:before="180"/>
      </w:pPr>
      <w:r>
        <w:rPr>
          <w:rFonts w:ascii="Arial" w:cs="Arial" w:eastAsia="Arial" w:hAnsi="Arial"/>
          <w:b/>
          <w:bCs/>
          <w:color w:val="0B0C10"/>
          <w:sz w:val="21"/>
          <w:szCs w:val="21"/>
        </w:rPr>
        <w:t xml:space="preserve">Master brand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rHeight w:val="1100" w:hRule="atLeast"/>
        </w:trPr>
        <w:tc>
          <w:tcPr>
            <w:tcW w:type="dxa" w:w="1872"/>
            <w:tcBorders>
              <w:top w:val="single" w:color="C8D4E0" w:sz="4"/>
              <w:left w:val="single" w:color="C8D4E0" w:sz="4"/>
              <w:bottom w:val="single" w:color="C8D4E0" w:sz="4"/>
              <w:right w:val="single" w:color="C8D4E0" w:sz="4"/>
            </w:tcBorders>
            <w:shd w:fill="0B0C10" w:val="clear"/>
            <w:tcMar>
              <w:top w:type="dxa" w:w="160"/>
              <w:left w:type="dxa" w:w="80"/>
              <w:bottom w:type="dxa" w:w="160"/>
              <w:right w:type="dxa" w:w="80"/>
            </w:tcMar>
            <w:vAlign w:val="bottom"/>
          </w:tcPr>
          <w:p>
            <w:pPr>
              <w:jc w:val="center"/>
            </w:pPr>
            <w:r>
              <w:rPr>
                <w:rFonts w:ascii="Arial" w:cs="Arial" w:eastAsia="Arial" w:hAnsi="Arial"/>
                <w:b/>
                <w:bCs/>
                <w:color w:val="FFFFFF"/>
                <w:sz w:val="18"/>
                <w:szCs w:val="18"/>
              </w:rPr>
              <w:t xml:space="preserve">NIGHT</w:t>
            </w:r>
          </w:p>
        </w:tc>
        <w:tc>
          <w:tcPr>
            <w:tcW w:type="dxa" w:w="1872"/>
            <w:tcBorders>
              <w:top w:val="single" w:color="C8D4E0" w:sz="4"/>
              <w:left w:val="single" w:color="C8D4E0" w:sz="4"/>
              <w:bottom w:val="single" w:color="C8D4E0" w:sz="4"/>
              <w:right w:val="single" w:color="C8D4E0" w:sz="4"/>
            </w:tcBorders>
            <w:shd w:fill="00F2FF" w:val="clear"/>
            <w:tcMar>
              <w:top w:type="dxa" w:w="160"/>
              <w:left w:type="dxa" w:w="80"/>
              <w:bottom w:type="dxa" w:w="160"/>
              <w:right w:type="dxa" w:w="80"/>
            </w:tcMar>
            <w:vAlign w:val="bottom"/>
          </w:tcPr>
          <w:p>
            <w:pPr>
              <w:jc w:val="center"/>
            </w:pPr>
            <w:r>
              <w:rPr>
                <w:rFonts w:ascii="Arial" w:cs="Arial" w:eastAsia="Arial" w:hAnsi="Arial"/>
                <w:b/>
                <w:bCs/>
                <w:color w:val="0B0C10"/>
                <w:sz w:val="18"/>
                <w:szCs w:val="18"/>
              </w:rPr>
              <w:t xml:space="preserve">CYAN</w:t>
            </w:r>
          </w:p>
        </w:tc>
        <w:tc>
          <w:tcPr>
            <w:tcW w:type="dxa" w:w="1872"/>
            <w:tcBorders>
              <w:top w:val="single" w:color="C8D4E0" w:sz="4"/>
              <w:left w:val="single" w:color="C8D4E0" w:sz="4"/>
              <w:bottom w:val="single" w:color="C8D4E0" w:sz="4"/>
              <w:right w:val="single" w:color="C8D4E0" w:sz="4"/>
            </w:tcBorders>
            <w:shd w:fill="0F6E56" w:val="clear"/>
            <w:tcMar>
              <w:top w:type="dxa" w:w="160"/>
              <w:left w:type="dxa" w:w="80"/>
              <w:bottom w:type="dxa" w:w="160"/>
              <w:right w:type="dxa" w:w="80"/>
            </w:tcMar>
            <w:vAlign w:val="bottom"/>
          </w:tcPr>
          <w:p>
            <w:pPr>
              <w:jc w:val="center"/>
            </w:pPr>
            <w:r>
              <w:rPr>
                <w:rFonts w:ascii="Arial" w:cs="Arial" w:eastAsia="Arial" w:hAnsi="Arial"/>
                <w:b/>
                <w:bCs/>
                <w:color w:val="FFFFFF"/>
                <w:sz w:val="18"/>
                <w:szCs w:val="18"/>
              </w:rPr>
              <w:t xml:space="preserve">INK</w:t>
            </w:r>
          </w:p>
        </w:tc>
        <w:tc>
          <w:tcPr>
            <w:tcW w:type="dxa" w:w="1872"/>
            <w:tcBorders>
              <w:top w:val="single" w:color="C8D4E0" w:sz="4"/>
              <w:left w:val="single" w:color="C8D4E0" w:sz="4"/>
              <w:bottom w:val="single" w:color="C8D4E0" w:sz="4"/>
              <w:right w:val="single" w:color="C8D4E0" w:sz="4"/>
            </w:tcBorders>
            <w:shd w:fill="D4AF37" w:val="clear"/>
            <w:tcMar>
              <w:top w:type="dxa" w:w="160"/>
              <w:left w:type="dxa" w:w="80"/>
              <w:bottom w:type="dxa" w:w="160"/>
              <w:right w:type="dxa" w:w="80"/>
            </w:tcMar>
            <w:vAlign w:val="bottom"/>
          </w:tcPr>
          <w:p>
            <w:pPr>
              <w:jc w:val="center"/>
            </w:pPr>
            <w:r>
              <w:rPr>
                <w:rFonts w:ascii="Arial" w:cs="Arial" w:eastAsia="Arial" w:hAnsi="Arial"/>
                <w:b/>
                <w:bCs/>
                <w:color w:val="0B0C10"/>
                <w:sz w:val="18"/>
                <w:szCs w:val="18"/>
              </w:rPr>
              <w:t xml:space="preserve">GOLD</w:t>
            </w:r>
          </w:p>
        </w:tc>
        <w:tc>
          <w:tcPr>
            <w:tcW w:type="dxa" w:w="1872"/>
            <w:tcBorders>
              <w:top w:val="single" w:color="C8D4E0" w:sz="4"/>
              <w:left w:val="single" w:color="C8D4E0" w:sz="4"/>
              <w:bottom w:val="single" w:color="C8D4E0" w:sz="4"/>
              <w:right w:val="single" w:color="C8D4E0" w:sz="4"/>
            </w:tcBorders>
            <w:shd w:fill="FFFFFF" w:val="clear"/>
            <w:tcMar>
              <w:top w:type="dxa" w:w="160"/>
              <w:left w:type="dxa" w:w="80"/>
              <w:bottom w:type="dxa" w:w="160"/>
              <w:right w:type="dxa" w:w="80"/>
            </w:tcMar>
            <w:vAlign w:val="bottom"/>
          </w:tcPr>
          <w:p>
            <w:pPr>
              <w:jc w:val="center"/>
            </w:pPr>
            <w:r>
              <w:rPr>
                <w:rFonts w:ascii="Arial" w:cs="Arial" w:eastAsia="Arial" w:hAnsi="Arial"/>
                <w:b/>
                <w:bCs/>
                <w:color w:val="0B0C10"/>
                <w:sz w:val="18"/>
                <w:szCs w:val="18"/>
              </w:rPr>
              <w:t xml:space="preserve">WHITE</w:t>
            </w:r>
          </w:p>
        </w:tc>
      </w:tr>
      <w:tr>
        <w:tc>
          <w:tcPr>
            <w:tcW w:type="dxa" w:w="1872"/>
            <w:tcBorders>
              <w:top w:val="single" w:color="C8D4E0" w:sz="4"/>
              <w:left w:val="single" w:color="C8D4E0" w:sz="4"/>
              <w:bottom w:val="single" w:color="C8D4E0" w:sz="4"/>
              <w:right w:val="single" w:color="C8D4E0" w:sz="4"/>
            </w:tcBorders>
            <w:shd w:fill="F4F7FB" w:val="clear"/>
            <w:tcMar>
              <w:top w:type="dxa" w:w="60"/>
              <w:left w:type="dxa" w:w="80"/>
              <w:bottom w:type="dxa" w:w="60"/>
              <w:right w:type="dxa" w:w="80"/>
            </w:tcMar>
          </w:tcPr>
          <w:p>
            <w:pPr>
              <w:spacing w:after="20" w:before="0"/>
              <w:jc w:val="center"/>
            </w:pPr>
            <w:r>
              <w:rPr>
                <w:rFonts w:ascii="Courier New" w:cs="Courier New" w:eastAsia="Courier New" w:hAnsi="Courier New"/>
                <w:b/>
                <w:bCs/>
                <w:color w:val="0B0C10"/>
                <w:sz w:val="14"/>
                <w:szCs w:val="14"/>
              </w:rPr>
              <w:t xml:space="preserve">#0B0C10</w:t>
            </w:r>
          </w:p>
          <w:p>
            <w:pPr>
              <w:spacing w:after="0" w:before="0"/>
              <w:jc w:val="center"/>
            </w:pPr>
            <w:r>
              <w:rPr>
                <w:rFonts w:ascii="Arial" w:cs="Arial" w:eastAsia="Arial" w:hAnsi="Arial"/>
                <w:i/>
                <w:iCs/>
                <w:color w:val="5A6A7A"/>
                <w:sz w:val="13"/>
                <w:szCs w:val="13"/>
              </w:rPr>
              <w:t xml:space="preserve">Primary text &amp; dark mode</w:t>
            </w:r>
          </w:p>
        </w:tc>
        <w:tc>
          <w:tcPr>
            <w:tcW w:type="dxa" w:w="1872"/>
            <w:tcBorders>
              <w:top w:val="single" w:color="C8D4E0" w:sz="4"/>
              <w:left w:val="single" w:color="C8D4E0" w:sz="4"/>
              <w:bottom w:val="single" w:color="C8D4E0" w:sz="4"/>
              <w:right w:val="single" w:color="C8D4E0" w:sz="4"/>
            </w:tcBorders>
            <w:shd w:fill="F4F7FB" w:val="clear"/>
            <w:tcMar>
              <w:top w:type="dxa" w:w="60"/>
              <w:left w:type="dxa" w:w="80"/>
              <w:bottom w:type="dxa" w:w="60"/>
              <w:right w:type="dxa" w:w="80"/>
            </w:tcMar>
          </w:tcPr>
          <w:p>
            <w:pPr>
              <w:spacing w:after="20" w:before="0"/>
              <w:jc w:val="center"/>
            </w:pPr>
            <w:r>
              <w:rPr>
                <w:rFonts w:ascii="Courier New" w:cs="Courier New" w:eastAsia="Courier New" w:hAnsi="Courier New"/>
                <w:b/>
                <w:bCs/>
                <w:color w:val="0B0C10"/>
                <w:sz w:val="14"/>
                <w:szCs w:val="14"/>
              </w:rPr>
              <w:t xml:space="preserve">#00F2FF</w:t>
            </w:r>
          </w:p>
          <w:p>
            <w:pPr>
              <w:spacing w:after="0" w:before="0"/>
              <w:jc w:val="center"/>
            </w:pPr>
            <w:r>
              <w:rPr>
                <w:rFonts w:ascii="Arial" w:cs="Arial" w:eastAsia="Arial" w:hAnsi="Arial"/>
                <w:i/>
                <w:iCs/>
                <w:color w:val="5A6A7A"/>
                <w:sz w:val="13"/>
                <w:szCs w:val="13"/>
              </w:rPr>
              <w:t xml:space="preserve">Logo signal accent</w:t>
            </w:r>
          </w:p>
        </w:tc>
        <w:tc>
          <w:tcPr>
            <w:tcW w:type="dxa" w:w="1872"/>
            <w:tcBorders>
              <w:top w:val="single" w:color="C8D4E0" w:sz="4"/>
              <w:left w:val="single" w:color="C8D4E0" w:sz="4"/>
              <w:bottom w:val="single" w:color="C8D4E0" w:sz="4"/>
              <w:right w:val="single" w:color="C8D4E0" w:sz="4"/>
            </w:tcBorders>
            <w:shd w:fill="F4F7FB" w:val="clear"/>
            <w:tcMar>
              <w:top w:type="dxa" w:w="60"/>
              <w:left w:type="dxa" w:w="80"/>
              <w:bottom w:type="dxa" w:w="60"/>
              <w:right w:type="dxa" w:w="80"/>
            </w:tcMar>
          </w:tcPr>
          <w:p>
            <w:pPr>
              <w:spacing w:after="20" w:before="0"/>
              <w:jc w:val="center"/>
            </w:pPr>
            <w:r>
              <w:rPr>
                <w:rFonts w:ascii="Courier New" w:cs="Courier New" w:eastAsia="Courier New" w:hAnsi="Courier New"/>
                <w:b/>
                <w:bCs/>
                <w:color w:val="0B0C10"/>
                <w:sz w:val="14"/>
                <w:szCs w:val="14"/>
              </w:rPr>
              <w:t xml:space="preserve">#0F6E56</w:t>
            </w:r>
          </w:p>
          <w:p>
            <w:pPr>
              <w:spacing w:after="0" w:before="0"/>
              <w:jc w:val="center"/>
            </w:pPr>
            <w:r>
              <w:rPr>
                <w:rFonts w:ascii="Arial" w:cs="Arial" w:eastAsia="Arial" w:hAnsi="Arial"/>
                <w:i/>
                <w:iCs/>
                <w:color w:val="5A6A7A"/>
                <w:sz w:val="13"/>
                <w:szCs w:val="13"/>
              </w:rPr>
              <w:t xml:space="preserve">Document &amp; UI primary</w:t>
            </w:r>
          </w:p>
        </w:tc>
        <w:tc>
          <w:tcPr>
            <w:tcW w:type="dxa" w:w="1872"/>
            <w:tcBorders>
              <w:top w:val="single" w:color="C8D4E0" w:sz="4"/>
              <w:left w:val="single" w:color="C8D4E0" w:sz="4"/>
              <w:bottom w:val="single" w:color="C8D4E0" w:sz="4"/>
              <w:right w:val="single" w:color="C8D4E0" w:sz="4"/>
            </w:tcBorders>
            <w:shd w:fill="F4F7FB" w:val="clear"/>
            <w:tcMar>
              <w:top w:type="dxa" w:w="60"/>
              <w:left w:type="dxa" w:w="80"/>
              <w:bottom w:type="dxa" w:w="60"/>
              <w:right w:type="dxa" w:w="80"/>
            </w:tcMar>
          </w:tcPr>
          <w:p>
            <w:pPr>
              <w:spacing w:after="20" w:before="0"/>
              <w:jc w:val="center"/>
            </w:pPr>
            <w:r>
              <w:rPr>
                <w:rFonts w:ascii="Courier New" w:cs="Courier New" w:eastAsia="Courier New" w:hAnsi="Courier New"/>
                <w:b/>
                <w:bCs/>
                <w:color w:val="0B0C10"/>
                <w:sz w:val="14"/>
                <w:szCs w:val="14"/>
              </w:rPr>
              <w:t xml:space="preserve">#D4AF37</w:t>
            </w:r>
          </w:p>
          <w:p>
            <w:pPr>
              <w:spacing w:after="0" w:before="0"/>
              <w:jc w:val="center"/>
            </w:pPr>
            <w:r>
              <w:rPr>
                <w:rFonts w:ascii="Arial" w:cs="Arial" w:eastAsia="Arial" w:hAnsi="Arial"/>
                <w:i/>
                <w:iCs/>
                <w:color w:val="5A6A7A"/>
                <w:sz w:val="13"/>
                <w:szCs w:val="13"/>
              </w:rPr>
              <w:t xml:space="preserve">Distinction accent</w:t>
            </w:r>
          </w:p>
        </w:tc>
        <w:tc>
          <w:tcPr>
            <w:tcW w:type="dxa" w:w="1872"/>
            <w:tcBorders>
              <w:top w:val="single" w:color="C8D4E0" w:sz="4"/>
              <w:left w:val="single" w:color="C8D4E0" w:sz="4"/>
              <w:bottom w:val="single" w:color="C8D4E0" w:sz="4"/>
              <w:right w:val="single" w:color="C8D4E0" w:sz="4"/>
            </w:tcBorders>
            <w:shd w:fill="F4F7FB" w:val="clear"/>
            <w:tcMar>
              <w:top w:type="dxa" w:w="60"/>
              <w:left w:type="dxa" w:w="80"/>
              <w:bottom w:type="dxa" w:w="60"/>
              <w:right w:type="dxa" w:w="80"/>
            </w:tcMar>
          </w:tcPr>
          <w:p>
            <w:pPr>
              <w:spacing w:after="20" w:before="0"/>
              <w:jc w:val="center"/>
            </w:pPr>
            <w:r>
              <w:rPr>
                <w:rFonts w:ascii="Courier New" w:cs="Courier New" w:eastAsia="Courier New" w:hAnsi="Courier New"/>
                <w:b/>
                <w:bCs/>
                <w:color w:val="0B0C10"/>
                <w:sz w:val="14"/>
                <w:szCs w:val="14"/>
              </w:rPr>
              <w:t xml:space="preserve">#FFFFFF</w:t>
            </w:r>
          </w:p>
          <w:p>
            <w:pPr>
              <w:spacing w:after="0" w:before="0"/>
              <w:jc w:val="center"/>
            </w:pPr>
            <w:r>
              <w:rPr>
                <w:rFonts w:ascii="Arial" w:cs="Arial" w:eastAsia="Arial" w:hAnsi="Arial"/>
                <w:i/>
                <w:iCs/>
                <w:color w:val="5A6A7A"/>
                <w:sz w:val="13"/>
                <w:szCs w:val="13"/>
              </w:rPr>
              <w:t xml:space="preserve">Light surfaces</w:t>
            </w:r>
          </w:p>
        </w:tc>
      </w:tr>
    </w:tbl>
    <w:p>
      <w:pPr>
        <w:spacing w:after="120" w:before="0"/>
      </w:pPr>
    </w:p>
    <w:p>
      <w:pPr>
        <w:spacing w:after="80" w:before="180"/>
      </w:pPr>
      <w:r>
        <w:rPr>
          <w:rFonts w:ascii="Arial" w:cs="Arial" w:eastAsia="Arial" w:hAnsi="Arial"/>
          <w:b/>
          <w:bCs/>
          <w:color w:val="0B0C10"/>
          <w:sz w:val="21"/>
          <w:szCs w:val="21"/>
        </w:rPr>
        <w:t xml:space="preserve">How the master palette is used</w:t>
      </w:r>
    </w:p>
    <w:p>
      <w:pPr>
        <w:pStyle w:val="ListParagraph"/>
        <w:numPr>
          <w:ilvl w:val="0"/>
          <w:numId w:val="2"/>
        </w:numPr>
        <w:spacing w:after="60" w:before="0"/>
      </w:pPr>
      <w:r>
        <w:rPr>
          <w:rFonts w:ascii="Arial" w:cs="Arial" w:eastAsia="Arial" w:hAnsi="Arial"/>
          <w:color w:val="000000"/>
          <w:sz w:val="22"/>
          <w:szCs w:val="22"/>
        </w:rPr>
        <w:t xml:space="preserve">NIGHT (#0B0C10) — the brand's anchor dark. Used for headlines, body text on light surfaces, and as the primary background for the dark-mode logo and LMS interface.</w:t>
      </w:r>
    </w:p>
    <w:p>
      <w:pPr>
        <w:pStyle w:val="ListParagraph"/>
        <w:numPr>
          <w:ilvl w:val="0"/>
          <w:numId w:val="2"/>
        </w:numPr>
        <w:spacing w:after="60" w:before="0"/>
      </w:pPr>
      <w:r>
        <w:rPr>
          <w:rFonts w:ascii="Arial" w:cs="Arial" w:eastAsia="Arial" w:hAnsi="Arial"/>
          <w:color w:val="000000"/>
          <w:sz w:val="22"/>
          <w:szCs w:val="22"/>
        </w:rPr>
        <w:t xml:space="preserve">CYAN (#00F2FF) — reserved for the logo and digital signal accents only. NOT used as a UI button colour or page background. Its rarity is what gives the logo its impact.</w:t>
      </w:r>
    </w:p>
    <w:p>
      <w:pPr>
        <w:pStyle w:val="ListParagraph"/>
        <w:numPr>
          <w:ilvl w:val="0"/>
          <w:numId w:val="2"/>
        </w:numPr>
        <w:spacing w:after="60" w:before="0"/>
      </w:pPr>
      <w:r>
        <w:rPr>
          <w:rFonts w:ascii="Arial" w:cs="Arial" w:eastAsia="Arial" w:hAnsi="Arial"/>
          <w:color w:val="000000"/>
          <w:sz w:val="22"/>
          <w:szCs w:val="22"/>
        </w:rPr>
        <w:t xml:space="preserve">INK (#0F6E56) — the academic primary. Used for document headers, Digital Systems Stream (DSS) accent, and as the primary chrome colour on ginashe.academy. Carries the African-grounded warmth.</w:t>
      </w:r>
    </w:p>
    <w:p>
      <w:pPr>
        <w:pStyle w:val="ListParagraph"/>
        <w:numPr>
          <w:ilvl w:val="0"/>
          <w:numId w:val="2"/>
        </w:numPr>
        <w:spacing w:after="60" w:before="0"/>
      </w:pPr>
      <w:r>
        <w:rPr>
          <w:rFonts w:ascii="Arial" w:cs="Arial" w:eastAsia="Arial" w:hAnsi="Arial"/>
          <w:color w:val="000000"/>
          <w:sz w:val="22"/>
          <w:szCs w:val="22"/>
        </w:rPr>
        <w:t xml:space="preserve">GOLD (#D4AF37) — used sparingly for distinction markers — graduate certificates, founding partner badges, "premium" indicators. Never used as a body or chrome colour.</w:t>
      </w:r>
    </w:p>
    <w:p>
      <w:pPr>
        <w:pStyle w:val="ListParagraph"/>
        <w:numPr>
          <w:ilvl w:val="0"/>
          <w:numId w:val="2"/>
        </w:numPr>
        <w:spacing w:after="60" w:before="0"/>
      </w:pPr>
      <w:r>
        <w:rPr>
          <w:rFonts w:ascii="Arial" w:cs="Arial" w:eastAsia="Arial" w:hAnsi="Arial"/>
          <w:color w:val="000000"/>
          <w:sz w:val="22"/>
          <w:szCs w:val="22"/>
        </w:rPr>
        <w:t xml:space="preserve">WHITE (#FFFFFF) — light surfaces for documents, UI cards, and the light-mode logo background.</w:t>
      </w:r>
    </w:p>
    <w:p>
      <w:pPr>
        <w:spacing w:after="240" w:before="0"/>
      </w:pPr>
    </w:p>
    <w:p>
      <w:pPr>
        <w:spacing w:after="80" w:before="180"/>
      </w:pPr>
      <w:r>
        <w:rPr>
          <w:rFonts w:ascii="Arial" w:cs="Arial" w:eastAsia="Arial" w:hAnsi="Arial"/>
          <w:b/>
          <w:bCs/>
          <w:color w:val="0B0C10"/>
          <w:sz w:val="21"/>
          <w:szCs w:val="21"/>
        </w:rPr>
        <w:t xml:space="preserve">Stream accent colours — visual reference</w:t>
      </w:r>
    </w:p>
    <w:p>
      <w:pPr>
        <w:spacing w:after="80" w:before="0"/>
        <w:jc w:val="left"/>
      </w:pPr>
      <w:r>
        <w:rPr>
          <w:rFonts w:ascii="Arial" w:cs="Arial" w:eastAsia="Arial" w:hAnsi="Arial"/>
          <w:b w:val="false"/>
          <w:bCs w:val="false"/>
          <w:i w:val="false"/>
          <w:iCs w:val="false"/>
          <w:color w:val="000000"/>
          <w:sz w:val="22"/>
          <w:szCs w:val="22"/>
        </w:rPr>
        <w:t xml:space="preserve">Each of the 10 streams has a unique accent colour. Used for stream identification cards, course pages, stream landing pages, and certificates. Never replaces the master brand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500"/>
        <w:gridCol w:w="13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80"/>
            </w:tcMar>
          </w:tcPr>
          <w:p>
            <w:r>
              <w:rPr>
                <w:rFonts w:ascii="Arial" w:cs="Arial" w:eastAsia="Arial" w:hAnsi="Arial"/>
                <w:b/>
                <w:bCs/>
                <w:color w:val="FFFFFF"/>
                <w:sz w:val="18"/>
                <w:szCs w:val="18"/>
              </w:rPr>
              <w:t xml:space="preserve">Code</w:t>
            </w:r>
          </w:p>
        </w:tc>
        <w:tc>
          <w:tcPr>
            <w:tcW w:type="dxa" w:w="53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80"/>
            </w:tcMar>
          </w:tcPr>
          <w:p>
            <w:r>
              <w:rPr>
                <w:rFonts w:ascii="Arial" w:cs="Arial" w:eastAsia="Arial" w:hAnsi="Arial"/>
                <w:b/>
                <w:bCs/>
                <w:color w:val="FFFFFF"/>
                <w:sz w:val="18"/>
                <w:szCs w:val="18"/>
              </w:rPr>
              <w:t xml:space="preserve">Stream</w:t>
            </w:r>
          </w:p>
        </w:tc>
        <w:tc>
          <w:tcPr>
            <w:tcW w:type="dxa" w:w="15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Hex</w:t>
            </w:r>
          </w:p>
        </w:tc>
        <w:tc>
          <w:tcPr>
            <w:tcW w:type="dxa" w:w="13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Swatch</w:t>
            </w:r>
          </w:p>
        </w:tc>
      </w:tr>
      <w:tr>
        <w:tc>
          <w:tcPr>
            <w:tcW w:type="dxa" w:w="12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B0C10"/>
                <w:sz w:val="19"/>
                <w:szCs w:val="19"/>
              </w:rPr>
              <w:t xml:space="preserve">DSS</w:t>
            </w:r>
          </w:p>
        </w:tc>
        <w:tc>
          <w:tcPr>
            <w:tcW w:type="dxa" w:w="53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19"/>
                <w:szCs w:val="19"/>
              </w:rPr>
              <w:t xml:space="preserve">Digital Systems Stream</w:t>
            </w:r>
          </w:p>
        </w:tc>
        <w:tc>
          <w:tcPr>
            <w:tcW w:type="dxa" w:w="15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pPr>
              <w:jc w:val="center"/>
            </w:pPr>
            <w:r>
              <w:rPr>
                <w:rFonts w:ascii="Courier New" w:cs="Courier New" w:eastAsia="Courier New" w:hAnsi="Courier New"/>
                <w:color w:val="5A6A7A"/>
                <w:sz w:val="16"/>
                <w:szCs w:val="16"/>
              </w:rPr>
              <w:t xml:space="preserve">#0F6E56</w:t>
            </w:r>
          </w:p>
        </w:tc>
        <w:tc>
          <w:tcPr>
            <w:tcW w:type="dxa" w:w="1300"/>
            <w:tcBorders>
              <w:top w:val="single" w:color="C8D4E0" w:sz="4"/>
              <w:left w:val="single" w:color="C8D4E0" w:sz="4"/>
              <w:bottom w:val="single" w:color="C8D4E0" w:sz="4"/>
              <w:right w:val="single" w:color="C8D4E0" w:sz="4"/>
            </w:tcBorders>
            <w:shd w:fill="0F6E56" w:val="clear"/>
            <w:tcMar>
              <w:top w:type="dxa" w:w="80"/>
              <w:left w:type="dxa" w:w="80"/>
              <w:bottom w:type="dxa" w:w="80"/>
              <w:right w:type="dxa" w:w="80"/>
            </w:tcMar>
          </w:tcPr>
          <w:p>
            <w:r>
              <w:rPr>
                <w:sz w:val="14"/>
                <w:szCs w:val="14"/>
              </w:rPr>
              <w:t xml:space="preserve"/>
            </w:r>
          </w:p>
        </w:tc>
      </w:tr>
      <w:tr>
        <w:tc>
          <w:tcPr>
            <w:tcW w:type="dxa" w:w="12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b/>
                <w:bCs/>
                <w:color w:val="0B0C10"/>
                <w:sz w:val="19"/>
                <w:szCs w:val="19"/>
              </w:rPr>
              <w:t xml:space="preserve">HSS</w:t>
            </w:r>
          </w:p>
        </w:tc>
        <w:tc>
          <w:tcPr>
            <w:tcW w:type="dxa" w:w="536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color w:val="0B0C10"/>
                <w:sz w:val="19"/>
                <w:szCs w:val="19"/>
              </w:rPr>
              <w:t xml:space="preserve">Health Sciences Stream</w:t>
            </w:r>
          </w:p>
        </w:tc>
        <w:tc>
          <w:tcPr>
            <w:tcW w:type="dxa" w:w="15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pPr>
              <w:jc w:val="center"/>
            </w:pPr>
            <w:r>
              <w:rPr>
                <w:rFonts w:ascii="Courier New" w:cs="Courier New" w:eastAsia="Courier New" w:hAnsi="Courier New"/>
                <w:color w:val="5A6A7A"/>
                <w:sz w:val="16"/>
                <w:szCs w:val="16"/>
              </w:rPr>
              <w:t xml:space="preserve">#A32D2D</w:t>
            </w:r>
          </w:p>
        </w:tc>
        <w:tc>
          <w:tcPr>
            <w:tcW w:type="dxa" w:w="1300"/>
            <w:tcBorders>
              <w:top w:val="single" w:color="C8D4E0" w:sz="4"/>
              <w:left w:val="single" w:color="C8D4E0" w:sz="4"/>
              <w:bottom w:val="single" w:color="C8D4E0" w:sz="4"/>
              <w:right w:val="single" w:color="C8D4E0" w:sz="4"/>
            </w:tcBorders>
            <w:shd w:fill="A32D2D" w:val="clear"/>
            <w:tcMar>
              <w:top w:type="dxa" w:w="80"/>
              <w:left w:type="dxa" w:w="80"/>
              <w:bottom w:type="dxa" w:w="80"/>
              <w:right w:type="dxa" w:w="80"/>
            </w:tcMar>
          </w:tcPr>
          <w:p>
            <w:r>
              <w:rPr>
                <w:sz w:val="14"/>
                <w:szCs w:val="14"/>
              </w:rPr>
              <w:t xml:space="preserve"/>
            </w:r>
          </w:p>
        </w:tc>
      </w:tr>
      <w:tr>
        <w:tc>
          <w:tcPr>
            <w:tcW w:type="dxa" w:w="12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B0C10"/>
                <w:sz w:val="19"/>
                <w:szCs w:val="19"/>
              </w:rPr>
              <w:t xml:space="preserve">EIS</w:t>
            </w:r>
          </w:p>
        </w:tc>
        <w:tc>
          <w:tcPr>
            <w:tcW w:type="dxa" w:w="53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19"/>
                <w:szCs w:val="19"/>
              </w:rPr>
              <w:t xml:space="preserve">Energy &amp; Infrastructure Stream</w:t>
            </w:r>
          </w:p>
        </w:tc>
        <w:tc>
          <w:tcPr>
            <w:tcW w:type="dxa" w:w="15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pPr>
              <w:jc w:val="center"/>
            </w:pPr>
            <w:r>
              <w:rPr>
                <w:rFonts w:ascii="Courier New" w:cs="Courier New" w:eastAsia="Courier New" w:hAnsi="Courier New"/>
                <w:color w:val="5A6A7A"/>
                <w:sz w:val="16"/>
                <w:szCs w:val="16"/>
              </w:rPr>
              <w:t xml:space="preserve">#B85C00</w:t>
            </w:r>
          </w:p>
        </w:tc>
        <w:tc>
          <w:tcPr>
            <w:tcW w:type="dxa" w:w="1300"/>
            <w:tcBorders>
              <w:top w:val="single" w:color="C8D4E0" w:sz="4"/>
              <w:left w:val="single" w:color="C8D4E0" w:sz="4"/>
              <w:bottom w:val="single" w:color="C8D4E0" w:sz="4"/>
              <w:right w:val="single" w:color="C8D4E0" w:sz="4"/>
            </w:tcBorders>
            <w:shd w:fill="B85C00" w:val="clear"/>
            <w:tcMar>
              <w:top w:type="dxa" w:w="80"/>
              <w:left w:type="dxa" w:w="80"/>
              <w:bottom w:type="dxa" w:w="80"/>
              <w:right w:type="dxa" w:w="80"/>
            </w:tcMar>
          </w:tcPr>
          <w:p>
            <w:r>
              <w:rPr>
                <w:sz w:val="14"/>
                <w:szCs w:val="14"/>
              </w:rPr>
              <w:t xml:space="preserve"/>
            </w:r>
          </w:p>
        </w:tc>
      </w:tr>
      <w:tr>
        <w:tc>
          <w:tcPr>
            <w:tcW w:type="dxa" w:w="12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b/>
                <w:bCs/>
                <w:color w:val="0B0C10"/>
                <w:sz w:val="19"/>
                <w:szCs w:val="19"/>
              </w:rPr>
              <w:t xml:space="preserve">AFS</w:t>
            </w:r>
          </w:p>
        </w:tc>
        <w:tc>
          <w:tcPr>
            <w:tcW w:type="dxa" w:w="536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color w:val="0B0C10"/>
                <w:sz w:val="19"/>
                <w:szCs w:val="19"/>
              </w:rPr>
              <w:t xml:space="preserve">Agriculture &amp; Food Security Stream</w:t>
            </w:r>
          </w:p>
        </w:tc>
        <w:tc>
          <w:tcPr>
            <w:tcW w:type="dxa" w:w="15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pPr>
              <w:jc w:val="center"/>
            </w:pPr>
            <w:r>
              <w:rPr>
                <w:rFonts w:ascii="Courier New" w:cs="Courier New" w:eastAsia="Courier New" w:hAnsi="Courier New"/>
                <w:color w:val="5A6A7A"/>
                <w:sz w:val="16"/>
                <w:szCs w:val="16"/>
              </w:rPr>
              <w:t xml:space="preserve">#3B6D11</w:t>
            </w:r>
          </w:p>
        </w:tc>
        <w:tc>
          <w:tcPr>
            <w:tcW w:type="dxa" w:w="1300"/>
            <w:tcBorders>
              <w:top w:val="single" w:color="C8D4E0" w:sz="4"/>
              <w:left w:val="single" w:color="C8D4E0" w:sz="4"/>
              <w:bottom w:val="single" w:color="C8D4E0" w:sz="4"/>
              <w:right w:val="single" w:color="C8D4E0" w:sz="4"/>
            </w:tcBorders>
            <w:shd w:fill="3B6D11" w:val="clear"/>
            <w:tcMar>
              <w:top w:type="dxa" w:w="80"/>
              <w:left w:type="dxa" w:w="80"/>
              <w:bottom w:type="dxa" w:w="80"/>
              <w:right w:type="dxa" w:w="80"/>
            </w:tcMar>
          </w:tcPr>
          <w:p>
            <w:r>
              <w:rPr>
                <w:sz w:val="14"/>
                <w:szCs w:val="14"/>
              </w:rPr>
              <w:t xml:space="preserve"/>
            </w:r>
          </w:p>
        </w:tc>
      </w:tr>
      <w:tr>
        <w:tc>
          <w:tcPr>
            <w:tcW w:type="dxa" w:w="12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B0C10"/>
                <w:sz w:val="19"/>
                <w:szCs w:val="19"/>
              </w:rPr>
              <w:t xml:space="preserve">FLS</w:t>
            </w:r>
          </w:p>
        </w:tc>
        <w:tc>
          <w:tcPr>
            <w:tcW w:type="dxa" w:w="53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19"/>
                <w:szCs w:val="19"/>
              </w:rPr>
              <w:t xml:space="preserve">Financial Literacy &amp; FinTech Stream</w:t>
            </w:r>
          </w:p>
        </w:tc>
        <w:tc>
          <w:tcPr>
            <w:tcW w:type="dxa" w:w="15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pPr>
              <w:jc w:val="center"/>
            </w:pPr>
            <w:r>
              <w:rPr>
                <w:rFonts w:ascii="Courier New" w:cs="Courier New" w:eastAsia="Courier New" w:hAnsi="Courier New"/>
                <w:color w:val="5A6A7A"/>
                <w:sz w:val="16"/>
                <w:szCs w:val="16"/>
              </w:rPr>
              <w:t xml:space="preserve">#185FA5</w:t>
            </w:r>
          </w:p>
        </w:tc>
        <w:tc>
          <w:tcPr>
            <w:tcW w:type="dxa" w:w="1300"/>
            <w:tcBorders>
              <w:top w:val="single" w:color="C8D4E0" w:sz="4"/>
              <w:left w:val="single" w:color="C8D4E0" w:sz="4"/>
              <w:bottom w:val="single" w:color="C8D4E0" w:sz="4"/>
              <w:right w:val="single" w:color="C8D4E0" w:sz="4"/>
            </w:tcBorders>
            <w:shd w:fill="185FA5" w:val="clear"/>
            <w:tcMar>
              <w:top w:type="dxa" w:w="80"/>
              <w:left w:type="dxa" w:w="80"/>
              <w:bottom w:type="dxa" w:w="80"/>
              <w:right w:type="dxa" w:w="80"/>
            </w:tcMar>
          </w:tcPr>
          <w:p>
            <w:r>
              <w:rPr>
                <w:sz w:val="14"/>
                <w:szCs w:val="14"/>
              </w:rPr>
              <w:t xml:space="preserve"/>
            </w:r>
          </w:p>
        </w:tc>
      </w:tr>
      <w:tr>
        <w:tc>
          <w:tcPr>
            <w:tcW w:type="dxa" w:w="12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b/>
                <w:bCs/>
                <w:color w:val="0B0C10"/>
                <w:sz w:val="19"/>
                <w:szCs w:val="19"/>
              </w:rPr>
              <w:t xml:space="preserve">ATS</w:t>
            </w:r>
          </w:p>
        </w:tc>
        <w:tc>
          <w:tcPr>
            <w:tcW w:type="dxa" w:w="536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color w:val="0B0C10"/>
                <w:sz w:val="19"/>
                <w:szCs w:val="19"/>
              </w:rPr>
              <w:t xml:space="preserve">Applied Trades &amp; Engineering Stream</w:t>
            </w:r>
          </w:p>
        </w:tc>
        <w:tc>
          <w:tcPr>
            <w:tcW w:type="dxa" w:w="15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pPr>
              <w:jc w:val="center"/>
            </w:pPr>
            <w:r>
              <w:rPr>
                <w:rFonts w:ascii="Courier New" w:cs="Courier New" w:eastAsia="Courier New" w:hAnsi="Courier New"/>
                <w:color w:val="5A6A7A"/>
                <w:sz w:val="16"/>
                <w:szCs w:val="16"/>
              </w:rPr>
              <w:t xml:space="preserve">#534AB7</w:t>
            </w:r>
          </w:p>
        </w:tc>
        <w:tc>
          <w:tcPr>
            <w:tcW w:type="dxa" w:w="1300"/>
            <w:tcBorders>
              <w:top w:val="single" w:color="C8D4E0" w:sz="4"/>
              <w:left w:val="single" w:color="C8D4E0" w:sz="4"/>
              <w:bottom w:val="single" w:color="C8D4E0" w:sz="4"/>
              <w:right w:val="single" w:color="C8D4E0" w:sz="4"/>
            </w:tcBorders>
            <w:shd w:fill="534AB7" w:val="clear"/>
            <w:tcMar>
              <w:top w:type="dxa" w:w="80"/>
              <w:left w:type="dxa" w:w="80"/>
              <w:bottom w:type="dxa" w:w="80"/>
              <w:right w:type="dxa" w:w="80"/>
            </w:tcMar>
          </w:tcPr>
          <w:p>
            <w:r>
              <w:rPr>
                <w:sz w:val="14"/>
                <w:szCs w:val="14"/>
              </w:rPr>
              <w:t xml:space="preserve"/>
            </w:r>
          </w:p>
        </w:tc>
      </w:tr>
      <w:tr>
        <w:tc>
          <w:tcPr>
            <w:tcW w:type="dxa" w:w="12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B0C10"/>
                <w:sz w:val="19"/>
                <w:szCs w:val="19"/>
              </w:rPr>
              <w:t xml:space="preserve">CDS</w:t>
            </w:r>
          </w:p>
        </w:tc>
        <w:tc>
          <w:tcPr>
            <w:tcW w:type="dxa" w:w="53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19"/>
                <w:szCs w:val="19"/>
              </w:rPr>
              <w:t xml:space="preserve">Creative &amp; Digital Media Stream</w:t>
            </w:r>
          </w:p>
        </w:tc>
        <w:tc>
          <w:tcPr>
            <w:tcW w:type="dxa" w:w="15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pPr>
              <w:jc w:val="center"/>
            </w:pPr>
            <w:r>
              <w:rPr>
                <w:rFonts w:ascii="Courier New" w:cs="Courier New" w:eastAsia="Courier New" w:hAnsi="Courier New"/>
                <w:color w:val="5A6A7A"/>
                <w:sz w:val="16"/>
                <w:szCs w:val="16"/>
              </w:rPr>
              <w:t xml:space="preserve">#993556</w:t>
            </w:r>
          </w:p>
        </w:tc>
        <w:tc>
          <w:tcPr>
            <w:tcW w:type="dxa" w:w="1300"/>
            <w:tcBorders>
              <w:top w:val="single" w:color="C8D4E0" w:sz="4"/>
              <w:left w:val="single" w:color="C8D4E0" w:sz="4"/>
              <w:bottom w:val="single" w:color="C8D4E0" w:sz="4"/>
              <w:right w:val="single" w:color="C8D4E0" w:sz="4"/>
            </w:tcBorders>
            <w:shd w:fill="993556" w:val="clear"/>
            <w:tcMar>
              <w:top w:type="dxa" w:w="80"/>
              <w:left w:type="dxa" w:w="80"/>
              <w:bottom w:type="dxa" w:w="80"/>
              <w:right w:type="dxa" w:w="80"/>
            </w:tcMar>
          </w:tcPr>
          <w:p>
            <w:r>
              <w:rPr>
                <w:sz w:val="14"/>
                <w:szCs w:val="14"/>
              </w:rPr>
              <w:t xml:space="preserve"/>
            </w:r>
          </w:p>
        </w:tc>
      </w:tr>
      <w:tr>
        <w:tc>
          <w:tcPr>
            <w:tcW w:type="dxa" w:w="12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b/>
                <w:bCs/>
                <w:color w:val="0B0C10"/>
                <w:sz w:val="19"/>
                <w:szCs w:val="19"/>
              </w:rPr>
              <w:t xml:space="preserve">LES</w:t>
            </w:r>
          </w:p>
        </w:tc>
        <w:tc>
          <w:tcPr>
            <w:tcW w:type="dxa" w:w="536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color w:val="0B0C10"/>
                <w:sz w:val="19"/>
                <w:szCs w:val="19"/>
              </w:rPr>
              <w:t xml:space="preserve">Leadership &amp; Entrepreneurship Stream</w:t>
            </w:r>
          </w:p>
        </w:tc>
        <w:tc>
          <w:tcPr>
            <w:tcW w:type="dxa" w:w="15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pPr>
              <w:jc w:val="center"/>
            </w:pPr>
            <w:r>
              <w:rPr>
                <w:rFonts w:ascii="Courier New" w:cs="Courier New" w:eastAsia="Courier New" w:hAnsi="Courier New"/>
                <w:color w:val="5A6A7A"/>
                <w:sz w:val="16"/>
                <w:szCs w:val="16"/>
              </w:rPr>
              <w:t xml:space="preserve">#63380A</w:t>
            </w:r>
          </w:p>
        </w:tc>
        <w:tc>
          <w:tcPr>
            <w:tcW w:type="dxa" w:w="1300"/>
            <w:tcBorders>
              <w:top w:val="single" w:color="C8D4E0" w:sz="4"/>
              <w:left w:val="single" w:color="C8D4E0" w:sz="4"/>
              <w:bottom w:val="single" w:color="C8D4E0" w:sz="4"/>
              <w:right w:val="single" w:color="C8D4E0" w:sz="4"/>
            </w:tcBorders>
            <w:shd w:fill="63380A" w:val="clear"/>
            <w:tcMar>
              <w:top w:type="dxa" w:w="80"/>
              <w:left w:type="dxa" w:w="80"/>
              <w:bottom w:type="dxa" w:w="80"/>
              <w:right w:type="dxa" w:w="80"/>
            </w:tcMar>
          </w:tcPr>
          <w:p>
            <w:r>
              <w:rPr>
                <w:sz w:val="14"/>
                <w:szCs w:val="14"/>
              </w:rPr>
              <w:t xml:space="preserve"/>
            </w:r>
          </w:p>
        </w:tc>
      </w:tr>
      <w:tr>
        <w:tc>
          <w:tcPr>
            <w:tcW w:type="dxa" w:w="12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B0C10"/>
                <w:sz w:val="19"/>
                <w:szCs w:val="19"/>
              </w:rPr>
              <w:t xml:space="preserve">ECS</w:t>
            </w:r>
          </w:p>
        </w:tc>
        <w:tc>
          <w:tcPr>
            <w:tcW w:type="dxa" w:w="53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19"/>
                <w:szCs w:val="19"/>
              </w:rPr>
              <w:t xml:space="preserve">Early Childhood &amp; Education Stream</w:t>
            </w:r>
          </w:p>
        </w:tc>
        <w:tc>
          <w:tcPr>
            <w:tcW w:type="dxa" w:w="15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pPr>
              <w:jc w:val="center"/>
            </w:pPr>
            <w:r>
              <w:rPr>
                <w:rFonts w:ascii="Courier New" w:cs="Courier New" w:eastAsia="Courier New" w:hAnsi="Courier New"/>
                <w:color w:val="5A6A7A"/>
                <w:sz w:val="16"/>
                <w:szCs w:val="16"/>
              </w:rPr>
              <w:t xml:space="preserve">#1D9E75</w:t>
            </w:r>
          </w:p>
        </w:tc>
        <w:tc>
          <w:tcPr>
            <w:tcW w:type="dxa" w:w="1300"/>
            <w:tcBorders>
              <w:top w:val="single" w:color="C8D4E0" w:sz="4"/>
              <w:left w:val="single" w:color="C8D4E0" w:sz="4"/>
              <w:bottom w:val="single" w:color="C8D4E0" w:sz="4"/>
              <w:right w:val="single" w:color="C8D4E0" w:sz="4"/>
            </w:tcBorders>
            <w:shd w:fill="1D9E75" w:val="clear"/>
            <w:tcMar>
              <w:top w:type="dxa" w:w="80"/>
              <w:left w:type="dxa" w:w="80"/>
              <w:bottom w:type="dxa" w:w="80"/>
              <w:right w:type="dxa" w:w="80"/>
            </w:tcMar>
          </w:tcPr>
          <w:p>
            <w:r>
              <w:rPr>
                <w:sz w:val="14"/>
                <w:szCs w:val="14"/>
              </w:rPr>
              <w:t xml:space="preserve"/>
            </w:r>
          </w:p>
        </w:tc>
      </w:tr>
      <w:tr>
        <w:tc>
          <w:tcPr>
            <w:tcW w:type="dxa" w:w="12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b/>
                <w:bCs/>
                <w:color w:val="0B0C10"/>
                <w:sz w:val="19"/>
                <w:szCs w:val="19"/>
              </w:rPr>
              <w:t xml:space="preserve">CAS</w:t>
            </w:r>
          </w:p>
        </w:tc>
        <w:tc>
          <w:tcPr>
            <w:tcW w:type="dxa" w:w="536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color w:val="0B0C10"/>
                <w:sz w:val="19"/>
                <w:szCs w:val="19"/>
              </w:rPr>
              <w:t xml:space="preserve">Environment &amp; Climate Action Stream</w:t>
            </w:r>
          </w:p>
        </w:tc>
        <w:tc>
          <w:tcPr>
            <w:tcW w:type="dxa" w:w="15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pPr>
              <w:jc w:val="center"/>
            </w:pPr>
            <w:r>
              <w:rPr>
                <w:rFonts w:ascii="Courier New" w:cs="Courier New" w:eastAsia="Courier New" w:hAnsi="Courier New"/>
                <w:color w:val="5A6A7A"/>
                <w:sz w:val="16"/>
                <w:szCs w:val="16"/>
              </w:rPr>
              <w:t xml:space="preserve">#0C7B93</w:t>
            </w:r>
          </w:p>
        </w:tc>
        <w:tc>
          <w:tcPr>
            <w:tcW w:type="dxa" w:w="1300"/>
            <w:tcBorders>
              <w:top w:val="single" w:color="C8D4E0" w:sz="4"/>
              <w:left w:val="single" w:color="C8D4E0" w:sz="4"/>
              <w:bottom w:val="single" w:color="C8D4E0" w:sz="4"/>
              <w:right w:val="single" w:color="C8D4E0" w:sz="4"/>
            </w:tcBorders>
            <w:shd w:fill="0C7B93" w:val="clear"/>
            <w:tcMar>
              <w:top w:type="dxa" w:w="80"/>
              <w:left w:type="dxa" w:w="80"/>
              <w:bottom w:type="dxa" w:w="80"/>
              <w:right w:type="dxa" w:w="80"/>
            </w:tcMar>
          </w:tcPr>
          <w:p>
            <w:r>
              <w:rPr>
                <w:sz w:val="14"/>
                <w:szCs w:val="14"/>
              </w:rPr>
              <w:t xml:space="preserve"/>
            </w:r>
          </w:p>
        </w:tc>
      </w:tr>
    </w:tbl>
    <w:p>
      <w:pPr>
        <w:spacing w:after="240" w:before="0"/>
      </w:pPr>
    </w:p>
    <w:p>
      <w:r>
        <w:br w:type="page"/>
      </w:r>
    </w:p>
    <w:p>
      <w:pPr>
        <w:pStyle w:val="Heading2"/>
        <w:spacing w:after="100" w:before="240"/>
      </w:pPr>
      <w:r>
        <w:rPr>
          <w:rFonts w:ascii="Arial" w:cs="Arial" w:eastAsia="Arial" w:hAnsi="Arial"/>
          <w:b/>
          <w:bCs/>
          <w:color w:val="0F6E56"/>
          <w:sz w:val="24"/>
          <w:szCs w:val="24"/>
        </w:rPr>
        <w:t xml:space="preserve">Typography</w:t>
      </w:r>
    </w:p>
    <w:p>
      <w:pPr>
        <w:spacing w:after="120" w:before="0"/>
        <w:jc w:val="left"/>
      </w:pPr>
      <w:r>
        <w:rPr>
          <w:rFonts w:ascii="Arial" w:cs="Arial" w:eastAsia="Arial" w:hAnsi="Arial"/>
          <w:b w:val="false"/>
          <w:bCs w:val="false"/>
          <w:i w:val="false"/>
          <w:iCs w:val="false"/>
          <w:color w:val="000000"/>
          <w:sz w:val="22"/>
          <w:szCs w:val="22"/>
        </w:rPr>
        <w:t xml:space="preserve">Two typeface families serve the entire Ginashe Academy system — Montserrat and Outfit. Both are open-source Google Fonts, ensuring consistent rendering across web, mobile, print, and document templates without licensing barriers.</w:t>
      </w:r>
    </w:p>
    <w:p>
      <w:pPr>
        <w:spacing w:after="80" w:before="180"/>
      </w:pPr>
      <w:r>
        <w:rPr>
          <w:rFonts w:ascii="Arial" w:cs="Arial" w:eastAsia="Arial" w:hAnsi="Arial"/>
          <w:b/>
          <w:bCs/>
          <w:color w:val="0B0C10"/>
          <w:sz w:val="21"/>
          <w:szCs w:val="21"/>
        </w:rPr>
        <w:t xml:space="preserve">Montserrat — display and headlines</w:t>
      </w:r>
    </w:p>
    <w:p>
      <w:pPr>
        <w:spacing w:after="120" w:before="0"/>
        <w:jc w:val="left"/>
      </w:pPr>
      <w:r>
        <w:rPr>
          <w:rFonts w:ascii="Arial" w:cs="Arial" w:eastAsia="Arial" w:hAnsi="Arial"/>
          <w:b w:val="false"/>
          <w:bCs w:val="false"/>
          <w:i w:val="false"/>
          <w:iCs w:val="false"/>
          <w:color w:val="000000"/>
          <w:sz w:val="22"/>
          <w:szCs w:val="22"/>
        </w:rPr>
        <w:t xml:space="preserve">Montserrat 900 (Black weight) for the wordmark, primary headlines, and high-impact display text. Negative tracking creates the density that makes "GINASHE" feel substantial. Montserrat 700 (Bold) for secondary headlines and section dividers.</w:t>
      </w:r>
    </w:p>
    <w:p>
      <w:pPr>
        <w:spacing w:after="80" w:before="180"/>
      </w:pPr>
      <w:r>
        <w:rPr>
          <w:rFonts w:ascii="Arial" w:cs="Arial" w:eastAsia="Arial" w:hAnsi="Arial"/>
          <w:b/>
          <w:bCs/>
          <w:color w:val="0B0C10"/>
          <w:sz w:val="21"/>
          <w:szCs w:val="21"/>
        </w:rPr>
        <w:t xml:space="preserve">Outfit — body and UI</w:t>
      </w:r>
    </w:p>
    <w:p>
      <w:pPr>
        <w:spacing w:after="120" w:before="0"/>
        <w:jc w:val="left"/>
      </w:pPr>
      <w:r>
        <w:rPr>
          <w:rFonts w:ascii="Arial" w:cs="Arial" w:eastAsia="Arial" w:hAnsi="Arial"/>
          <w:b w:val="false"/>
          <w:bCs w:val="false"/>
          <w:i w:val="false"/>
          <w:iCs w:val="false"/>
          <w:color w:val="000000"/>
          <w:sz w:val="22"/>
          <w:szCs w:val="22"/>
        </w:rPr>
        <w:t xml:space="preserve">Outfit 400 (Regular) for body copy across LMS, documents, and web. Outfit 500 (Medium) for emphasis. Outfit 700 (Bold) for sub-headings and the "ACADEMY" lockup. Outfit's geometric character pairs cleanly with Montserrat without competing for visual weight.</w:t>
      </w:r>
    </w:p>
    <w:p>
      <w:pPr>
        <w:spacing w:after="80" w:before="180"/>
      </w:pPr>
      <w:r>
        <w:rPr>
          <w:rFonts w:ascii="Arial" w:cs="Arial" w:eastAsia="Arial" w:hAnsi="Arial"/>
          <w:b/>
          <w:bCs/>
          <w:color w:val="0B0C10"/>
          <w:sz w:val="21"/>
          <w:szCs w:val="21"/>
        </w:rPr>
        <w:t xml:space="preserve">Document fallback — Arial</w:t>
      </w:r>
    </w:p>
    <w:p>
      <w:pPr>
        <w:spacing w:after="120" w:before="0"/>
        <w:jc w:val="left"/>
      </w:pPr>
      <w:r>
        <w:rPr>
          <w:rFonts w:ascii="Arial" w:cs="Arial" w:eastAsia="Arial" w:hAnsi="Arial"/>
          <w:b w:val="false"/>
          <w:bCs w:val="false"/>
          <w:i w:val="false"/>
          <w:iCs w:val="false"/>
          <w:color w:val="000000"/>
          <w:sz w:val="22"/>
          <w:szCs w:val="22"/>
        </w:rPr>
        <w:t xml:space="preserve">All Word document templates use Arial as the primary typeface for compatibility. Where Montserrat or Outfit is unavailable (printed by a third party, viewed on a system without Google Fonts), Arial Bold and Arial Regular provide a clean visual fallback that matches the geometric character of the brand fonts.</w:t>
      </w:r>
    </w:p>
    <w:p>
      <w:pPr>
        <w:spacing w:after="120" w:before="0"/>
      </w:pPr>
    </w:p>
    <w:p>
      <w:pPr>
        <w:pStyle w:val="Heading2"/>
        <w:spacing w:after="100" w:before="240"/>
      </w:pPr>
      <w:r>
        <w:rPr>
          <w:rFonts w:ascii="Arial" w:cs="Arial" w:eastAsia="Arial" w:hAnsi="Arial"/>
          <w:b/>
          <w:bCs/>
          <w:color w:val="0F6E56"/>
          <w:sz w:val="24"/>
          <w:szCs w:val="24"/>
        </w:rPr>
        <w:t xml:space="preserve">Photography direction</w:t>
      </w:r>
    </w:p>
    <w:p>
      <w:pPr>
        <w:spacing w:after="120" w:before="0"/>
        <w:jc w:val="left"/>
      </w:pPr>
      <w:r>
        <w:rPr>
          <w:rFonts w:ascii="Arial" w:cs="Arial" w:eastAsia="Arial" w:hAnsi="Arial"/>
          <w:b w:val="false"/>
          <w:bCs w:val="false"/>
          <w:i w:val="false"/>
          <w:iCs w:val="false"/>
          <w:color w:val="000000"/>
          <w:sz w:val="22"/>
          <w:szCs w:val="22"/>
        </w:rPr>
        <w:t xml:space="preserve">Photography is the most powerful brand asset because it carries the human reality of the Academy. Stock photography of American office workers actively damages the brand — it makes Ginashe Academy look like every other generic education business. The photography brief is strict.</w:t>
      </w:r>
    </w:p>
    <w:p>
      <w:pPr>
        <w:pStyle w:val="ListParagraph"/>
        <w:numPr>
          <w:ilvl w:val="0"/>
          <w:numId w:val="2"/>
        </w:numPr>
        <w:spacing w:after="60" w:before="0"/>
      </w:pPr>
      <w:r>
        <w:rPr>
          <w:rFonts w:ascii="Arial" w:cs="Arial" w:eastAsia="Arial" w:hAnsi="Arial"/>
          <w:color w:val="000000"/>
          <w:sz w:val="22"/>
          <w:szCs w:val="22"/>
        </w:rPr>
        <w:t xml:space="preserve">Real Ginashe Academy learners in real Ginashe Academy environments. Workshops, clinics, farms, township campuses, mobile learning units. Never rented sets, never staged.</w:t>
      </w:r>
    </w:p>
    <w:p>
      <w:pPr>
        <w:pStyle w:val="ListParagraph"/>
        <w:numPr>
          <w:ilvl w:val="0"/>
          <w:numId w:val="2"/>
        </w:numPr>
        <w:spacing w:after="60" w:before="0"/>
      </w:pPr>
      <w:r>
        <w:rPr>
          <w:rFonts w:ascii="Arial" w:cs="Arial" w:eastAsia="Arial" w:hAnsi="Arial"/>
          <w:color w:val="000000"/>
          <w:sz w:val="22"/>
          <w:szCs w:val="22"/>
        </w:rPr>
        <w:t xml:space="preserve">Natural light preferred over studio lighting. Photography that looks like it could be a documentary still — not a marketing brochure.</w:t>
      </w:r>
    </w:p>
    <w:p>
      <w:pPr>
        <w:pStyle w:val="ListParagraph"/>
        <w:numPr>
          <w:ilvl w:val="0"/>
          <w:numId w:val="2"/>
        </w:numPr>
        <w:spacing w:after="60" w:before="0"/>
      </w:pPr>
      <w:r>
        <w:rPr>
          <w:rFonts w:ascii="Arial" w:cs="Arial" w:eastAsia="Arial" w:hAnsi="Arial"/>
          <w:color w:val="000000"/>
          <w:sz w:val="22"/>
          <w:szCs w:val="22"/>
        </w:rPr>
        <w:t xml:space="preserve">Candid moments over posed portraits. A learner concentrating on a soldering joint. A facilitator pointing at a circuit diagram. A graduate hugging a parent at a ceremony.</w:t>
      </w:r>
    </w:p>
    <w:p>
      <w:pPr>
        <w:pStyle w:val="ListParagraph"/>
        <w:numPr>
          <w:ilvl w:val="0"/>
          <w:numId w:val="2"/>
        </w:numPr>
        <w:spacing w:after="60" w:before="0"/>
      </w:pPr>
      <w:r>
        <w:rPr>
          <w:rFonts w:ascii="Arial" w:cs="Arial" w:eastAsia="Arial" w:hAnsi="Arial"/>
          <w:color w:val="000000"/>
          <w:sz w:val="22"/>
          <w:szCs w:val="22"/>
        </w:rPr>
        <w:t xml:space="preserve">Every South African demographic represented across the body of work. No tokenism — the photography body should look like SA looks.</w:t>
      </w:r>
    </w:p>
    <w:p>
      <w:pPr>
        <w:pStyle w:val="ListParagraph"/>
        <w:numPr>
          <w:ilvl w:val="0"/>
          <w:numId w:val="2"/>
        </w:numPr>
        <w:spacing w:after="60" w:before="0"/>
      </w:pPr>
      <w:r>
        <w:rPr>
          <w:rFonts w:ascii="Arial" w:cs="Arial" w:eastAsia="Arial" w:hAnsi="Arial"/>
          <w:color w:val="000000"/>
          <w:sz w:val="22"/>
          <w:szCs w:val="22"/>
        </w:rPr>
        <w:t xml:space="preserve">Action over passivity. Action shots beat headshots. Hands working, eyes thinking, mouths explaining.</w:t>
      </w:r>
    </w:p>
    <w:p>
      <w:pPr>
        <w:pStyle w:val="ListParagraph"/>
        <w:numPr>
          <w:ilvl w:val="0"/>
          <w:numId w:val="2"/>
        </w:numPr>
        <w:spacing w:after="60" w:before="0"/>
      </w:pPr>
      <w:r>
        <w:rPr>
          <w:rFonts w:ascii="Arial" w:cs="Arial" w:eastAsia="Arial" w:hAnsi="Arial"/>
          <w:color w:val="000000"/>
          <w:sz w:val="22"/>
          <w:szCs w:val="22"/>
        </w:rPr>
        <w:t xml:space="preserve">Joy is permitted. Transformation looks like confidence and pride — not struggle. Avoid the saviour-narrative photography that other education brands lean on.</w:t>
      </w:r>
    </w:p>
    <w:p>
      <w:pPr>
        <w:pStyle w:val="ListParagraph"/>
        <w:numPr>
          <w:ilvl w:val="0"/>
          <w:numId w:val="2"/>
        </w:numPr>
        <w:spacing w:after="60" w:before="0"/>
      </w:pPr>
      <w:r>
        <w:rPr>
          <w:rFonts w:ascii="Arial" w:cs="Arial" w:eastAsia="Arial" w:hAnsi="Arial"/>
          <w:color w:val="000000"/>
          <w:sz w:val="22"/>
          <w:szCs w:val="22"/>
        </w:rPr>
        <w:t xml:space="preserve">Dignity-first framing. Never frame a learner as someone to be rescued. Always frame them as someone building their own future.</w:t>
      </w:r>
    </w:p>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3 — Website Architecture</w:t>
      </w:r>
    </w:p>
    <w:p>
      <w:pPr>
        <w:spacing w:after="140" w:before="0"/>
        <w:jc w:val="left"/>
      </w:pPr>
      <w:r>
        <w:rPr>
          <w:rFonts w:ascii="Arial" w:cs="Arial" w:eastAsia="Arial" w:hAnsi="Arial"/>
          <w:b w:val="false"/>
          <w:bCs w:val="false"/>
          <w:i w:val="false"/>
          <w:iCs w:val="false"/>
          <w:color w:val="000000"/>
          <w:sz w:val="22"/>
          <w:szCs w:val="22"/>
        </w:rPr>
        <w:t xml:space="preserve">ginashe.academy is the public face of the Academy. It serves three audiences simultaneously — prospective learners, employers, and funders — and connects to the LMS at learn.ginashe.academy for active learners. The architecture below describes the eight-page site structure, technical stack, and the LMS subdomain.</w:t>
      </w:r>
    </w:p>
    <w:p>
      <w:pPr>
        <w:pStyle w:val="Heading2"/>
        <w:spacing w:after="100" w:before="240"/>
      </w:pPr>
      <w:r>
        <w:rPr>
          <w:rFonts w:ascii="Arial" w:cs="Arial" w:eastAsia="Arial" w:hAnsi="Arial"/>
          <w:b/>
          <w:bCs/>
          <w:color w:val="0F6E56"/>
          <w:sz w:val="24"/>
          <w:szCs w:val="24"/>
        </w:rPr>
        <w:t xml:space="preserve">Site map — eight primary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60"/>
            </w:tcMar>
            <w:vAlign w:val="center"/>
          </w:tcPr>
          <w:p>
            <w:pPr>
              <w:jc w:val="center"/>
            </w:pPr>
            <w:r>
              <w:rPr>
                <w:rFonts w:ascii="Arial Black" w:cs="Arial Black" w:eastAsia="Arial Black" w:hAnsi="Arial Black"/>
                <w:b/>
                <w:bCs/>
                <w:color w:val="FFFFFF"/>
                <w:sz w:val="22"/>
                <w:szCs w:val="22"/>
              </w:rPr>
              <w:t xml:space="preserve">1</w:t>
            </w:r>
          </w:p>
        </w:tc>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vAlign w:val="center"/>
          </w:tcPr>
          <w:p>
            <w:pPr>
              <w:spacing w:after="30" w:before="0"/>
            </w:pPr>
            <w:r>
              <w:rPr>
                <w:rFonts w:ascii="Arial" w:cs="Arial" w:eastAsia="Arial" w:hAnsi="Arial"/>
                <w:b/>
                <w:bCs/>
                <w:color w:val="0B0C10"/>
                <w:sz w:val="20"/>
                <w:szCs w:val="20"/>
              </w:rPr>
              <w:t xml:space="preserve">Home</w:t>
            </w:r>
          </w:p>
          <w:p>
            <w:pPr>
              <w:spacing w:after="0" w:before="0"/>
            </w:pPr>
            <w:r>
              <w:rPr>
                <w:rFonts w:ascii="Courier New" w:cs="Courier New" w:eastAsia="Courier New" w:hAnsi="Courier New"/>
                <w:color w:val="5A6A7A"/>
                <w:sz w:val="15"/>
                <w:szCs w:val="15"/>
              </w:rPr>
              <w:t xml:space="preserve">ginashe.academy/</w:t>
            </w:r>
          </w:p>
        </w:tc>
        <w:tc>
          <w:tcPr>
            <w:tcW w:type="dxa" w:w="6360"/>
            <w:tcBorders>
              <w:top w:val="single" w:color="C8D4E0" w:sz="4"/>
              <w:left w:val="single" w:color="C8D4E0" w:sz="4"/>
              <w:bottom w:val="single" w:color="C8D4E0" w:sz="4"/>
              <w:right w:val="single" w:color="C8D4E0" w:sz="4"/>
            </w:tcBorders>
            <w:shd w:fill="FFFFFF" w:val="clear"/>
            <w:tcMar>
              <w:top w:type="dxa" w:w="80"/>
              <w:left w:type="dxa" w:w="160"/>
              <w:bottom w:type="dxa" w:w="80"/>
              <w:right w:type="dxa" w:w="120"/>
            </w:tcMar>
          </w:tcPr>
          <w:p>
            <w:r>
              <w:rPr>
                <w:rFonts w:ascii="Arial" w:cs="Arial" w:eastAsia="Arial" w:hAnsi="Arial"/>
                <w:color w:val="0B0C10"/>
                <w:sz w:val="19"/>
                <w:szCs w:val="19"/>
              </w:rPr>
              <w:t xml:space="preserve">Hero with master tagline "Build Something Real". 10 stream cards in a responsive grid. Live impact stats (learners enrolled, graduates placed, partner logos). 3-step "How it works". Graduate stories carousel. SETA accreditation badge bar. Primary CTA: "Find your course".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60"/>
            </w:tcMar>
            <w:vAlign w:val="center"/>
          </w:tcPr>
          <w:p>
            <w:pPr>
              <w:jc w:val="center"/>
            </w:pPr>
            <w:r>
              <w:rPr>
                <w:rFonts w:ascii="Arial Black" w:cs="Arial Black" w:eastAsia="Arial Black" w:hAnsi="Arial Black"/>
                <w:b/>
                <w:bCs/>
                <w:color w:val="FFFFFF"/>
                <w:sz w:val="22"/>
                <w:szCs w:val="22"/>
              </w:rPr>
              <w:t xml:space="preserve">2</w:t>
            </w:r>
          </w:p>
        </w:tc>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vAlign w:val="center"/>
          </w:tcPr>
          <w:p>
            <w:pPr>
              <w:spacing w:after="30" w:before="0"/>
            </w:pPr>
            <w:r>
              <w:rPr>
                <w:rFonts w:ascii="Arial" w:cs="Arial" w:eastAsia="Arial" w:hAnsi="Arial"/>
                <w:b/>
                <w:bCs/>
                <w:color w:val="0B0C10"/>
                <w:sz w:val="20"/>
                <w:szCs w:val="20"/>
              </w:rPr>
              <w:t xml:space="preserve">Streams</w:t>
            </w:r>
          </w:p>
          <w:p>
            <w:pPr>
              <w:spacing w:after="0" w:before="0"/>
            </w:pPr>
            <w:r>
              <w:rPr>
                <w:rFonts w:ascii="Courier New" w:cs="Courier New" w:eastAsia="Courier New" w:hAnsi="Courier New"/>
                <w:color w:val="5A6A7A"/>
                <w:sz w:val="15"/>
                <w:szCs w:val="15"/>
              </w:rPr>
              <w:t xml:space="preserve">ginashe.academy/streams</w:t>
            </w:r>
          </w:p>
        </w:tc>
        <w:tc>
          <w:tcPr>
            <w:tcW w:type="dxa" w:w="6360"/>
            <w:tcBorders>
              <w:top w:val="single" w:color="C8D4E0" w:sz="4"/>
              <w:left w:val="single" w:color="C8D4E0" w:sz="4"/>
              <w:bottom w:val="single" w:color="C8D4E0" w:sz="4"/>
              <w:right w:val="single" w:color="C8D4E0" w:sz="4"/>
            </w:tcBorders>
            <w:shd w:fill="FFFFFF" w:val="clear"/>
            <w:tcMar>
              <w:top w:type="dxa" w:w="80"/>
              <w:left w:type="dxa" w:w="160"/>
              <w:bottom w:type="dxa" w:w="80"/>
              <w:right w:type="dxa" w:w="120"/>
            </w:tcMar>
          </w:tcPr>
          <w:p>
            <w:r>
              <w:rPr>
                <w:rFonts w:ascii="Arial" w:cs="Arial" w:eastAsia="Arial" w:hAnsi="Arial"/>
                <w:color w:val="0B0C10"/>
                <w:sz w:val="19"/>
                <w:szCs w:val="19"/>
              </w:rPr>
              <w:t xml:space="preserve">Overview of all 10 streams with filter by interest and career goal. Each stream has its own dedicated page at /streams/[slug] containing dean's welcome, full course catalogue, graduate outcomes, employer partners, and apply CTA.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854F0B" w:sz="6"/>
              <w:left w:val="single" w:color="854F0B" w:sz="6"/>
              <w:bottom w:val="single" w:color="854F0B" w:sz="6"/>
              <w:right w:val="single" w:color="854F0B" w:sz="6"/>
            </w:tcBorders>
            <w:shd w:fill="854F0B" w:val="clear"/>
            <w:tcMar>
              <w:top w:type="dxa" w:w="80"/>
              <w:left w:type="dxa" w:w="80"/>
              <w:bottom w:type="dxa" w:w="80"/>
              <w:right w:type="dxa" w:w="60"/>
            </w:tcMar>
            <w:vAlign w:val="center"/>
          </w:tcPr>
          <w:p>
            <w:pPr>
              <w:jc w:val="center"/>
            </w:pPr>
            <w:r>
              <w:rPr>
                <w:rFonts w:ascii="Arial Black" w:cs="Arial Black" w:eastAsia="Arial Black" w:hAnsi="Arial Black"/>
                <w:b/>
                <w:bCs/>
                <w:color w:val="FFFFFF"/>
                <w:sz w:val="22"/>
                <w:szCs w:val="22"/>
              </w:rPr>
              <w:t xml:space="preserve">3</w:t>
            </w:r>
          </w:p>
        </w:tc>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vAlign w:val="center"/>
          </w:tcPr>
          <w:p>
            <w:pPr>
              <w:spacing w:after="30" w:before="0"/>
            </w:pPr>
            <w:r>
              <w:rPr>
                <w:rFonts w:ascii="Arial" w:cs="Arial" w:eastAsia="Arial" w:hAnsi="Arial"/>
                <w:b/>
                <w:bCs/>
                <w:color w:val="0B0C10"/>
                <w:sz w:val="20"/>
                <w:szCs w:val="20"/>
              </w:rPr>
              <w:t xml:space="preserve">Courses</w:t>
            </w:r>
          </w:p>
          <w:p>
            <w:pPr>
              <w:spacing w:after="0" w:before="0"/>
            </w:pPr>
            <w:r>
              <w:rPr>
                <w:rFonts w:ascii="Courier New" w:cs="Courier New" w:eastAsia="Courier New" w:hAnsi="Courier New"/>
                <w:color w:val="5A6A7A"/>
                <w:sz w:val="15"/>
                <w:szCs w:val="15"/>
              </w:rPr>
              <w:t xml:space="preserve">ginashe.academy/courses</w:t>
            </w:r>
          </w:p>
        </w:tc>
        <w:tc>
          <w:tcPr>
            <w:tcW w:type="dxa" w:w="6360"/>
            <w:tcBorders>
              <w:top w:val="single" w:color="C8D4E0" w:sz="4"/>
              <w:left w:val="single" w:color="C8D4E0" w:sz="4"/>
              <w:bottom w:val="single" w:color="C8D4E0" w:sz="4"/>
              <w:right w:val="single" w:color="C8D4E0" w:sz="4"/>
            </w:tcBorders>
            <w:shd w:fill="FFFFFF" w:val="clear"/>
            <w:tcMar>
              <w:top w:type="dxa" w:w="80"/>
              <w:left w:type="dxa" w:w="160"/>
              <w:bottom w:type="dxa" w:w="80"/>
              <w:right w:type="dxa" w:w="120"/>
            </w:tcMar>
          </w:tcPr>
          <w:p>
            <w:r>
              <w:rPr>
                <w:rFonts w:ascii="Arial" w:cs="Arial" w:eastAsia="Arial" w:hAnsi="Arial"/>
                <w:color w:val="0B0C10"/>
                <w:sz w:val="19"/>
                <w:szCs w:val="19"/>
              </w:rPr>
              <w:t xml:space="preserve">Searchable catalogue of 80+ courses. Filter by stream, NQF level, duration, delivery mode, province, and cost. Career quiz matches learners to recommended courses. Each course page details modules, schedule, outcomes, fees, entry requirements, and upcoming cohort dates.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3C3489" w:sz="6"/>
              <w:left w:val="single" w:color="3C3489" w:sz="6"/>
              <w:bottom w:val="single" w:color="3C3489" w:sz="6"/>
              <w:right w:val="single" w:color="3C3489" w:sz="6"/>
            </w:tcBorders>
            <w:shd w:fill="3C3489" w:val="clear"/>
            <w:tcMar>
              <w:top w:type="dxa" w:w="80"/>
              <w:left w:type="dxa" w:w="80"/>
              <w:bottom w:type="dxa" w:w="80"/>
              <w:right w:type="dxa" w:w="60"/>
            </w:tcMar>
            <w:vAlign w:val="center"/>
          </w:tcPr>
          <w:p>
            <w:pPr>
              <w:jc w:val="center"/>
            </w:pPr>
            <w:r>
              <w:rPr>
                <w:rFonts w:ascii="Arial Black" w:cs="Arial Black" w:eastAsia="Arial Black" w:hAnsi="Arial Black"/>
                <w:b/>
                <w:bCs/>
                <w:color w:val="FFFFFF"/>
                <w:sz w:val="22"/>
                <w:szCs w:val="22"/>
              </w:rPr>
              <w:t xml:space="preserve">4</w:t>
            </w:r>
          </w:p>
        </w:tc>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vAlign w:val="center"/>
          </w:tcPr>
          <w:p>
            <w:pPr>
              <w:spacing w:after="30" w:before="0"/>
            </w:pPr>
            <w:r>
              <w:rPr>
                <w:rFonts w:ascii="Arial" w:cs="Arial" w:eastAsia="Arial" w:hAnsi="Arial"/>
                <w:b/>
                <w:bCs/>
                <w:color w:val="0B0C10"/>
                <w:sz w:val="20"/>
                <w:szCs w:val="20"/>
              </w:rPr>
              <w:t xml:space="preserve">LMS</w:t>
            </w:r>
          </w:p>
          <w:p>
            <w:pPr>
              <w:spacing w:after="0" w:before="0"/>
            </w:pPr>
            <w:r>
              <w:rPr>
                <w:rFonts w:ascii="Courier New" w:cs="Courier New" w:eastAsia="Courier New" w:hAnsi="Courier New"/>
                <w:color w:val="5A6A7A"/>
                <w:sz w:val="15"/>
                <w:szCs w:val="15"/>
              </w:rPr>
              <w:t xml:space="preserve">learn.ginashe.academy</w:t>
            </w:r>
          </w:p>
        </w:tc>
        <w:tc>
          <w:tcPr>
            <w:tcW w:type="dxa" w:w="6360"/>
            <w:tcBorders>
              <w:top w:val="single" w:color="C8D4E0" w:sz="4"/>
              <w:left w:val="single" w:color="C8D4E0" w:sz="4"/>
              <w:bottom w:val="single" w:color="C8D4E0" w:sz="4"/>
              <w:right w:val="single" w:color="C8D4E0" w:sz="4"/>
            </w:tcBorders>
            <w:shd w:fill="FFFFFF" w:val="clear"/>
            <w:tcMar>
              <w:top w:type="dxa" w:w="80"/>
              <w:left w:type="dxa" w:w="160"/>
              <w:bottom w:type="dxa" w:w="80"/>
              <w:right w:type="dxa" w:w="120"/>
            </w:tcMar>
          </w:tcPr>
          <w:p>
            <w:r>
              <w:rPr>
                <w:rFonts w:ascii="Arial" w:cs="Arial" w:eastAsia="Arial" w:hAnsi="Arial"/>
                <w:color w:val="0B0C10"/>
                <w:sz w:val="19"/>
                <w:szCs w:val="19"/>
              </w:rPr>
              <w:t xml:space="preserve">Subdomain hosts the full Moodle LMS. Learner dashboard, course content, assignments, quizzes, certificates, AI tutor. Mobile-first PWA with offline content download. WhatsApp submission bot for low-connectivity learners. Single sign-on from main site.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993556" w:sz="6"/>
              <w:left w:val="single" w:color="993556" w:sz="6"/>
              <w:bottom w:val="single" w:color="993556" w:sz="6"/>
              <w:right w:val="single" w:color="993556" w:sz="6"/>
            </w:tcBorders>
            <w:shd w:fill="993556" w:val="clear"/>
            <w:tcMar>
              <w:top w:type="dxa" w:w="80"/>
              <w:left w:type="dxa" w:w="80"/>
              <w:bottom w:type="dxa" w:w="80"/>
              <w:right w:type="dxa" w:w="60"/>
            </w:tcMar>
            <w:vAlign w:val="center"/>
          </w:tcPr>
          <w:p>
            <w:pPr>
              <w:jc w:val="center"/>
            </w:pPr>
            <w:r>
              <w:rPr>
                <w:rFonts w:ascii="Arial Black" w:cs="Arial Black" w:eastAsia="Arial Black" w:hAnsi="Arial Black"/>
                <w:b/>
                <w:bCs/>
                <w:color w:val="FFFFFF"/>
                <w:sz w:val="22"/>
                <w:szCs w:val="22"/>
              </w:rPr>
              <w:t xml:space="preserve">5</w:t>
            </w:r>
          </w:p>
        </w:tc>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vAlign w:val="center"/>
          </w:tcPr>
          <w:p>
            <w:pPr>
              <w:spacing w:after="30" w:before="0"/>
            </w:pPr>
            <w:r>
              <w:rPr>
                <w:rFonts w:ascii="Arial" w:cs="Arial" w:eastAsia="Arial" w:hAnsi="Arial"/>
                <w:b/>
                <w:bCs/>
                <w:color w:val="0B0C10"/>
                <w:sz w:val="20"/>
                <w:szCs w:val="20"/>
              </w:rPr>
              <w:t xml:space="preserve">Employers</w:t>
            </w:r>
          </w:p>
          <w:p>
            <w:pPr>
              <w:spacing w:after="0" w:before="0"/>
            </w:pPr>
            <w:r>
              <w:rPr>
                <w:rFonts w:ascii="Courier New" w:cs="Courier New" w:eastAsia="Courier New" w:hAnsi="Courier New"/>
                <w:color w:val="5A6A7A"/>
                <w:sz w:val="15"/>
                <w:szCs w:val="15"/>
              </w:rPr>
              <w:t xml:space="preserve">ginashe.academy/employers</w:t>
            </w:r>
          </w:p>
        </w:tc>
        <w:tc>
          <w:tcPr>
            <w:tcW w:type="dxa" w:w="6360"/>
            <w:tcBorders>
              <w:top w:val="single" w:color="C8D4E0" w:sz="4"/>
              <w:left w:val="single" w:color="C8D4E0" w:sz="4"/>
              <w:bottom w:val="single" w:color="C8D4E0" w:sz="4"/>
              <w:right w:val="single" w:color="C8D4E0" w:sz="4"/>
            </w:tcBorders>
            <w:shd w:fill="FFFFFF" w:val="clear"/>
            <w:tcMar>
              <w:top w:type="dxa" w:w="80"/>
              <w:left w:type="dxa" w:w="160"/>
              <w:bottom w:type="dxa" w:w="80"/>
              <w:right w:type="dxa" w:w="120"/>
            </w:tcMar>
          </w:tcPr>
          <w:p>
            <w:r>
              <w:rPr>
                <w:rFonts w:ascii="Arial" w:cs="Arial" w:eastAsia="Arial" w:hAnsi="Arial"/>
                <w:color w:val="0B0C10"/>
                <w:sz w:val="19"/>
                <w:szCs w:val="19"/>
              </w:rPr>
              <w:t xml:space="preserve">B-BBEE skills spend calculator. Graduate talent pool search. Custom cohort builder for corporate training programmes. Partner case studies. Employer briefing pack download. RFP and partnership inquiry form. Authenticated corporate portal.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3B6D11" w:sz="6"/>
              <w:left w:val="single" w:color="3B6D11" w:sz="6"/>
              <w:bottom w:val="single" w:color="3B6D11" w:sz="6"/>
              <w:right w:val="single" w:color="3B6D11" w:sz="6"/>
            </w:tcBorders>
            <w:shd w:fill="3B6D11" w:val="clear"/>
            <w:tcMar>
              <w:top w:type="dxa" w:w="80"/>
              <w:left w:type="dxa" w:w="80"/>
              <w:bottom w:type="dxa" w:w="80"/>
              <w:right w:type="dxa" w:w="60"/>
            </w:tcMar>
            <w:vAlign w:val="center"/>
          </w:tcPr>
          <w:p>
            <w:pPr>
              <w:jc w:val="center"/>
            </w:pPr>
            <w:r>
              <w:rPr>
                <w:rFonts w:ascii="Arial Black" w:cs="Arial Black" w:eastAsia="Arial Black" w:hAnsi="Arial Black"/>
                <w:b/>
                <w:bCs/>
                <w:color w:val="FFFFFF"/>
                <w:sz w:val="22"/>
                <w:szCs w:val="22"/>
              </w:rPr>
              <w:t xml:space="preserve">6</w:t>
            </w:r>
          </w:p>
        </w:tc>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vAlign w:val="center"/>
          </w:tcPr>
          <w:p>
            <w:pPr>
              <w:spacing w:after="30" w:before="0"/>
            </w:pPr>
            <w:r>
              <w:rPr>
                <w:rFonts w:ascii="Arial" w:cs="Arial" w:eastAsia="Arial" w:hAnsi="Arial"/>
                <w:b/>
                <w:bCs/>
                <w:color w:val="0B0C10"/>
                <w:sz w:val="20"/>
                <w:szCs w:val="20"/>
              </w:rPr>
              <w:t xml:space="preserve">Stories</w:t>
            </w:r>
          </w:p>
          <w:p>
            <w:pPr>
              <w:spacing w:after="0" w:before="0"/>
            </w:pPr>
            <w:r>
              <w:rPr>
                <w:rFonts w:ascii="Courier New" w:cs="Courier New" w:eastAsia="Courier New" w:hAnsi="Courier New"/>
                <w:color w:val="5A6A7A"/>
                <w:sz w:val="15"/>
                <w:szCs w:val="15"/>
              </w:rPr>
              <w:t xml:space="preserve">ginashe.academy/stories</w:t>
            </w:r>
          </w:p>
        </w:tc>
        <w:tc>
          <w:tcPr>
            <w:tcW w:type="dxa" w:w="6360"/>
            <w:tcBorders>
              <w:top w:val="single" w:color="C8D4E0" w:sz="4"/>
              <w:left w:val="single" w:color="C8D4E0" w:sz="4"/>
              <w:bottom w:val="single" w:color="C8D4E0" w:sz="4"/>
              <w:right w:val="single" w:color="C8D4E0" w:sz="4"/>
            </w:tcBorders>
            <w:shd w:fill="FFFFFF" w:val="clear"/>
            <w:tcMar>
              <w:top w:type="dxa" w:w="80"/>
              <w:left w:type="dxa" w:w="160"/>
              <w:bottom w:type="dxa" w:w="80"/>
              <w:right w:type="dxa" w:w="120"/>
            </w:tcMar>
          </w:tcPr>
          <w:p>
            <w:r>
              <w:rPr>
                <w:rFonts w:ascii="Arial" w:cs="Arial" w:eastAsia="Arial" w:hAnsi="Arial"/>
                <w:color w:val="0B0C10"/>
                <w:sz w:val="19"/>
                <w:szCs w:val="19"/>
              </w:rPr>
              <w:t xml:space="preserve">Long-form graduate profiles with before/after career outcome data. Video testimonials. Graduate-authored blog posts. Filterable by stream, province, and career role. Graduates can submit their own updates via authenticated CMS.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A32D2D" w:sz="6"/>
              <w:left w:val="single" w:color="A32D2D" w:sz="6"/>
              <w:bottom w:val="single" w:color="A32D2D" w:sz="6"/>
              <w:right w:val="single" w:color="A32D2D" w:sz="6"/>
            </w:tcBorders>
            <w:shd w:fill="A32D2D" w:val="clear"/>
            <w:tcMar>
              <w:top w:type="dxa" w:w="80"/>
              <w:left w:type="dxa" w:w="80"/>
              <w:bottom w:type="dxa" w:w="80"/>
              <w:right w:type="dxa" w:w="60"/>
            </w:tcMar>
            <w:vAlign w:val="center"/>
          </w:tcPr>
          <w:p>
            <w:pPr>
              <w:jc w:val="center"/>
            </w:pPr>
            <w:r>
              <w:rPr>
                <w:rFonts w:ascii="Arial Black" w:cs="Arial Black" w:eastAsia="Arial Black" w:hAnsi="Arial Black"/>
                <w:b/>
                <w:bCs/>
                <w:color w:val="FFFFFF"/>
                <w:sz w:val="22"/>
                <w:szCs w:val="22"/>
              </w:rPr>
              <w:t xml:space="preserve">7</w:t>
            </w:r>
          </w:p>
        </w:tc>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vAlign w:val="center"/>
          </w:tcPr>
          <w:p>
            <w:pPr>
              <w:spacing w:after="30" w:before="0"/>
            </w:pPr>
            <w:r>
              <w:rPr>
                <w:rFonts w:ascii="Arial" w:cs="Arial" w:eastAsia="Arial" w:hAnsi="Arial"/>
                <w:b/>
                <w:bCs/>
                <w:color w:val="0B0C10"/>
                <w:sz w:val="20"/>
                <w:szCs w:val="20"/>
              </w:rPr>
              <w:t xml:space="preserve">Apply</w:t>
            </w:r>
          </w:p>
          <w:p>
            <w:pPr>
              <w:spacing w:after="0" w:before="0"/>
            </w:pPr>
            <w:r>
              <w:rPr>
                <w:rFonts w:ascii="Courier New" w:cs="Courier New" w:eastAsia="Courier New" w:hAnsi="Courier New"/>
                <w:color w:val="5A6A7A"/>
                <w:sz w:val="15"/>
                <w:szCs w:val="15"/>
              </w:rPr>
              <w:t xml:space="preserve">ginashe.academy/apply</w:t>
            </w:r>
          </w:p>
        </w:tc>
        <w:tc>
          <w:tcPr>
            <w:tcW w:type="dxa" w:w="6360"/>
            <w:tcBorders>
              <w:top w:val="single" w:color="C8D4E0" w:sz="4"/>
              <w:left w:val="single" w:color="C8D4E0" w:sz="4"/>
              <w:bottom w:val="single" w:color="C8D4E0" w:sz="4"/>
              <w:right w:val="single" w:color="C8D4E0" w:sz="4"/>
            </w:tcBorders>
            <w:shd w:fill="FFFFFF" w:val="clear"/>
            <w:tcMar>
              <w:top w:type="dxa" w:w="80"/>
              <w:left w:type="dxa" w:w="160"/>
              <w:bottom w:type="dxa" w:w="80"/>
              <w:right w:type="dxa" w:w="120"/>
            </w:tcMar>
          </w:tcPr>
          <w:p>
            <w:r>
              <w:rPr>
                <w:rFonts w:ascii="Arial" w:cs="Arial" w:eastAsia="Arial" w:hAnsi="Arial"/>
                <w:color w:val="0B0C10"/>
                <w:sz w:val="19"/>
                <w:szCs w:val="19"/>
              </w:rPr>
              <w:t xml:space="preserve">Career quiz leads to recommended courses. POPIA-compliant application form (with WhatsApp option). Document upload for ID and qualifications. Funding options page detailing SETA, bursary, and payment plans. Real-time cohort availability. Application status tracker.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60"/>
            </w:tcMar>
            <w:vAlign w:val="center"/>
          </w:tcPr>
          <w:p>
            <w:pPr>
              <w:jc w:val="center"/>
            </w:pPr>
            <w:r>
              <w:rPr>
                <w:rFonts w:ascii="Arial Black" w:cs="Arial Black" w:eastAsia="Arial Black" w:hAnsi="Arial Black"/>
                <w:b/>
                <w:bCs/>
                <w:color w:val="FFFFFF"/>
                <w:sz w:val="22"/>
                <w:szCs w:val="22"/>
              </w:rPr>
              <w:t xml:space="preserve">8</w:t>
            </w:r>
          </w:p>
        </w:tc>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vAlign w:val="center"/>
          </w:tcPr>
          <w:p>
            <w:pPr>
              <w:spacing w:after="30" w:before="0"/>
            </w:pPr>
            <w:r>
              <w:rPr>
                <w:rFonts w:ascii="Arial" w:cs="Arial" w:eastAsia="Arial" w:hAnsi="Arial"/>
                <w:b/>
                <w:bCs/>
                <w:color w:val="0B0C10"/>
                <w:sz w:val="20"/>
                <w:szCs w:val="20"/>
              </w:rPr>
              <w:t xml:space="preserve">About</w:t>
            </w:r>
          </w:p>
          <w:p>
            <w:pPr>
              <w:spacing w:after="0" w:before="0"/>
            </w:pPr>
            <w:r>
              <w:rPr>
                <w:rFonts w:ascii="Courier New" w:cs="Courier New" w:eastAsia="Courier New" w:hAnsi="Courier New"/>
                <w:color w:val="5A6A7A"/>
                <w:sz w:val="15"/>
                <w:szCs w:val="15"/>
              </w:rPr>
              <w:t xml:space="preserve">ginashe.academy/about</w:t>
            </w:r>
          </w:p>
        </w:tc>
        <w:tc>
          <w:tcPr>
            <w:tcW w:type="dxa" w:w="6360"/>
            <w:tcBorders>
              <w:top w:val="single" w:color="C8D4E0" w:sz="4"/>
              <w:left w:val="single" w:color="C8D4E0" w:sz="4"/>
              <w:bottom w:val="single" w:color="C8D4E0" w:sz="4"/>
              <w:right w:val="single" w:color="C8D4E0" w:sz="4"/>
            </w:tcBorders>
            <w:shd w:fill="FFFFFF" w:val="clear"/>
            <w:tcMar>
              <w:top w:type="dxa" w:w="80"/>
              <w:left w:type="dxa" w:w="160"/>
              <w:bottom w:type="dxa" w:w="80"/>
              <w:right w:type="dxa" w:w="120"/>
            </w:tcMar>
          </w:tcPr>
          <w:p>
            <w:r>
              <w:rPr>
                <w:rFonts w:ascii="Arial" w:cs="Arial" w:eastAsia="Arial" w:hAnsi="Arial"/>
                <w:color w:val="0B0C10"/>
                <w:sz w:val="19"/>
                <w:szCs w:val="19"/>
              </w:rPr>
              <w:t xml:space="preserve">Mission, vision, and values. Team and board. Governance and corporate registration documentation. SETA accreditation status per stream (live). Impact metrics dashboard. Annual report download. Press and media kit. Ginashe Group relationship explained.</w:t>
            </w:r>
          </w:p>
        </w:tc>
      </w:tr>
    </w:tbl>
    <w:p>
      <w:pPr>
        <w:spacing w:after="240" w:before="0"/>
      </w:pPr>
    </w:p>
    <w:p>
      <w:pPr>
        <w:pStyle w:val="Heading2"/>
        <w:spacing w:after="100" w:before="240"/>
      </w:pPr>
      <w:r>
        <w:rPr>
          <w:rFonts w:ascii="Arial" w:cs="Arial" w:eastAsia="Arial" w:hAnsi="Arial"/>
          <w:b/>
          <w:bCs/>
          <w:color w:val="0F6E56"/>
          <w:sz w:val="24"/>
          <w:szCs w:val="24"/>
        </w:rPr>
        <w:t xml:space="preserve">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40"/>
              <w:left w:type="dxa" w:w="200"/>
              <w:bottom w:type="dxa" w:w="120"/>
              <w:right w:type="dxa" w:w="140"/>
            </w:tcMar>
          </w:tcPr>
          <w:p>
            <w:pPr>
              <w:spacing w:after="30" w:before="0"/>
            </w:pPr>
            <w:r>
              <w:rPr>
                <w:rFonts w:ascii="Arial" w:cs="Arial" w:eastAsia="Arial" w:hAnsi="Arial"/>
                <w:b/>
                <w:bCs/>
                <w:color w:val="0F6E56"/>
                <w:sz w:val="22"/>
                <w:szCs w:val="22"/>
              </w:rPr>
              <w:t xml:space="preserve">Frontend</w:t>
            </w:r>
          </w:p>
          <w:p>
            <w:pPr>
              <w:spacing w:after="60" w:before="0"/>
            </w:pPr>
            <w:r>
              <w:rPr>
                <w:rFonts w:ascii="Arial" w:cs="Arial" w:eastAsia="Arial" w:hAnsi="Arial"/>
                <w:i/>
                <w:iCs/>
                <w:color w:val="5A6A7A"/>
                <w:sz w:val="18"/>
                <w:szCs w:val="18"/>
              </w:rPr>
              <w:t xml:space="preserve">ginashe.academy main site</w:t>
            </w:r>
          </w:p>
          <w:p>
            <w:pPr>
              <w:spacing w:after="0" w:before="0"/>
            </w:pPr>
            <w:r>
              <w:rPr>
                <w:rFonts w:ascii="Arial" w:cs="Arial" w:eastAsia="Arial" w:hAnsi="Arial"/>
                <w:color w:val="0B0C10"/>
                <w:sz w:val="21"/>
                <w:szCs w:val="21"/>
              </w:rPr>
              <w:t xml:space="preserve">Next.js 14 with App Router, deployed on Vercel. Tailwind CSS for styling. Contentful as the CMS for course content and graduate stories. Algolia for instant course search. Mobile-first, offline-capable PWA. Sub-2-second time-to-interactive on 3G connections.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40"/>
              <w:left w:type="dxa" w:w="200"/>
              <w:bottom w:type="dxa" w:w="120"/>
              <w:right w:type="dxa" w:w="140"/>
            </w:tcMar>
          </w:tcPr>
          <w:p>
            <w:pPr>
              <w:spacing w:after="30" w:before="0"/>
            </w:pPr>
            <w:r>
              <w:rPr>
                <w:rFonts w:ascii="Arial" w:cs="Arial" w:eastAsia="Arial" w:hAnsi="Arial"/>
                <w:b/>
                <w:bCs/>
                <w:color w:val="1B4F8A"/>
                <w:sz w:val="22"/>
                <w:szCs w:val="22"/>
              </w:rPr>
              <w:t xml:space="preserve">LMS backend</w:t>
            </w:r>
          </w:p>
          <w:p>
            <w:pPr>
              <w:spacing w:after="60" w:before="0"/>
            </w:pPr>
            <w:r>
              <w:rPr>
                <w:rFonts w:ascii="Arial" w:cs="Arial" w:eastAsia="Arial" w:hAnsi="Arial"/>
                <w:i/>
                <w:iCs/>
                <w:color w:val="5A6A7A"/>
                <w:sz w:val="18"/>
                <w:szCs w:val="18"/>
              </w:rPr>
              <w:t xml:space="preserve">learn.ginashe.academy</w:t>
            </w:r>
          </w:p>
          <w:p>
            <w:pPr>
              <w:spacing w:after="0" w:before="0"/>
            </w:pPr>
            <w:r>
              <w:rPr>
                <w:rFonts w:ascii="Arial" w:cs="Arial" w:eastAsia="Arial" w:hAnsi="Arial"/>
                <w:color w:val="0B0C10"/>
                <w:sz w:val="21"/>
                <w:szCs w:val="21"/>
              </w:rPr>
              <w:t xml:space="preserve">Moodle 4.x hosted on AWS af-south-1 Cape Town. RDS PostgreSQL Multi-AZ for primary data. S3 plus CloudFront for video content delivery. KMS encryption for POPIA compliance. CloudTrail audit logging. Claude API integration for the AI tutor. Twilio WhatsApp Business API for assignment submission.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40"/>
              <w:left w:type="dxa" w:w="200"/>
              <w:bottom w:type="dxa" w:w="120"/>
              <w:right w:type="dxa" w:w="140"/>
            </w:tcMar>
          </w:tcPr>
          <w:p>
            <w:pPr>
              <w:spacing w:after="30" w:before="0"/>
            </w:pPr>
            <w:r>
              <w:rPr>
                <w:rFonts w:ascii="Arial" w:cs="Arial" w:eastAsia="Arial" w:hAnsi="Arial"/>
                <w:b/>
                <w:bCs/>
                <w:color w:val="854F0B"/>
                <w:sz w:val="22"/>
                <w:szCs w:val="22"/>
              </w:rPr>
              <w:t xml:space="preserve">Integrations</w:t>
            </w:r>
          </w:p>
          <w:p>
            <w:pPr>
              <w:spacing w:after="60" w:before="0"/>
            </w:pPr>
            <w:r>
              <w:rPr>
                <w:rFonts w:ascii="Arial" w:cs="Arial" w:eastAsia="Arial" w:hAnsi="Arial"/>
                <w:i/>
                <w:iCs/>
                <w:color w:val="5A6A7A"/>
                <w:sz w:val="18"/>
                <w:szCs w:val="18"/>
              </w:rPr>
              <w:t xml:space="preserve">Connecting the Academy ecosystem</w:t>
            </w:r>
          </w:p>
          <w:p>
            <w:pPr>
              <w:spacing w:after="0" w:before="0"/>
            </w:pPr>
            <w:r>
              <w:rPr>
                <w:rFonts w:ascii="Arial" w:cs="Arial" w:eastAsia="Arial" w:hAnsi="Arial"/>
                <w:color w:val="0B0C10"/>
                <w:sz w:val="21"/>
                <w:szCs w:val="21"/>
              </w:rPr>
              <w:t xml:space="preserve">PayFast and Stripe for payment processing (covers SA and international donors). HubSpot CRM for employer leads. Mailchimp for learner communications. Google Analytics 4. SETA reporting via custom API integration. WhatsApp Business API for learner notifications. Ginashe Academy Auth (single sign-on) connects main site to LMS.</w:t>
            </w:r>
          </w:p>
        </w:tc>
      </w:tr>
    </w:tbl>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4 — Partnership Framework</w:t>
      </w:r>
    </w:p>
    <w:p>
      <w:pPr>
        <w:spacing w:after="140" w:before="0"/>
        <w:jc w:val="left"/>
      </w:pPr>
      <w:r>
        <w:rPr>
          <w:rFonts w:ascii="Arial" w:cs="Arial" w:eastAsia="Arial" w:hAnsi="Arial"/>
          <w:b w:val="false"/>
          <w:bCs w:val="false"/>
          <w:i w:val="false"/>
          <w:iCs w:val="false"/>
          <w:color w:val="000000"/>
          <w:sz w:val="22"/>
          <w:szCs w:val="22"/>
        </w:rPr>
        <w:t xml:space="preserve">Ginashe Academy operates as an ecosystem, not as an island. Strategic partnerships with industry, government, and donor bodies are essential — but they must be governed by clear terms that protect curriculum independence, learner data, and the Academy's brand integrity.</w:t>
      </w:r>
    </w:p>
    <w:p>
      <w:pPr>
        <w:pStyle w:val="Heading2"/>
        <w:spacing w:after="100" w:before="240"/>
      </w:pPr>
      <w:r>
        <w:rPr>
          <w:rFonts w:ascii="Arial" w:cs="Arial" w:eastAsia="Arial" w:hAnsi="Arial"/>
          <w:b/>
          <w:bCs/>
          <w:color w:val="0F6E56"/>
          <w:sz w:val="24"/>
          <w:szCs w:val="24"/>
        </w:rPr>
        <w:t xml:space="preserve">Four-tier partnership model</w:t>
      </w:r>
    </w:p>
    <w:p>
      <w:pPr>
        <w:spacing w:after="80" w:before="180"/>
      </w:pPr>
      <w:r>
        <w:rPr>
          <w:rFonts w:ascii="Arial" w:cs="Arial" w:eastAsia="Arial" w:hAnsi="Arial"/>
          <w:b/>
          <w:bCs/>
          <w:color w:val="7A5C00"/>
          <w:sz w:val="21"/>
          <w:szCs w:val="21"/>
        </w:rPr>
        <w:t xml:space="preserve">Tier 1 — Founding Partners (Year 1 priority)</w:t>
      </w:r>
    </w:p>
    <w:p>
      <w:pPr>
        <w:spacing w:after="80" w:before="0"/>
        <w:jc w:val="left"/>
      </w:pPr>
      <w:r>
        <w:rPr>
          <w:rFonts w:ascii="Arial" w:cs="Arial" w:eastAsia="Arial" w:hAnsi="Arial"/>
          <w:b w:val="false"/>
          <w:bCs w:val="false"/>
          <w:i w:val="false"/>
          <w:iCs w:val="false"/>
          <w:color w:val="000000"/>
          <w:sz w:val="22"/>
          <w:szCs w:val="22"/>
        </w:rPr>
        <w:t xml:space="preserve">A small number of marquee partners that establish the Academy's credibility from launch. Founding partners receive permanent recognition on the website, in annual reports, and on graduate certificates.</w:t>
      </w:r>
    </w:p>
    <w:p>
      <w:pPr>
        <w:pStyle w:val="ListParagraph"/>
        <w:numPr>
          <w:ilvl w:val="0"/>
          <w:numId w:val="2"/>
        </w:numPr>
        <w:spacing w:after="60" w:before="0"/>
      </w:pPr>
      <w:r>
        <w:rPr>
          <w:rFonts w:ascii="Arial" w:cs="Arial" w:eastAsia="Arial" w:hAnsi="Arial"/>
          <w:color w:val="000000"/>
          <w:sz w:val="22"/>
          <w:szCs w:val="22"/>
        </w:rPr>
        <w:t xml:space="preserve">AWS Africa — training partner status for the Digital Systems Stream.</w:t>
      </w:r>
    </w:p>
    <w:p>
      <w:pPr>
        <w:pStyle w:val="ListParagraph"/>
        <w:numPr>
          <w:ilvl w:val="0"/>
          <w:numId w:val="2"/>
        </w:numPr>
        <w:spacing w:after="60" w:before="0"/>
      </w:pPr>
      <w:r>
        <w:rPr>
          <w:rFonts w:ascii="Arial" w:cs="Arial" w:eastAsia="Arial" w:hAnsi="Arial"/>
          <w:color w:val="000000"/>
          <w:sz w:val="22"/>
          <w:szCs w:val="22"/>
        </w:rPr>
        <w:t xml:space="preserve">SAPVIA — solar industry alignment for the Energy &amp; Infrastructure Stream.</w:t>
      </w:r>
    </w:p>
    <w:p>
      <w:pPr>
        <w:pStyle w:val="ListParagraph"/>
        <w:numPr>
          <w:ilvl w:val="0"/>
          <w:numId w:val="2"/>
        </w:numPr>
        <w:spacing w:after="60" w:before="0"/>
      </w:pPr>
      <w:r>
        <w:rPr>
          <w:rFonts w:ascii="Arial" w:cs="Arial" w:eastAsia="Arial" w:hAnsi="Arial"/>
          <w:color w:val="000000"/>
          <w:sz w:val="22"/>
          <w:szCs w:val="22"/>
        </w:rPr>
        <w:t xml:space="preserve">SAICA — financial literacy curriculum endorsement.</w:t>
      </w:r>
    </w:p>
    <w:p>
      <w:pPr>
        <w:pStyle w:val="ListParagraph"/>
        <w:numPr>
          <w:ilvl w:val="0"/>
          <w:numId w:val="2"/>
        </w:numPr>
        <w:spacing w:after="60" w:before="0"/>
      </w:pPr>
      <w:r>
        <w:rPr>
          <w:rFonts w:ascii="Arial" w:cs="Arial" w:eastAsia="Arial" w:hAnsi="Arial"/>
          <w:color w:val="000000"/>
          <w:sz w:val="22"/>
          <w:szCs w:val="22"/>
        </w:rPr>
        <w:t xml:space="preserve">A major South African bank — FinTech cohort funder and graduate employer.</w:t>
      </w:r>
    </w:p>
    <w:p>
      <w:pPr>
        <w:pStyle w:val="ListParagraph"/>
        <w:numPr>
          <w:ilvl w:val="0"/>
          <w:numId w:val="2"/>
        </w:numPr>
        <w:spacing w:after="60" w:before="0"/>
      </w:pPr>
      <w:r>
        <w:rPr>
          <w:rFonts w:ascii="Arial" w:cs="Arial" w:eastAsia="Arial" w:hAnsi="Arial"/>
          <w:color w:val="000000"/>
          <w:sz w:val="22"/>
          <w:szCs w:val="22"/>
        </w:rPr>
        <w:t xml:space="preserve">A leading SA health NGO — Community Health Worker practicum partner.</w:t>
      </w:r>
    </w:p>
    <w:p>
      <w:pPr>
        <w:spacing w:after="120" w:before="0"/>
      </w:pPr>
    </w:p>
    <w:p>
      <w:pPr>
        <w:spacing w:after="80" w:before="180"/>
      </w:pPr>
      <w:r>
        <w:rPr>
          <w:rFonts w:ascii="Arial" w:cs="Arial" w:eastAsia="Arial" w:hAnsi="Arial"/>
          <w:b/>
          <w:bCs/>
          <w:color w:val="1B4F8A"/>
          <w:sz w:val="21"/>
          <w:szCs w:val="21"/>
        </w:rPr>
        <w:t xml:space="preserve">Tier 2 — Corporate B-BBEE Skills Partners</w:t>
      </w:r>
    </w:p>
    <w:p>
      <w:pPr>
        <w:spacing w:after="80" w:before="0"/>
        <w:jc w:val="left"/>
      </w:pPr>
      <w:r>
        <w:rPr>
          <w:rFonts w:ascii="Arial" w:cs="Arial" w:eastAsia="Arial" w:hAnsi="Arial"/>
          <w:b w:val="false"/>
          <w:bCs w:val="false"/>
          <w:i w:val="false"/>
          <w:iCs w:val="false"/>
          <w:color w:val="000000"/>
          <w:sz w:val="22"/>
          <w:szCs w:val="22"/>
        </w:rPr>
        <w:t xml:space="preserve">Corporates that fund cohorts as part of their B-BBEE skills development spend. Annual or multi-year agreements. Co-branded with the corporate but always under the Ginashe Academy primary mark.</w:t>
      </w:r>
    </w:p>
    <w:p>
      <w:pPr>
        <w:pStyle w:val="ListParagraph"/>
        <w:numPr>
          <w:ilvl w:val="0"/>
          <w:numId w:val="2"/>
        </w:numPr>
        <w:spacing w:after="60" w:before="0"/>
      </w:pPr>
      <w:r>
        <w:rPr>
          <w:rFonts w:ascii="Arial" w:cs="Arial" w:eastAsia="Arial" w:hAnsi="Arial"/>
          <w:color w:val="000000"/>
          <w:sz w:val="22"/>
          <w:szCs w:val="22"/>
        </w:rPr>
        <w:t xml:space="preserve">MTN or Vodacom — data bundles plus Digital Systems cohorts.</w:t>
      </w:r>
    </w:p>
    <w:p>
      <w:pPr>
        <w:pStyle w:val="ListParagraph"/>
        <w:numPr>
          <w:ilvl w:val="0"/>
          <w:numId w:val="2"/>
        </w:numPr>
        <w:spacing w:after="60" w:before="0"/>
      </w:pPr>
      <w:r>
        <w:rPr>
          <w:rFonts w:ascii="Arial" w:cs="Arial" w:eastAsia="Arial" w:hAnsi="Arial"/>
          <w:color w:val="000000"/>
          <w:sz w:val="22"/>
          <w:szCs w:val="22"/>
        </w:rPr>
        <w:t xml:space="preserve">Solar EPC companies — Energy &amp; Infrastructure cohort funders.</w:t>
      </w:r>
    </w:p>
    <w:p>
      <w:pPr>
        <w:pStyle w:val="ListParagraph"/>
        <w:numPr>
          <w:ilvl w:val="0"/>
          <w:numId w:val="2"/>
        </w:numPr>
        <w:spacing w:after="60" w:before="0"/>
      </w:pPr>
      <w:r>
        <w:rPr>
          <w:rFonts w:ascii="Arial" w:cs="Arial" w:eastAsia="Arial" w:hAnsi="Arial"/>
          <w:color w:val="000000"/>
          <w:sz w:val="22"/>
          <w:szCs w:val="22"/>
        </w:rPr>
        <w:t xml:space="preserve">SA agribusiness firms — Agriculture &amp; Food Security cohorts.</w:t>
      </w:r>
    </w:p>
    <w:p>
      <w:pPr>
        <w:pStyle w:val="ListParagraph"/>
        <w:numPr>
          <w:ilvl w:val="0"/>
          <w:numId w:val="2"/>
        </w:numPr>
        <w:spacing w:after="60" w:before="0"/>
      </w:pPr>
      <w:r>
        <w:rPr>
          <w:rFonts w:ascii="Arial" w:cs="Arial" w:eastAsia="Arial" w:hAnsi="Arial"/>
          <w:color w:val="000000"/>
          <w:sz w:val="22"/>
          <w:szCs w:val="22"/>
        </w:rPr>
        <w:t xml:space="preserve">Advertising agencies — Creative &amp; Digital Media internship pipeline.</w:t>
      </w:r>
    </w:p>
    <w:p>
      <w:pPr>
        <w:pStyle w:val="ListParagraph"/>
        <w:numPr>
          <w:ilvl w:val="0"/>
          <w:numId w:val="2"/>
        </w:numPr>
        <w:spacing w:after="60" w:before="0"/>
      </w:pPr>
      <w:r>
        <w:rPr>
          <w:rFonts w:ascii="Arial" w:cs="Arial" w:eastAsia="Arial" w:hAnsi="Arial"/>
          <w:color w:val="000000"/>
          <w:sz w:val="22"/>
          <w:szCs w:val="22"/>
        </w:rPr>
        <w:t xml:space="preserve">Construction companies — Applied Trades cohorts.</w:t>
      </w:r>
    </w:p>
    <w:p>
      <w:pPr>
        <w:spacing w:after="120" w:before="0"/>
      </w:pPr>
    </w:p>
    <w:p>
      <w:pPr>
        <w:spacing w:after="80" w:before="180"/>
      </w:pPr>
      <w:r>
        <w:rPr>
          <w:rFonts w:ascii="Arial" w:cs="Arial" w:eastAsia="Arial" w:hAnsi="Arial"/>
          <w:b/>
          <w:bCs/>
          <w:color w:val="0F6E56"/>
          <w:sz w:val="21"/>
          <w:szCs w:val="21"/>
        </w:rPr>
        <w:t xml:space="preserve">Tier 3 — Government &amp; Development Finance</w:t>
      </w:r>
    </w:p>
    <w:p>
      <w:pPr>
        <w:spacing w:after="80" w:before="0"/>
        <w:jc w:val="left"/>
      </w:pPr>
      <w:r>
        <w:rPr>
          <w:rFonts w:ascii="Arial" w:cs="Arial" w:eastAsia="Arial" w:hAnsi="Arial"/>
          <w:b w:val="false"/>
          <w:bCs w:val="false"/>
          <w:i w:val="false"/>
          <w:iCs w:val="false"/>
          <w:color w:val="000000"/>
          <w:sz w:val="22"/>
          <w:szCs w:val="22"/>
        </w:rPr>
        <w:t xml:space="preserve">Government departments, statutory bodies, and development finance institutions. Larger contract values, longer lead times, more compliance overhead. Often funds specific demographic targets (rural youth, women in trades, ECD practitioners).</w:t>
      </w:r>
    </w:p>
    <w:p>
      <w:pPr>
        <w:pStyle w:val="ListParagraph"/>
        <w:numPr>
          <w:ilvl w:val="0"/>
          <w:numId w:val="2"/>
        </w:numPr>
        <w:spacing w:after="60" w:before="0"/>
      </w:pPr>
      <w:r>
        <w:rPr>
          <w:rFonts w:ascii="Arial" w:cs="Arial" w:eastAsia="Arial" w:hAnsi="Arial"/>
          <w:color w:val="000000"/>
          <w:sz w:val="22"/>
          <w:szCs w:val="22"/>
        </w:rPr>
        <w:t xml:space="preserve">DHET — community college partnership and articulation.</w:t>
      </w:r>
    </w:p>
    <w:p>
      <w:pPr>
        <w:pStyle w:val="ListParagraph"/>
        <w:numPr>
          <w:ilvl w:val="0"/>
          <w:numId w:val="2"/>
        </w:numPr>
        <w:spacing w:after="60" w:before="0"/>
      </w:pPr>
      <w:r>
        <w:rPr>
          <w:rFonts w:ascii="Arial" w:cs="Arial" w:eastAsia="Arial" w:hAnsi="Arial"/>
          <w:color w:val="000000"/>
          <w:sz w:val="22"/>
          <w:szCs w:val="22"/>
        </w:rPr>
        <w:t xml:space="preserve">NEF — entrepreneurship graduate funding pathway.</w:t>
      </w:r>
    </w:p>
    <w:p>
      <w:pPr>
        <w:pStyle w:val="ListParagraph"/>
        <w:numPr>
          <w:ilvl w:val="0"/>
          <w:numId w:val="2"/>
        </w:numPr>
        <w:spacing w:after="60" w:before="0"/>
      </w:pPr>
      <w:r>
        <w:rPr>
          <w:rFonts w:ascii="Arial" w:cs="Arial" w:eastAsia="Arial" w:hAnsi="Arial"/>
          <w:color w:val="000000"/>
          <w:sz w:val="22"/>
          <w:szCs w:val="22"/>
        </w:rPr>
        <w:t xml:space="preserve">IDC — agritech and energy graduate placements.</w:t>
      </w:r>
    </w:p>
    <w:p>
      <w:pPr>
        <w:pStyle w:val="ListParagraph"/>
        <w:numPr>
          <w:ilvl w:val="0"/>
          <w:numId w:val="2"/>
        </w:numPr>
        <w:spacing w:after="60" w:before="0"/>
      </w:pPr>
      <w:r>
        <w:rPr>
          <w:rFonts w:ascii="Arial" w:cs="Arial" w:eastAsia="Arial" w:hAnsi="Arial"/>
          <w:color w:val="000000"/>
          <w:sz w:val="22"/>
          <w:szCs w:val="22"/>
        </w:rPr>
        <w:t xml:space="preserve">NSF — vulnerable learner bursary funding.</w:t>
      </w:r>
    </w:p>
    <w:p>
      <w:pPr>
        <w:pStyle w:val="ListParagraph"/>
        <w:numPr>
          <w:ilvl w:val="0"/>
          <w:numId w:val="2"/>
        </w:numPr>
        <w:spacing w:after="60" w:before="0"/>
      </w:pPr>
      <w:r>
        <w:rPr>
          <w:rFonts w:ascii="Arial" w:cs="Arial" w:eastAsia="Arial" w:hAnsi="Arial"/>
          <w:color w:val="000000"/>
          <w:sz w:val="22"/>
          <w:szCs w:val="22"/>
        </w:rPr>
        <w:t xml:space="preserve">NYDA — youth employment pipeline.</w:t>
      </w:r>
    </w:p>
    <w:p>
      <w:pPr>
        <w:spacing w:after="120" w:before="0"/>
      </w:pPr>
    </w:p>
    <w:p>
      <w:pPr>
        <w:spacing w:after="80" w:before="180"/>
      </w:pPr>
      <w:r>
        <w:rPr>
          <w:rFonts w:ascii="Arial" w:cs="Arial" w:eastAsia="Arial" w:hAnsi="Arial"/>
          <w:b/>
          <w:bCs/>
          <w:color w:val="0C7B93"/>
          <w:sz w:val="21"/>
          <w:szCs w:val="21"/>
        </w:rPr>
        <w:t xml:space="preserve">Tier 4 — International Development Partners</w:t>
      </w:r>
    </w:p>
    <w:p>
      <w:pPr>
        <w:spacing w:after="80" w:before="0"/>
        <w:jc w:val="left"/>
      </w:pPr>
      <w:r>
        <w:rPr>
          <w:rFonts w:ascii="Arial" w:cs="Arial" w:eastAsia="Arial" w:hAnsi="Arial"/>
          <w:b w:val="false"/>
          <w:bCs w:val="false"/>
          <w:i w:val="false"/>
          <w:iCs w:val="false"/>
          <w:color w:val="000000"/>
          <w:sz w:val="22"/>
          <w:szCs w:val="22"/>
        </w:rPr>
        <w:t xml:space="preserve">Foundations and bilateral development agencies. Multi-year programmes typically focused on specific themes (energy transition, food security, youth employment). Detailed impact reporting and evaluation requirements.</w:t>
      </w:r>
    </w:p>
    <w:p>
      <w:pPr>
        <w:pStyle w:val="ListParagraph"/>
        <w:numPr>
          <w:ilvl w:val="0"/>
          <w:numId w:val="2"/>
        </w:numPr>
        <w:spacing w:after="60" w:before="0"/>
      </w:pPr>
      <w:r>
        <w:rPr>
          <w:rFonts w:ascii="Arial" w:cs="Arial" w:eastAsia="Arial" w:hAnsi="Arial"/>
          <w:color w:val="000000"/>
          <w:sz w:val="22"/>
          <w:szCs w:val="22"/>
        </w:rPr>
        <w:t xml:space="preserve">GIZ (German Corporation for International Cooperation) — energy and agriculture programmes.</w:t>
      </w:r>
    </w:p>
    <w:p>
      <w:pPr>
        <w:pStyle w:val="ListParagraph"/>
        <w:numPr>
          <w:ilvl w:val="0"/>
          <w:numId w:val="2"/>
        </w:numPr>
        <w:spacing w:after="60" w:before="0"/>
      </w:pPr>
      <w:r>
        <w:rPr>
          <w:rFonts w:ascii="Arial" w:cs="Arial" w:eastAsia="Arial" w:hAnsi="Arial"/>
          <w:color w:val="000000"/>
          <w:sz w:val="22"/>
          <w:szCs w:val="22"/>
        </w:rPr>
        <w:t xml:space="preserve">USAID — health and food security programmes.</w:t>
      </w:r>
    </w:p>
    <w:p>
      <w:pPr>
        <w:pStyle w:val="ListParagraph"/>
        <w:numPr>
          <w:ilvl w:val="0"/>
          <w:numId w:val="2"/>
        </w:numPr>
        <w:spacing w:after="60" w:before="0"/>
      </w:pPr>
      <w:r>
        <w:rPr>
          <w:rFonts w:ascii="Arial" w:cs="Arial" w:eastAsia="Arial" w:hAnsi="Arial"/>
          <w:color w:val="000000"/>
          <w:sz w:val="22"/>
          <w:szCs w:val="22"/>
        </w:rPr>
        <w:t xml:space="preserve">Mastercard Foundation — Young Africa Works youth employment funding.</w:t>
      </w:r>
    </w:p>
    <w:p>
      <w:pPr>
        <w:pStyle w:val="ListParagraph"/>
        <w:numPr>
          <w:ilvl w:val="0"/>
          <w:numId w:val="2"/>
        </w:numPr>
        <w:spacing w:after="60" w:before="0"/>
      </w:pPr>
      <w:r>
        <w:rPr>
          <w:rFonts w:ascii="Arial" w:cs="Arial" w:eastAsia="Arial" w:hAnsi="Arial"/>
          <w:color w:val="000000"/>
          <w:sz w:val="22"/>
          <w:szCs w:val="22"/>
        </w:rPr>
        <w:t xml:space="preserve">Ford Foundation — social enterprise programmes.</w:t>
      </w:r>
    </w:p>
    <w:p>
      <w:pPr>
        <w:spacing w:after="240" w:before="0"/>
      </w:pPr>
    </w:p>
    <w:p>
      <w:pPr>
        <w:pStyle w:val="Heading2"/>
        <w:spacing w:after="100" w:before="240"/>
      </w:pPr>
      <w:r>
        <w:rPr>
          <w:rFonts w:ascii="Arial" w:cs="Arial" w:eastAsia="Arial" w:hAnsi="Arial"/>
          <w:b/>
          <w:bCs/>
          <w:color w:val="0F6E56"/>
          <w:sz w:val="24"/>
          <w:szCs w:val="24"/>
        </w:rPr>
        <w:t xml:space="preserve">Six standard partnership clauses</w:t>
      </w:r>
    </w:p>
    <w:p>
      <w:pPr>
        <w:spacing w:after="120" w:before="0"/>
        <w:jc w:val="left"/>
      </w:pPr>
      <w:r>
        <w:rPr>
          <w:rFonts w:ascii="Arial" w:cs="Arial" w:eastAsia="Arial" w:hAnsi="Arial"/>
          <w:b w:val="false"/>
          <w:bCs w:val="false"/>
          <w:i w:val="false"/>
          <w:iCs w:val="false"/>
          <w:color w:val="000000"/>
          <w:sz w:val="22"/>
          <w:szCs w:val="22"/>
        </w:rPr>
        <w:t xml:space="preserve">Every partnership agreement — regardless of tier — includes these six clauses. They are non-negotiable. Their purpose is to protect what cannot be replaced if compromised: curriculum independence, learner data, and the Academy's reputation.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40"/>
              <w:left w:type="dxa" w:w="200"/>
              <w:bottom w:type="dxa" w:w="120"/>
              <w:right w:type="dxa" w:w="140"/>
            </w:tcMar>
          </w:tcPr>
          <w:p>
            <w:pPr>
              <w:spacing w:after="30" w:before="0"/>
            </w:pPr>
            <w:r>
              <w:rPr>
                <w:rFonts w:ascii="Arial" w:cs="Arial" w:eastAsia="Arial" w:hAnsi="Arial"/>
                <w:b/>
                <w:bCs/>
                <w:color w:val="0F6E56"/>
                <w:sz w:val="22"/>
                <w:szCs w:val="22"/>
              </w:rPr>
              <w:t xml:space="preserve">Clause 1 — Curriculum independence</w:t>
            </w:r>
          </w:p>
          <w:p>
            <w:pPr>
              <w:spacing w:after="60" w:before="0"/>
            </w:pPr>
            <w:r>
              <w:rPr>
                <w:rFonts w:ascii="Arial" w:cs="Arial" w:eastAsia="Arial" w:hAnsi="Arial"/>
                <w:i/>
                <w:iCs/>
                <w:color w:val="5A6A7A"/>
                <w:sz w:val="18"/>
                <w:szCs w:val="18"/>
              </w:rPr>
              <w:t xml:space="preserve">No partner may dictate or approve curriculum content</w:t>
            </w:r>
          </w:p>
          <w:p>
            <w:pPr>
              <w:spacing w:after="0" w:before="0"/>
            </w:pPr>
            <w:r>
              <w:rPr>
                <w:rFonts w:ascii="Arial" w:cs="Arial" w:eastAsia="Arial" w:hAnsi="Arial"/>
                <w:color w:val="0B0C10"/>
                <w:sz w:val="21"/>
                <w:szCs w:val="21"/>
              </w:rPr>
              <w:t xml:space="preserve">Ginashe Academy retains full editorial and curriculum control. No sponsor may require curriculum changes, mandatory product placement, brand endorsements, or modified assessment criteria. Violation of this clause terminates the agreement immediately, with no penalty payable by the Academy.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40"/>
              <w:left w:type="dxa" w:w="200"/>
              <w:bottom w:type="dxa" w:w="120"/>
              <w:right w:type="dxa" w:w="140"/>
            </w:tcMar>
          </w:tcPr>
          <w:p>
            <w:pPr>
              <w:spacing w:after="30" w:before="0"/>
            </w:pPr>
            <w:r>
              <w:rPr>
                <w:rFonts w:ascii="Arial" w:cs="Arial" w:eastAsia="Arial" w:hAnsi="Arial"/>
                <w:b/>
                <w:bCs/>
                <w:color w:val="1B4F8A"/>
                <w:sz w:val="22"/>
                <w:szCs w:val="22"/>
              </w:rPr>
              <w:t xml:space="preserve">Clause 2 — Learner data sovereignty</w:t>
            </w:r>
          </w:p>
          <w:p>
            <w:pPr>
              <w:spacing w:after="60" w:before="0"/>
            </w:pPr>
            <w:r>
              <w:rPr>
                <w:rFonts w:ascii="Arial" w:cs="Arial" w:eastAsia="Arial" w:hAnsi="Arial"/>
                <w:i/>
                <w:iCs/>
                <w:color w:val="5A6A7A"/>
                <w:sz w:val="18"/>
                <w:szCs w:val="18"/>
              </w:rPr>
              <w:t xml:space="preserve">Learner data belongs to the learner, not the partner</w:t>
            </w:r>
          </w:p>
          <w:p>
            <w:pPr>
              <w:spacing w:after="0" w:before="0"/>
            </w:pPr>
            <w:r>
              <w:rPr>
                <w:rFonts w:ascii="Arial" w:cs="Arial" w:eastAsia="Arial" w:hAnsi="Arial"/>
                <w:color w:val="0B0C10"/>
                <w:sz w:val="21"/>
                <w:szCs w:val="21"/>
              </w:rPr>
              <w:t xml:space="preserve">Learner personal data is owned by the learner. Partners receive only aggregated, anonymised outcomes data. Individual learner data is never shared with funders, employers, or third parties without explicit, informed, written learner consent. Full POPIA Condition 2 and Condition 7 compliance is mandatory.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40"/>
              <w:left w:type="dxa" w:w="200"/>
              <w:bottom w:type="dxa" w:w="120"/>
              <w:right w:type="dxa" w:w="140"/>
            </w:tcMar>
          </w:tcPr>
          <w:p>
            <w:pPr>
              <w:spacing w:after="30" w:before="0"/>
            </w:pPr>
            <w:r>
              <w:rPr>
                <w:rFonts w:ascii="Arial" w:cs="Arial" w:eastAsia="Arial" w:hAnsi="Arial"/>
                <w:b/>
                <w:bCs/>
                <w:color w:val="854F0B"/>
                <w:sz w:val="22"/>
                <w:szCs w:val="22"/>
              </w:rPr>
              <w:t xml:space="preserve">Clause 3 — Employment commitment</w:t>
            </w:r>
          </w:p>
          <w:p>
            <w:pPr>
              <w:spacing w:after="60" w:before="0"/>
            </w:pPr>
            <w:r>
              <w:rPr>
                <w:rFonts w:ascii="Arial" w:cs="Arial" w:eastAsia="Arial" w:hAnsi="Arial"/>
                <w:i/>
                <w:iCs/>
                <w:color w:val="5A6A7A"/>
                <w:sz w:val="18"/>
                <w:szCs w:val="18"/>
              </w:rPr>
              <w:t xml:space="preserve">Funded cohorts come with an interview pipeline obligation</w:t>
            </w:r>
          </w:p>
          <w:p>
            <w:pPr>
              <w:spacing w:after="0" w:before="0"/>
            </w:pPr>
            <w:r>
              <w:rPr>
                <w:rFonts w:ascii="Arial" w:cs="Arial" w:eastAsia="Arial" w:hAnsi="Arial"/>
                <w:color w:val="0B0C10"/>
                <w:sz w:val="21"/>
                <w:szCs w:val="21"/>
              </w:rPr>
              <w:t xml:space="preserve">Employer partners who fund cohorts commit to interviewing all qualifying graduates within 60 days of cohort completion. This is an interview commitment, not an employment guarantee. The commitment is publicly reported in the annual report — partners are listed by name and interview rate.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40"/>
              <w:left w:type="dxa" w:w="200"/>
              <w:bottom w:type="dxa" w:w="120"/>
              <w:right w:type="dxa" w:w="140"/>
            </w:tcMar>
          </w:tcPr>
          <w:p>
            <w:pPr>
              <w:spacing w:after="30" w:before="0"/>
            </w:pPr>
            <w:r>
              <w:rPr>
                <w:rFonts w:ascii="Arial" w:cs="Arial" w:eastAsia="Arial" w:hAnsi="Arial"/>
                <w:b/>
                <w:bCs/>
                <w:color w:val="3C3489"/>
                <w:sz w:val="22"/>
                <w:szCs w:val="22"/>
              </w:rPr>
              <w:t xml:space="preserve">Clause 4 — B-BBEE reporting</w:t>
            </w:r>
          </w:p>
          <w:p>
            <w:pPr>
              <w:spacing w:after="60" w:before="0"/>
            </w:pPr>
            <w:r>
              <w:rPr>
                <w:rFonts w:ascii="Arial" w:cs="Arial" w:eastAsia="Arial" w:hAnsi="Arial"/>
                <w:i/>
                <w:iCs/>
                <w:color w:val="5A6A7A"/>
                <w:sz w:val="18"/>
                <w:szCs w:val="18"/>
              </w:rPr>
              <w:t xml:space="preserve">SETA-compliant skills spend certificates within 30 days</w:t>
            </w:r>
          </w:p>
          <w:p>
            <w:pPr>
              <w:spacing w:after="0" w:before="0"/>
            </w:pPr>
            <w:r>
              <w:rPr>
                <w:rFonts w:ascii="Arial" w:cs="Arial" w:eastAsia="Arial" w:hAnsi="Arial"/>
                <w:color w:val="0B0C10"/>
                <w:sz w:val="21"/>
                <w:szCs w:val="21"/>
              </w:rPr>
              <w:t xml:space="preserve">Ginashe Academy provides SETA-compliant skills spend certificates within 30 days of cohort completion. Certificates specify BEE ownership status, SETA alignment, NQF level, and learner demographics — sufficient detail for direct B-BBEE scorecard inclusion by the partner.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12"/>
              <w:left w:val="single" w:color="EAF3DE" w:sz="4"/>
              <w:bottom w:val="single" w:color="3B6D11" w:sz="4"/>
              <w:right w:val="single" w:color="EAF3DE" w:sz="4"/>
            </w:tcBorders>
            <w:shd w:fill="EAF3DE" w:val="clear"/>
            <w:tcMar>
              <w:top w:type="dxa" w:w="140"/>
              <w:left w:type="dxa" w:w="200"/>
              <w:bottom w:type="dxa" w:w="120"/>
              <w:right w:type="dxa" w:w="140"/>
            </w:tcMar>
          </w:tcPr>
          <w:p>
            <w:pPr>
              <w:spacing w:after="30" w:before="0"/>
            </w:pPr>
            <w:r>
              <w:rPr>
                <w:rFonts w:ascii="Arial" w:cs="Arial" w:eastAsia="Arial" w:hAnsi="Arial"/>
                <w:b/>
                <w:bCs/>
                <w:color w:val="3B6D11"/>
                <w:sz w:val="22"/>
                <w:szCs w:val="22"/>
              </w:rPr>
              <w:t xml:space="preserve">Clause 5 — Quality assurance rights</w:t>
            </w:r>
          </w:p>
          <w:p>
            <w:pPr>
              <w:spacing w:after="60" w:before="0"/>
            </w:pPr>
            <w:r>
              <w:rPr>
                <w:rFonts w:ascii="Arial" w:cs="Arial" w:eastAsia="Arial" w:hAnsi="Arial"/>
                <w:i/>
                <w:iCs/>
                <w:color w:val="5A6A7A"/>
                <w:sz w:val="18"/>
                <w:szCs w:val="18"/>
              </w:rPr>
              <w:t xml:space="preserve">Observation, not interruption</w:t>
            </w:r>
          </w:p>
          <w:p>
            <w:pPr>
              <w:spacing w:after="0" w:before="0"/>
            </w:pPr>
            <w:r>
              <w:rPr>
                <w:rFonts w:ascii="Arial" w:cs="Arial" w:eastAsia="Arial" w:hAnsi="Arial"/>
                <w:color w:val="0B0C10"/>
                <w:sz w:val="21"/>
                <w:szCs w:val="21"/>
              </w:rPr>
              <w:t xml:space="preserve">Partners may observe (not interrupt) any class or assessment session with five business days written notice. Partners receive quarterly outcome reports. Curriculum or assessment concerns are raised through the Academic Council — never directly to facilitators or learners.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556" w:sz="12"/>
              <w:left w:val="single" w:color="FBEAF0" w:sz="4"/>
              <w:bottom w:val="single" w:color="993556" w:sz="4"/>
              <w:right w:val="single" w:color="FBEAF0" w:sz="4"/>
            </w:tcBorders>
            <w:shd w:fill="FBEAF0" w:val="clear"/>
            <w:tcMar>
              <w:top w:type="dxa" w:w="140"/>
              <w:left w:type="dxa" w:w="200"/>
              <w:bottom w:type="dxa" w:w="120"/>
              <w:right w:type="dxa" w:w="140"/>
            </w:tcMar>
          </w:tcPr>
          <w:p>
            <w:pPr>
              <w:spacing w:after="30" w:before="0"/>
            </w:pPr>
            <w:r>
              <w:rPr>
                <w:rFonts w:ascii="Arial" w:cs="Arial" w:eastAsia="Arial" w:hAnsi="Arial"/>
                <w:b/>
                <w:bCs/>
                <w:color w:val="993556"/>
                <w:sz w:val="22"/>
                <w:szCs w:val="22"/>
              </w:rPr>
              <w:t xml:space="preserve">Clause 6 — Branding and attribution</w:t>
            </w:r>
          </w:p>
          <w:p>
            <w:pPr>
              <w:spacing w:after="60" w:before="0"/>
            </w:pPr>
            <w:r>
              <w:rPr>
                <w:rFonts w:ascii="Arial" w:cs="Arial" w:eastAsia="Arial" w:hAnsi="Arial"/>
                <w:i/>
                <w:iCs/>
                <w:color w:val="5A6A7A"/>
                <w:sz w:val="18"/>
                <w:szCs w:val="18"/>
              </w:rPr>
              <w:t xml:space="preserve">Partner recognition without brand confusion</w:t>
            </w:r>
          </w:p>
          <w:p>
            <w:pPr>
              <w:spacing w:after="0" w:before="0"/>
            </w:pPr>
            <w:r>
              <w:rPr>
                <w:rFonts w:ascii="Arial" w:cs="Arial" w:eastAsia="Arial" w:hAnsi="Arial"/>
                <w:color w:val="0B0C10"/>
                <w:sz w:val="21"/>
                <w:szCs w:val="21"/>
              </w:rPr>
              <w:t xml:space="preserve">Partners are listed as sponsors on relevant course pages and graduate certificates. Partners may not brand themselves as co-deliverers of the qualification — only as funders, employers, or supporters. The Ginashe Academy mark is the primary identity on all learner-facing materials.</w:t>
            </w:r>
          </w:p>
        </w:tc>
      </w:tr>
    </w:tbl>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5 — Legal &amp; Corporate Structure</w:t>
      </w:r>
    </w:p>
    <w:p>
      <w:pPr>
        <w:spacing w:after="140" w:before="0"/>
        <w:jc w:val="left"/>
      </w:pPr>
      <w:r>
        <w:rPr>
          <w:rFonts w:ascii="Arial" w:cs="Arial" w:eastAsia="Arial" w:hAnsi="Arial"/>
          <w:b w:val="false"/>
          <w:bCs w:val="false"/>
          <w:i w:val="false"/>
          <w:iCs w:val="false"/>
          <w:color w:val="000000"/>
          <w:sz w:val="22"/>
          <w:szCs w:val="22"/>
        </w:rPr>
        <w:t xml:space="preserve">Ginashe Academy currently operates as Ginashe Academy (Pty) Ltd, a private company under the Companies Act 71 of 2008. This section sets out the current structure, the recommended near-term configuration as a wholly-owned subsidiary of Ginashe Group, and the future-state options that may make sense as the Academy scales — including potential conversion to or sister-NPC creation.</w:t>
      </w:r>
    </w:p>
    <w:p>
      <w:pPr>
        <w:pStyle w:val="Heading2"/>
        <w:spacing w:after="100" w:before="240"/>
      </w:pPr>
      <w:r>
        <w:rPr>
          <w:rFonts w:ascii="Arial" w:cs="Arial" w:eastAsia="Arial" w:hAnsi="Arial"/>
          <w:b/>
          <w:bCs/>
          <w:color w:val="0F6E56"/>
          <w:sz w:val="24"/>
          <w:szCs w:val="24"/>
        </w:rPr>
        <w:t xml:space="preserve">Current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40"/>
              <w:left w:type="dxa" w:w="200"/>
              <w:bottom w:type="dxa" w:w="120"/>
              <w:right w:type="dxa" w:w="140"/>
            </w:tcMar>
          </w:tcPr>
          <w:p>
            <w:pPr>
              <w:spacing w:after="30" w:before="0"/>
            </w:pPr>
            <w:r>
              <w:rPr>
                <w:rFonts w:ascii="Arial" w:cs="Arial" w:eastAsia="Arial" w:hAnsi="Arial"/>
                <w:b/>
                <w:bCs/>
                <w:color w:val="0F6E56"/>
                <w:sz w:val="22"/>
                <w:szCs w:val="22"/>
              </w:rPr>
              <w:t xml:space="preserve">Ginashe Academy (Pty) Ltd</w:t>
            </w:r>
          </w:p>
          <w:p>
            <w:pPr>
              <w:spacing w:after="60" w:before="0"/>
            </w:pPr>
            <w:r>
              <w:rPr>
                <w:rFonts w:ascii="Arial" w:cs="Arial" w:eastAsia="Arial" w:hAnsi="Arial"/>
                <w:i/>
                <w:iCs/>
                <w:color w:val="5A6A7A"/>
                <w:sz w:val="18"/>
                <w:szCs w:val="18"/>
              </w:rPr>
              <w:t xml:space="preserve">Private company under the Companies Act</w:t>
            </w:r>
          </w:p>
          <w:p>
            <w:pPr>
              <w:spacing w:after="0" w:before="0"/>
            </w:pPr>
            <w:r>
              <w:rPr>
                <w:rFonts w:ascii="Arial" w:cs="Arial" w:eastAsia="Arial" w:hAnsi="Arial"/>
                <w:color w:val="0B0C10"/>
                <w:sz w:val="21"/>
                <w:szCs w:val="21"/>
              </w:rPr>
              <w:t xml:space="preserve">Currently incorporated as a Pty Ltd. This is the right structure for the early years — operationally simple, commercially flexible, and well-understood by SARS, banks, and partners. Maintains the founder's direct decision-making authority and avoids the governance complexity of an NPC at a stage where the institution is still finding its operating rhythm.</w:t>
            </w:r>
          </w:p>
        </w:tc>
      </w:tr>
    </w:tbl>
    <w:p>
      <w:pPr>
        <w:spacing w:after="240" w:before="0"/>
      </w:pPr>
    </w:p>
    <w:p>
      <w:pPr>
        <w:pStyle w:val="Heading2"/>
        <w:spacing w:after="100" w:before="240"/>
      </w:pPr>
      <w:r>
        <w:rPr>
          <w:rFonts w:ascii="Arial" w:cs="Arial" w:eastAsia="Arial" w:hAnsi="Arial"/>
          <w:b/>
          <w:bCs/>
          <w:color w:val="0F6E56"/>
          <w:sz w:val="24"/>
          <w:szCs w:val="24"/>
        </w:rPr>
        <w:t xml:space="preserve">Recommended near-term configuration</w:t>
      </w:r>
    </w:p>
    <w:p>
      <w:pPr>
        <w:spacing w:after="120" w:before="0"/>
        <w:jc w:val="left"/>
      </w:pPr>
      <w:r>
        <w:rPr>
          <w:rFonts w:ascii="Arial" w:cs="Arial" w:eastAsia="Arial" w:hAnsi="Arial"/>
          <w:b w:val="false"/>
          <w:bCs w:val="false"/>
          <w:i w:val="false"/>
          <w:iCs w:val="false"/>
          <w:color w:val="000000"/>
          <w:sz w:val="22"/>
          <w:szCs w:val="22"/>
        </w:rPr>
        <w:t xml:space="preserve">The recommended structure for the next 18 to 36 months is for Ginashe Academy (Pty) Ltd to operate as a wholly-owned subsidiary of Ginashe Group (Pty) Ltd. This is a minor structural change from independent Pty Ltd to subsidiary Pty Ltd, but it unlocks meaningful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FFFFF" w:sz="4"/>
              <w:left w:val="single" w:color="FFFFFF" w:sz="4"/>
              <w:bottom w:val="single" w:color="FFFFFF" w:sz="4"/>
              <w:right w:val="single" w:color="0F6E56"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0F6E56"/>
                <w:sz w:val="17"/>
                <w:szCs w:val="17"/>
              </w:rPr>
              <w:t xml:space="preserve">Parent</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Ginashe Group (Pty) Ltd — holding company</w:t>
            </w:r>
          </w:p>
          <w:p>
            <w:pPr>
              <w:spacing w:after="0" w:before="0"/>
            </w:pPr>
            <w:r>
              <w:rPr>
                <w:rFonts w:ascii="Arial" w:cs="Arial" w:eastAsia="Arial" w:hAnsi="Arial"/>
                <w:color w:val="5A6A7A"/>
                <w:sz w:val="20"/>
                <w:szCs w:val="20"/>
              </w:rPr>
              <w:t xml:space="preserve">The existing holding company. Owns the Ginashe brand and intellectual property. Provides operational management services to the subsidiary on a transparent management fee basis. Maintains the broader Ginashe Group corporate identity and existing commercial relationships.</w:t>
            </w:r>
          </w:p>
        </w:tc>
      </w:tr>
      <w:tr>
        <w:tc>
          <w:tcPr>
            <w:tcW w:type="dxa" w:w="1100"/>
            <w:tcBorders>
              <w:top w:val="single" w:color="FFFFFF" w:sz="4"/>
              <w:left w:val="single" w:color="FFFFFF" w:sz="4"/>
              <w:bottom w:val="single" w:color="FFFFFF" w:sz="4"/>
              <w:right w:val="single" w:color="1B4F8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1B4F8A"/>
                <w:sz w:val="17"/>
                <w:szCs w:val="17"/>
              </w:rPr>
              <w:t xml:space="preserve">Sub</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Ginashe Academy (Pty) Ltd — operating subsidiary</w:t>
            </w:r>
          </w:p>
          <w:p>
            <w:pPr>
              <w:spacing w:after="0" w:before="0"/>
            </w:pPr>
            <w:r>
              <w:rPr>
                <w:rFonts w:ascii="Arial" w:cs="Arial" w:eastAsia="Arial" w:hAnsi="Arial"/>
                <w:color w:val="5A6A7A"/>
                <w:sz w:val="20"/>
                <w:szCs w:val="20"/>
              </w:rPr>
              <w:t xml:space="preserve">Wholly-owned subsidiary of Ginashe Group. Operates all 10 streams. Generates revenue from learner fees, corporate B-BBEE cohorts, government contracts, and (where eligible as a Pty Ltd) selected SETA programmes. Maintains its own bank accounts, audit, and statutory returns.</w:t>
            </w:r>
          </w:p>
        </w:tc>
      </w:tr>
      <w:tr>
        <w:tc>
          <w:tcPr>
            <w:tcW w:type="dxa" w:w="1100"/>
            <w:tcBorders>
              <w:top w:val="single" w:color="FFFFFF" w:sz="4"/>
              <w:left w:val="single" w:color="FFFFFF" w:sz="4"/>
              <w:bottom w:val="single" w:color="FFFFFF" w:sz="4"/>
              <w:right w:val="single" w:color="854F0B"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854F0B"/>
                <w:sz w:val="17"/>
                <w:szCs w:val="17"/>
              </w:rPr>
              <w:t xml:space="preserve">SLA</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Group Service Agreement</w:t>
            </w:r>
          </w:p>
          <w:p>
            <w:pPr>
              <w:spacing w:after="0" w:before="0"/>
            </w:pPr>
            <w:r>
              <w:rPr>
                <w:rFonts w:ascii="Arial" w:cs="Arial" w:eastAsia="Arial" w:hAnsi="Arial"/>
                <w:color w:val="5A6A7A"/>
                <w:sz w:val="20"/>
                <w:szCs w:val="20"/>
              </w:rPr>
              <w:t xml:space="preserve">A formal service-level agreement between Ginashe Group and Ginashe Academy documents the management services provided (IT, finance, HR, legal), the fees charged at market rate, and the delivery commitments. Required by SARS for transfer-pricing compliance and by SETAs as evidence of operational independence at curriculum level.</w:t>
            </w:r>
          </w:p>
        </w:tc>
      </w:tr>
    </w:tbl>
    <w:p>
      <w:pPr>
        <w:spacing w:after="240" w:before="0"/>
      </w:pPr>
    </w:p>
    <w:p>
      <w:pPr>
        <w:pStyle w:val="Heading2"/>
        <w:spacing w:after="100" w:before="240"/>
      </w:pPr>
      <w:r>
        <w:rPr>
          <w:rFonts w:ascii="Arial" w:cs="Arial" w:eastAsia="Arial" w:hAnsi="Arial"/>
          <w:b/>
          <w:bCs/>
          <w:color w:val="0F6E56"/>
          <w:sz w:val="24"/>
          <w:szCs w:val="24"/>
        </w:rPr>
        <w:t xml:space="preserve">Why subsidiary is better than independent for now</w:t>
      </w:r>
    </w:p>
    <w:p>
      <w:pPr>
        <w:pStyle w:val="ListParagraph"/>
        <w:numPr>
          <w:ilvl w:val="0"/>
          <w:numId w:val="2"/>
        </w:numPr>
        <w:spacing w:after="60" w:before="0"/>
      </w:pPr>
      <w:r>
        <w:rPr>
          <w:rFonts w:ascii="Arial" w:cs="Arial" w:eastAsia="Arial" w:hAnsi="Arial"/>
          <w:color w:val="000000"/>
          <w:sz w:val="22"/>
          <w:szCs w:val="22"/>
        </w:rPr>
        <w:t xml:space="preserve">Brand and credibility transfer — the Group's existing relationships, vendor contracts, banking infrastructure, and credibility transfer to the subsidiary instantly. A separate independent entity must rebuild all of this from scratch.</w:t>
      </w:r>
    </w:p>
    <w:p>
      <w:pPr>
        <w:pStyle w:val="ListParagraph"/>
        <w:numPr>
          <w:ilvl w:val="0"/>
          <w:numId w:val="2"/>
        </w:numPr>
        <w:spacing w:after="60" w:before="0"/>
      </w:pPr>
      <w:r>
        <w:rPr>
          <w:rFonts w:ascii="Arial" w:cs="Arial" w:eastAsia="Arial" w:hAnsi="Arial"/>
          <w:color w:val="000000"/>
          <w:sz w:val="22"/>
          <w:szCs w:val="22"/>
        </w:rPr>
        <w:t xml:space="preserve">Tax efficiency on early-year losses — early-stage Academy losses can be group-relief'd against Ginashe Group profits in the same financial year. As a separate independent entity, those losses sit unused on the books for years.</w:t>
      </w:r>
    </w:p>
    <w:p>
      <w:pPr>
        <w:pStyle w:val="ListParagraph"/>
        <w:numPr>
          <w:ilvl w:val="0"/>
          <w:numId w:val="2"/>
        </w:numPr>
        <w:spacing w:after="60" w:before="0"/>
      </w:pPr>
      <w:r>
        <w:rPr>
          <w:rFonts w:ascii="Arial" w:cs="Arial" w:eastAsia="Arial" w:hAnsi="Arial"/>
          <w:color w:val="000000"/>
          <w:sz w:val="22"/>
          <w:szCs w:val="22"/>
        </w:rPr>
        <w:t xml:space="preserve">Operational simplicity — shared services flow naturally between parent and subsidiary without elaborate paperwork. Auditors and SARS understand and accept this structure routinely.</w:t>
      </w:r>
    </w:p>
    <w:p>
      <w:pPr>
        <w:pStyle w:val="ListParagraph"/>
        <w:numPr>
          <w:ilvl w:val="0"/>
          <w:numId w:val="2"/>
        </w:numPr>
        <w:spacing w:after="60" w:before="0"/>
      </w:pPr>
      <w:r>
        <w:rPr>
          <w:rFonts w:ascii="Arial" w:cs="Arial" w:eastAsia="Arial" w:hAnsi="Arial"/>
          <w:color w:val="000000"/>
          <w:sz w:val="22"/>
          <w:szCs w:val="22"/>
        </w:rPr>
        <w:t xml:space="preserve">Future optionality — converting to NPC or creating a sister NPC is significantly easier from a subsidiary structure than from an independent Pty Ltd. The subsidiary can also accept outside investment in the future without restructuring the entire group.</w:t>
      </w:r>
    </w:p>
    <w:p>
      <w:pPr>
        <w:spacing w:after="240" w:before="0"/>
      </w:pPr>
    </w:p>
    <w:p>
      <w:pPr>
        <w:pStyle w:val="Heading2"/>
        <w:spacing w:after="100" w:before="240"/>
      </w:pPr>
      <w:r>
        <w:rPr>
          <w:rFonts w:ascii="Arial" w:cs="Arial" w:eastAsia="Arial" w:hAnsi="Arial"/>
          <w:b/>
          <w:bCs/>
          <w:color w:val="0F6E56"/>
          <w:sz w:val="24"/>
          <w:szCs w:val="24"/>
        </w:rPr>
        <w:t xml:space="preserve">Future-state options — when and why to consider change</w:t>
      </w:r>
    </w:p>
    <w:p>
      <w:pPr>
        <w:spacing w:after="120" w:before="0"/>
        <w:jc w:val="left"/>
      </w:pPr>
      <w:r>
        <w:rPr>
          <w:rFonts w:ascii="Arial" w:cs="Arial" w:eastAsia="Arial" w:hAnsi="Arial"/>
          <w:b w:val="false"/>
          <w:bCs w:val="false"/>
          <w:i w:val="false"/>
          <w:iCs w:val="false"/>
          <w:color w:val="000000"/>
          <w:sz w:val="22"/>
          <w:szCs w:val="22"/>
        </w:rPr>
        <w:t xml:space="preserve">The current Pty Ltd structure is right for now. Three future scenarios may make sense to consider at the appropriate moment, none of them urgent: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12"/>
              <w:left w:val="single" w:color="EAF3DE" w:sz="4"/>
              <w:bottom w:val="single" w:color="3B6D11" w:sz="4"/>
              <w:right w:val="single" w:color="EAF3DE" w:sz="4"/>
            </w:tcBorders>
            <w:shd w:fill="EAF3DE" w:val="clear"/>
            <w:tcMar>
              <w:top w:type="dxa" w:w="140"/>
              <w:left w:type="dxa" w:w="200"/>
              <w:bottom w:type="dxa" w:w="120"/>
              <w:right w:type="dxa" w:w="140"/>
            </w:tcMar>
          </w:tcPr>
          <w:p>
            <w:pPr>
              <w:spacing w:after="30" w:before="0"/>
            </w:pPr>
            <w:r>
              <w:rPr>
                <w:rFonts w:ascii="Arial" w:cs="Arial" w:eastAsia="Arial" w:hAnsi="Arial"/>
                <w:b/>
                <w:bCs/>
                <w:color w:val="3B6D11"/>
                <w:sz w:val="22"/>
                <w:szCs w:val="22"/>
              </w:rPr>
              <w:t xml:space="preserve">Future option A — Convert Ginashe Academy to NPC</w:t>
            </w:r>
          </w:p>
          <w:p>
            <w:pPr>
              <w:spacing w:after="60" w:before="0"/>
            </w:pPr>
            <w:r>
              <w:rPr>
                <w:rFonts w:ascii="Arial" w:cs="Arial" w:eastAsia="Arial" w:hAnsi="Arial"/>
                <w:i/>
                <w:iCs/>
                <w:color w:val="5A6A7A"/>
                <w:sz w:val="18"/>
                <w:szCs w:val="18"/>
              </w:rPr>
              <w:t xml:space="preserve">Trigger: when SETA grants and donor money exceed 30% of revenue</w:t>
            </w:r>
          </w:p>
          <w:p>
            <w:pPr>
              <w:spacing w:after="0" w:before="0"/>
            </w:pPr>
            <w:r>
              <w:rPr>
                <w:rFonts w:ascii="Arial" w:cs="Arial" w:eastAsia="Arial" w:hAnsi="Arial"/>
                <w:color w:val="0B0C10"/>
                <w:sz w:val="21"/>
                <w:szCs w:val="21"/>
              </w:rPr>
              <w:t xml:space="preserve">A full conversion of Ginashe Academy from Pty Ltd to NPC unlocks SETA discretionary grant eligibility, Section 18A donor receipts, PBO tax exemption, and B-BBEE CSI/ED contribution recognition. Worth considering when grant and donor revenue would exceed 30% of total revenue and the loss of commercial flexibility is justified by the funding gain.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40"/>
              <w:left w:type="dxa" w:w="200"/>
              <w:bottom w:type="dxa" w:w="120"/>
              <w:right w:type="dxa" w:w="140"/>
            </w:tcMar>
          </w:tcPr>
          <w:p>
            <w:pPr>
              <w:spacing w:after="30" w:before="0"/>
            </w:pPr>
            <w:r>
              <w:rPr>
                <w:rFonts w:ascii="Arial" w:cs="Arial" w:eastAsia="Arial" w:hAnsi="Arial"/>
                <w:b/>
                <w:bCs/>
                <w:color w:val="3C3489"/>
                <w:sz w:val="22"/>
                <w:szCs w:val="22"/>
              </w:rPr>
              <w:t xml:space="preserve">Future option B — Create a sister NPC alongside the Pty Ltd</w:t>
            </w:r>
          </w:p>
          <w:p>
            <w:pPr>
              <w:spacing w:after="60" w:before="0"/>
            </w:pPr>
            <w:r>
              <w:rPr>
                <w:rFonts w:ascii="Arial" w:cs="Arial" w:eastAsia="Arial" w:hAnsi="Arial"/>
                <w:i/>
                <w:iCs/>
                <w:color w:val="5A6A7A"/>
                <w:sz w:val="18"/>
                <w:szCs w:val="18"/>
              </w:rPr>
              <w:t xml:space="preserve">Trigger: when bursary endowment or donor funding reaches material scale</w:t>
            </w:r>
          </w:p>
          <w:p>
            <w:pPr>
              <w:spacing w:after="0" w:before="0"/>
            </w:pPr>
            <w:r>
              <w:rPr>
                <w:rFonts w:ascii="Arial" w:cs="Arial" w:eastAsia="Arial" w:hAnsi="Arial"/>
                <w:color w:val="0B0C10"/>
                <w:sz w:val="21"/>
                <w:szCs w:val="21"/>
              </w:rPr>
              <w:t xml:space="preserve">A separate Ginashe Academy Foundation NPC operates alongside the Pty Ltd. The NPC handles bursaries, donor funding, and SETA grants. The Pty Ltd handles commercial training, corporate cohorts, and content licensing. Best of both worlds — preserves commercial flexibility while unlocking grant funding. More complex to manage but increasingly common for SA training providers operating at scale.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556" w:sz="12"/>
              <w:left w:val="single" w:color="FBEAF0" w:sz="4"/>
              <w:bottom w:val="single" w:color="993556" w:sz="4"/>
              <w:right w:val="single" w:color="FBEAF0" w:sz="4"/>
            </w:tcBorders>
            <w:shd w:fill="FBEAF0" w:val="clear"/>
            <w:tcMar>
              <w:top w:type="dxa" w:w="140"/>
              <w:left w:type="dxa" w:w="200"/>
              <w:bottom w:type="dxa" w:w="120"/>
              <w:right w:type="dxa" w:w="140"/>
            </w:tcMar>
          </w:tcPr>
          <w:p>
            <w:pPr>
              <w:spacing w:after="30" w:before="0"/>
            </w:pPr>
            <w:r>
              <w:rPr>
                <w:rFonts w:ascii="Arial" w:cs="Arial" w:eastAsia="Arial" w:hAnsi="Arial"/>
                <w:b/>
                <w:bCs/>
                <w:color w:val="993556"/>
                <w:sz w:val="22"/>
                <w:szCs w:val="22"/>
              </w:rPr>
              <w:t xml:space="preserve">Future option C — Create a Trust for the bursary endowment</w:t>
            </w:r>
          </w:p>
          <w:p>
            <w:pPr>
              <w:spacing w:after="60" w:before="0"/>
            </w:pPr>
            <w:r>
              <w:rPr>
                <w:rFonts w:ascii="Arial" w:cs="Arial" w:eastAsia="Arial" w:hAnsi="Arial"/>
                <w:i/>
                <w:iCs/>
                <w:color w:val="5A6A7A"/>
                <w:sz w:val="18"/>
                <w:szCs w:val="18"/>
              </w:rPr>
              <w:t xml:space="preserve">Trigger: when capital donor commitments justify a separate vehicle</w:t>
            </w:r>
          </w:p>
          <w:p>
            <w:pPr>
              <w:spacing w:after="0" w:before="0"/>
            </w:pPr>
            <w:r>
              <w:rPr>
                <w:rFonts w:ascii="Arial" w:cs="Arial" w:eastAsia="Arial" w:hAnsi="Arial"/>
                <w:color w:val="0B0C10"/>
                <w:sz w:val="21"/>
                <w:szCs w:val="21"/>
              </w:rPr>
              <w:t xml:space="preserve">A Ginashe Academy Trust holds the bursary endowment fund. Receives large capital donor contributions. Distributes annual bursaries per the deed of trust. Tax-efficient vehicle for philanthropic giving — donors receive Section 18A certificates if the Trust is registered as a PBO. Typically established when capital donor commitments reach R5 to R10 million plus.</w:t>
            </w:r>
          </w:p>
        </w:tc>
      </w:tr>
    </w:tbl>
    <w:p>
      <w:pPr>
        <w:spacing w:after="240" w:before="0"/>
      </w:pPr>
    </w:p>
    <w:p>
      <w:pPr>
        <w:pStyle w:val="Heading2"/>
        <w:spacing w:after="100" w:before="240"/>
      </w:pPr>
      <w:r>
        <w:rPr>
          <w:rFonts w:ascii="Arial" w:cs="Arial" w:eastAsia="Arial" w:hAnsi="Arial"/>
          <w:b/>
          <w:bCs/>
          <w:color w:val="0F6E56"/>
          <w:sz w:val="24"/>
          <w:szCs w:val="24"/>
        </w:rPr>
        <w:t xml:space="preserve">Annual compliance — current Pty Ltd obligations</w:t>
      </w:r>
    </w:p>
    <w:p>
      <w:pPr>
        <w:spacing w:after="120" w:before="0"/>
        <w:jc w:val="left"/>
      </w:pPr>
      <w:r>
        <w:rPr>
          <w:rFonts w:ascii="Arial" w:cs="Arial" w:eastAsia="Arial" w:hAnsi="Arial"/>
          <w:b w:val="false"/>
          <w:bCs w:val="false"/>
          <w:i w:val="false"/>
          <w:iCs w:val="false"/>
          <w:color w:val="000000"/>
          <w:sz w:val="22"/>
          <w:szCs w:val="22"/>
        </w:rPr>
        <w:t xml:space="preserve">As a Pty Ltd, Ginashe Academy maintains an annual compliance calendar with five recurring requirements. These are the same obligations that apply to every active South African Pty Ltd:</w:t>
      </w:r>
    </w:p>
    <w:p>
      <w:pPr>
        <w:pStyle w:val="ListParagraph"/>
        <w:numPr>
          <w:ilvl w:val="0"/>
          <w:numId w:val="2"/>
        </w:numPr>
        <w:spacing w:after="60" w:before="0"/>
      </w:pPr>
      <w:r>
        <w:rPr>
          <w:rFonts w:ascii="Arial" w:cs="Arial" w:eastAsia="Arial" w:hAnsi="Arial"/>
          <w:color w:val="000000"/>
          <w:sz w:val="22"/>
          <w:szCs w:val="22"/>
        </w:rPr>
        <w:t xml:space="preserve">CIPC annual return — submitted within 30 business days of the company's registration anniversary date.</w:t>
      </w:r>
    </w:p>
    <w:p>
      <w:pPr>
        <w:pStyle w:val="ListParagraph"/>
        <w:numPr>
          <w:ilvl w:val="0"/>
          <w:numId w:val="2"/>
        </w:numPr>
        <w:spacing w:after="60" w:before="0"/>
      </w:pPr>
      <w:r>
        <w:rPr>
          <w:rFonts w:ascii="Arial" w:cs="Arial" w:eastAsia="Arial" w:hAnsi="Arial"/>
          <w:color w:val="000000"/>
          <w:sz w:val="22"/>
          <w:szCs w:val="22"/>
        </w:rPr>
        <w:t xml:space="preserve">SARS annual income tax return (ITR14) — submitted within 12 months of financial year end.</w:t>
      </w:r>
    </w:p>
    <w:p>
      <w:pPr>
        <w:pStyle w:val="ListParagraph"/>
        <w:numPr>
          <w:ilvl w:val="0"/>
          <w:numId w:val="2"/>
        </w:numPr>
        <w:spacing w:after="60" w:before="0"/>
      </w:pPr>
      <w:r>
        <w:rPr>
          <w:rFonts w:ascii="Arial" w:cs="Arial" w:eastAsia="Arial" w:hAnsi="Arial"/>
          <w:color w:val="000000"/>
          <w:sz w:val="22"/>
          <w:szCs w:val="22"/>
        </w:rPr>
        <w:t xml:space="preserve">Annual financial statements — prepared and signed off by directors. Audit required only if the public interest score exceeds the threshold; otherwise an independent review is sufficient.</w:t>
      </w:r>
    </w:p>
    <w:p>
      <w:pPr>
        <w:pStyle w:val="ListParagraph"/>
        <w:numPr>
          <w:ilvl w:val="0"/>
          <w:numId w:val="2"/>
        </w:numPr>
        <w:spacing w:after="60" w:before="0"/>
      </w:pPr>
      <w:r>
        <w:rPr>
          <w:rFonts w:ascii="Arial" w:cs="Arial" w:eastAsia="Arial" w:hAnsi="Arial"/>
          <w:color w:val="000000"/>
          <w:sz w:val="22"/>
          <w:szCs w:val="22"/>
        </w:rPr>
        <w:t xml:space="preserve">POPIA Information Officer registered with the Information Regulator — already required regardless of company type.</w:t>
      </w:r>
    </w:p>
    <w:p>
      <w:pPr>
        <w:pStyle w:val="ListParagraph"/>
        <w:numPr>
          <w:ilvl w:val="0"/>
          <w:numId w:val="2"/>
        </w:numPr>
        <w:spacing w:after="60" w:before="0"/>
      </w:pPr>
      <w:r>
        <w:rPr>
          <w:rFonts w:ascii="Arial" w:cs="Arial" w:eastAsia="Arial" w:hAnsi="Arial"/>
          <w:color w:val="000000"/>
          <w:sz w:val="22"/>
          <w:szCs w:val="22"/>
        </w:rPr>
        <w:t xml:space="preserve">B-BBEE certificate or sworn affidavit — annual renewal. Affidavit acceptable for EME and QSE thresholds.</w:t>
      </w:r>
    </w:p>
    <w:p>
      <w:pPr>
        <w:spacing w:after="120" w:before="0"/>
      </w:pPr>
    </w:p>
    <w:p>
      <w:pPr>
        <w:spacing w:after="120" w:before="0"/>
        <w:jc w:val="left"/>
      </w:pPr>
      <w:r>
        <w:rPr>
          <w:rFonts w:ascii="Arial" w:cs="Arial" w:eastAsia="Arial" w:hAnsi="Arial"/>
          <w:b w:val="false"/>
          <w:bCs w:val="false"/>
          <w:i w:val="false"/>
          <w:iCs w:val="false"/>
          <w:color w:val="000000"/>
          <w:sz w:val="22"/>
          <w:szCs w:val="22"/>
        </w:rPr>
        <w:t xml:space="preserve">When SETA accreditation is achieved, additional SETA-specific compliance obligations apply per the Phase 3 accreditation roadmap.</w:t>
      </w:r>
    </w:p>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6 — Strategic Blueprint Complete</w:t>
      </w:r>
    </w:p>
    <w:p>
      <w:pPr>
        <w:spacing w:after="120" w:before="0"/>
        <w:jc w:val="left"/>
      </w:pPr>
      <w:r>
        <w:rPr>
          <w:rFonts w:ascii="Arial" w:cs="Arial" w:eastAsia="Arial" w:hAnsi="Arial"/>
          <w:b w:val="false"/>
          <w:bCs w:val="false"/>
          <w:i w:val="false"/>
          <w:iCs w:val="false"/>
          <w:color w:val="000000"/>
          <w:sz w:val="22"/>
          <w:szCs w:val="22"/>
        </w:rPr>
        <w:t xml:space="preserve">Phase 4 closes the Ginashe Academy Strategic Blueprint. Across four documents, the Academy now has a defined institutional architecture from stream mapping through to legal structure.</w:t>
      </w:r>
    </w:p>
    <w:p>
      <w:pPr>
        <w:pStyle w:val="Heading2"/>
        <w:spacing w:after="100" w:before="240"/>
      </w:pPr>
      <w:r>
        <w:rPr>
          <w:rFonts w:ascii="Arial" w:cs="Arial" w:eastAsia="Arial" w:hAnsi="Arial"/>
          <w:b/>
          <w:bCs/>
          <w:color w:val="0F6E56"/>
          <w:sz w:val="24"/>
          <w:szCs w:val="24"/>
        </w:rPr>
        <w:t xml:space="preserve">What the four phases together establish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6E56" w:sz="6"/>
              <w:left w:val="single" w:color="0F6E56" w:sz="6"/>
              <w:bottom w:val="single" w:color="0F6E56" w:sz="6"/>
              <w:right w:val="single" w:color="0F6E56" w:sz="6"/>
            </w:tcBorders>
            <w:shd w:fill="D8F2E9" w:val="clear"/>
            <w:tcMar>
              <w:top w:type="dxa" w:w="140"/>
              <w:left w:type="dxa" w:w="80"/>
              <w:bottom w:type="dxa" w:w="140"/>
              <w:right w:type="dxa" w:w="80"/>
            </w:tcMar>
          </w:tcPr>
          <w:p>
            <w:pPr>
              <w:spacing w:after="50" w:before="0"/>
              <w:jc w:val="center"/>
            </w:pPr>
            <w:r>
              <w:rPr>
                <w:rFonts w:ascii="Arial Black" w:cs="Arial Black" w:eastAsia="Arial Black" w:hAnsi="Arial Black"/>
                <w:b/>
                <w:bCs/>
                <w:color w:val="0F6E56"/>
                <w:sz w:val="34"/>
                <w:szCs w:val="34"/>
              </w:rPr>
              <w:t xml:space="preserve">10</w:t>
            </w:r>
          </w:p>
          <w:p>
            <w:pPr>
              <w:spacing w:after="0" w:before="0"/>
              <w:jc w:val="center"/>
            </w:pPr>
            <w:r>
              <w:rPr>
                <w:rFonts w:ascii="Arial" w:cs="Arial" w:eastAsia="Arial" w:hAnsi="Arial"/>
                <w:color w:val="0F6E56"/>
                <w:sz w:val="18"/>
                <w:szCs w:val="18"/>
              </w:rPr>
              <w:t xml:space="preserve">Streams defined</w:t>
            </w:r>
          </w:p>
        </w:tc>
        <w:tc>
          <w:tcPr>
            <w:tcW w:type="dxa" w:w="2340"/>
            <w:tcBorders>
              <w:top w:val="single" w:color="1B4F8A" w:sz="6"/>
              <w:left w:val="single" w:color="1B4F8A" w:sz="6"/>
              <w:bottom w:val="single" w:color="1B4F8A" w:sz="6"/>
              <w:right w:val="single" w:color="1B4F8A" w:sz="6"/>
            </w:tcBorders>
            <w:shd w:fill="D6E8F8" w:val="clear"/>
            <w:tcMar>
              <w:top w:type="dxa" w:w="140"/>
              <w:left w:type="dxa" w:w="80"/>
              <w:bottom w:type="dxa" w:w="140"/>
              <w:right w:type="dxa" w:w="80"/>
            </w:tcMar>
          </w:tcPr>
          <w:p>
            <w:pPr>
              <w:spacing w:after="50" w:before="0"/>
              <w:jc w:val="center"/>
            </w:pPr>
            <w:r>
              <w:rPr>
                <w:rFonts w:ascii="Arial Black" w:cs="Arial Black" w:eastAsia="Arial Black" w:hAnsi="Arial Black"/>
                <w:b/>
                <w:bCs/>
                <w:color w:val="1B4F8A"/>
                <w:sz w:val="34"/>
                <w:szCs w:val="34"/>
              </w:rPr>
              <w:t xml:space="preserve">80+</w:t>
            </w:r>
          </w:p>
          <w:p>
            <w:pPr>
              <w:spacing w:after="0" w:before="0"/>
              <w:jc w:val="center"/>
            </w:pPr>
            <w:r>
              <w:rPr>
                <w:rFonts w:ascii="Arial" w:cs="Arial" w:eastAsia="Arial" w:hAnsi="Arial"/>
                <w:color w:val="1B4F8A"/>
                <w:sz w:val="18"/>
                <w:szCs w:val="18"/>
              </w:rPr>
              <w:t xml:space="preserve">Courses mapped</w:t>
            </w:r>
          </w:p>
        </w:tc>
        <w:tc>
          <w:tcPr>
            <w:tcW w:type="dxa" w:w="2340"/>
            <w:tcBorders>
              <w:top w:val="single" w:color="854F0B" w:sz="6"/>
              <w:left w:val="single" w:color="854F0B" w:sz="6"/>
              <w:bottom w:val="single" w:color="854F0B" w:sz="6"/>
              <w:right w:val="single" w:color="854F0B" w:sz="6"/>
            </w:tcBorders>
            <w:shd w:fill="FDF0D5" w:val="clear"/>
            <w:tcMar>
              <w:top w:type="dxa" w:w="140"/>
              <w:left w:type="dxa" w:w="80"/>
              <w:bottom w:type="dxa" w:w="140"/>
              <w:right w:type="dxa" w:w="80"/>
            </w:tcMar>
          </w:tcPr>
          <w:p>
            <w:pPr>
              <w:spacing w:after="50" w:before="0"/>
              <w:jc w:val="center"/>
            </w:pPr>
            <w:r>
              <w:rPr>
                <w:rFonts w:ascii="Arial Black" w:cs="Arial Black" w:eastAsia="Arial Black" w:hAnsi="Arial Black"/>
                <w:b/>
                <w:bCs/>
                <w:color w:val="854F0B"/>
                <w:sz w:val="34"/>
                <w:szCs w:val="34"/>
              </w:rPr>
              <w:t xml:space="preserve">9</w:t>
            </w:r>
          </w:p>
          <w:p>
            <w:pPr>
              <w:spacing w:after="0" w:before="0"/>
              <w:jc w:val="center"/>
            </w:pPr>
            <w:r>
              <w:rPr>
                <w:rFonts w:ascii="Arial" w:cs="Arial" w:eastAsia="Arial" w:hAnsi="Arial"/>
                <w:color w:val="854F0B"/>
                <w:sz w:val="18"/>
                <w:szCs w:val="18"/>
              </w:rPr>
              <w:t xml:space="preserve">SETAs aligned</w:t>
            </w:r>
          </w:p>
        </w:tc>
        <w:tc>
          <w:tcPr>
            <w:tcW w:type="dxa" w:w="2340"/>
            <w:tcBorders>
              <w:top w:val="single" w:color="3C3489" w:sz="6"/>
              <w:left w:val="single" w:color="3C3489" w:sz="6"/>
              <w:bottom w:val="single" w:color="3C3489" w:sz="6"/>
              <w:right w:val="single" w:color="3C3489" w:sz="6"/>
            </w:tcBorders>
            <w:shd w:fill="E5E3FC" w:val="clear"/>
            <w:tcMar>
              <w:top w:type="dxa" w:w="140"/>
              <w:left w:type="dxa" w:w="80"/>
              <w:bottom w:type="dxa" w:w="140"/>
              <w:right w:type="dxa" w:w="80"/>
            </w:tcMar>
          </w:tcPr>
          <w:p>
            <w:pPr>
              <w:spacing w:after="50" w:before="0"/>
              <w:jc w:val="center"/>
            </w:pPr>
            <w:r>
              <w:rPr>
                <w:rFonts w:ascii="Arial Black" w:cs="Arial Black" w:eastAsia="Arial Black" w:hAnsi="Arial Black"/>
                <w:b/>
                <w:bCs/>
                <w:color w:val="3C3489"/>
                <w:sz w:val="34"/>
                <w:szCs w:val="34"/>
              </w:rPr>
              <w:t xml:space="preserve">6</w:t>
            </w:r>
          </w:p>
          <w:p>
            <w:pPr>
              <w:spacing w:after="0" w:before="0"/>
              <w:jc w:val="center"/>
            </w:pPr>
            <w:r>
              <w:rPr>
                <w:rFonts w:ascii="Arial" w:cs="Arial" w:eastAsia="Arial" w:hAnsi="Arial"/>
                <w:color w:val="3C3489"/>
                <w:sz w:val="18"/>
                <w:szCs w:val="18"/>
              </w:rPr>
              <w:t xml:space="preserve">Revenue streams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B6D11" w:sz="6"/>
              <w:left w:val="single" w:color="3B6D11" w:sz="6"/>
              <w:bottom w:val="single" w:color="3B6D11" w:sz="6"/>
              <w:right w:val="single" w:color="3B6D11" w:sz="6"/>
            </w:tcBorders>
            <w:shd w:fill="EAF3DE" w:val="clear"/>
            <w:tcMar>
              <w:top w:type="dxa" w:w="140"/>
              <w:left w:type="dxa" w:w="80"/>
              <w:bottom w:type="dxa" w:w="140"/>
              <w:right w:type="dxa" w:w="80"/>
            </w:tcMar>
          </w:tcPr>
          <w:p>
            <w:pPr>
              <w:spacing w:after="50" w:before="0"/>
              <w:jc w:val="center"/>
            </w:pPr>
            <w:r>
              <w:rPr>
                <w:rFonts w:ascii="Arial Black" w:cs="Arial Black" w:eastAsia="Arial Black" w:hAnsi="Arial Black"/>
                <w:b/>
                <w:bCs/>
                <w:color w:val="3B6D11"/>
                <w:sz w:val="34"/>
                <w:szCs w:val="34"/>
              </w:rPr>
              <w:t xml:space="preserve">4</w:t>
            </w:r>
          </w:p>
          <w:p>
            <w:pPr>
              <w:spacing w:after="0" w:before="0"/>
              <w:jc w:val="center"/>
            </w:pPr>
            <w:r>
              <w:rPr>
                <w:rFonts w:ascii="Arial" w:cs="Arial" w:eastAsia="Arial" w:hAnsi="Arial"/>
                <w:color w:val="3B6D11"/>
                <w:sz w:val="18"/>
                <w:szCs w:val="18"/>
              </w:rPr>
              <w:t xml:space="preserve">Delivery channels</w:t>
            </w:r>
          </w:p>
        </w:tc>
        <w:tc>
          <w:tcPr>
            <w:tcW w:type="dxa" w:w="2340"/>
            <w:tcBorders>
              <w:top w:val="single" w:color="993556" w:sz="6"/>
              <w:left w:val="single" w:color="993556" w:sz="6"/>
              <w:bottom w:val="single" w:color="993556" w:sz="6"/>
              <w:right w:val="single" w:color="993556" w:sz="6"/>
            </w:tcBorders>
            <w:shd w:fill="FBEAF0" w:val="clear"/>
            <w:tcMar>
              <w:top w:type="dxa" w:w="140"/>
              <w:left w:type="dxa" w:w="80"/>
              <w:bottom w:type="dxa" w:w="140"/>
              <w:right w:type="dxa" w:w="80"/>
            </w:tcMar>
          </w:tcPr>
          <w:p>
            <w:pPr>
              <w:spacing w:after="50" w:before="0"/>
              <w:jc w:val="center"/>
            </w:pPr>
            <w:r>
              <w:rPr>
                <w:rFonts w:ascii="Arial Black" w:cs="Arial Black" w:eastAsia="Arial Black" w:hAnsi="Arial Black"/>
                <w:b/>
                <w:bCs/>
                <w:color w:val="993556"/>
                <w:sz w:val="34"/>
                <w:szCs w:val="34"/>
              </w:rPr>
              <w:t xml:space="preserve">4</w:t>
            </w:r>
          </w:p>
          <w:p>
            <w:pPr>
              <w:spacing w:after="0" w:before="0"/>
              <w:jc w:val="center"/>
            </w:pPr>
            <w:r>
              <w:rPr>
                <w:rFonts w:ascii="Arial" w:cs="Arial" w:eastAsia="Arial" w:hAnsi="Arial"/>
                <w:color w:val="993556"/>
                <w:sz w:val="18"/>
                <w:szCs w:val="18"/>
              </w:rPr>
              <w:t xml:space="preserve">Partnership tiers</w:t>
            </w:r>
          </w:p>
        </w:tc>
        <w:tc>
          <w:tcPr>
            <w:tcW w:type="dxa" w:w="2340"/>
            <w:tcBorders>
              <w:top w:val="single" w:color="0C7B93" w:sz="6"/>
              <w:left w:val="single" w:color="0C7B93" w:sz="6"/>
              <w:bottom w:val="single" w:color="0C7B93" w:sz="6"/>
              <w:right w:val="single" w:color="0C7B93" w:sz="6"/>
            </w:tcBorders>
            <w:shd w:fill="D6F0FA" w:val="clear"/>
            <w:tcMar>
              <w:top w:type="dxa" w:w="140"/>
              <w:left w:type="dxa" w:w="80"/>
              <w:bottom w:type="dxa" w:w="140"/>
              <w:right w:type="dxa" w:w="80"/>
            </w:tcMar>
          </w:tcPr>
          <w:p>
            <w:pPr>
              <w:spacing w:after="50" w:before="0"/>
              <w:jc w:val="center"/>
            </w:pPr>
            <w:r>
              <w:rPr>
                <w:rFonts w:ascii="Arial Black" w:cs="Arial Black" w:eastAsia="Arial Black" w:hAnsi="Arial Black"/>
                <w:b/>
                <w:bCs/>
                <w:color w:val="0C7B93"/>
                <w:sz w:val="34"/>
                <w:szCs w:val="34"/>
              </w:rPr>
              <w:t xml:space="preserve">8</w:t>
            </w:r>
          </w:p>
          <w:p>
            <w:pPr>
              <w:spacing w:after="0" w:before="0"/>
              <w:jc w:val="center"/>
            </w:pPr>
            <w:r>
              <w:rPr>
                <w:rFonts w:ascii="Arial" w:cs="Arial" w:eastAsia="Arial" w:hAnsi="Arial"/>
                <w:color w:val="0C7B93"/>
                <w:sz w:val="18"/>
                <w:szCs w:val="18"/>
              </w:rPr>
              <w:t xml:space="preserve">Website pages</w:t>
            </w:r>
          </w:p>
        </w:tc>
        <w:tc>
          <w:tcPr>
            <w:tcW w:type="dxa" w:w="2340"/>
            <w:tcBorders>
              <w:top w:val="single" w:color="63380A" w:sz="6"/>
              <w:left w:val="single" w:color="63380A" w:sz="6"/>
              <w:bottom w:val="single" w:color="63380A" w:sz="6"/>
              <w:right w:val="single" w:color="63380A" w:sz="6"/>
            </w:tcBorders>
            <w:shd w:fill="FAEEDA" w:val="clear"/>
            <w:tcMar>
              <w:top w:type="dxa" w:w="140"/>
              <w:left w:type="dxa" w:w="80"/>
              <w:bottom w:type="dxa" w:w="140"/>
              <w:right w:type="dxa" w:w="80"/>
            </w:tcMar>
          </w:tcPr>
          <w:p>
            <w:pPr>
              <w:spacing w:after="50" w:before="0"/>
              <w:jc w:val="center"/>
            </w:pPr>
            <w:r>
              <w:rPr>
                <w:rFonts w:ascii="Arial Black" w:cs="Arial Black" w:eastAsia="Arial Black" w:hAnsi="Arial Black"/>
                <w:b/>
                <w:bCs/>
                <w:color w:val="63380A"/>
                <w:sz w:val="34"/>
                <w:szCs w:val="34"/>
              </w:rPr>
              <w:t xml:space="preserve">1</w:t>
            </w:r>
          </w:p>
          <w:p>
            <w:pPr>
              <w:spacing w:after="0" w:before="0"/>
              <w:jc w:val="center"/>
            </w:pPr>
            <w:r>
              <w:rPr>
                <w:rFonts w:ascii="Arial" w:cs="Arial" w:eastAsia="Arial" w:hAnsi="Arial"/>
                <w:color w:val="63380A"/>
                <w:sz w:val="18"/>
                <w:szCs w:val="18"/>
              </w:rPr>
              <w:t xml:space="preserve">Legal entity (Pty Ltd)</w:t>
            </w:r>
          </w:p>
        </w:tc>
      </w:tr>
    </w:tbl>
    <w:p>
      <w:pPr>
        <w:spacing w:after="240" w:before="0"/>
      </w:pPr>
    </w:p>
    <w:p>
      <w:pPr>
        <w:pStyle w:val="Heading2"/>
        <w:spacing w:after="100" w:before="240"/>
      </w:pPr>
      <w:r>
        <w:rPr>
          <w:rFonts w:ascii="Arial" w:cs="Arial" w:eastAsia="Arial" w:hAnsi="Arial"/>
          <w:b/>
          <w:bCs/>
          <w:color w:val="0F6E56"/>
          <w:sz w:val="24"/>
          <w:szCs w:val="24"/>
        </w:rPr>
        <w:t xml:space="preserve">From blueprint to execution</w:t>
      </w:r>
    </w:p>
    <w:p>
      <w:pPr>
        <w:spacing w:after="120" w:before="0"/>
        <w:jc w:val="left"/>
      </w:pPr>
      <w:r>
        <w:rPr>
          <w:rFonts w:ascii="Arial" w:cs="Arial" w:eastAsia="Arial" w:hAnsi="Arial"/>
          <w:b w:val="false"/>
          <w:bCs w:val="false"/>
          <w:i w:val="false"/>
          <w:iCs w:val="false"/>
          <w:color w:val="000000"/>
          <w:sz w:val="22"/>
          <w:szCs w:val="22"/>
        </w:rPr>
        <w:t xml:space="preserve">With the Strategic Blueprint complete, the next phase of work moves from design to execution. Five priority workstreams flow directly from the four-phase blueprint:</w:t>
      </w:r>
    </w:p>
    <w:p>
      <w:pPr>
        <w:pStyle w:val="ListParagraph"/>
        <w:numPr>
          <w:ilvl w:val="0"/>
          <w:numId w:val="2"/>
        </w:numPr>
        <w:spacing w:after="60" w:before="0"/>
      </w:pPr>
      <w:r>
        <w:rPr>
          <w:rFonts w:ascii="Arial" w:cs="Arial" w:eastAsia="Arial" w:hAnsi="Arial"/>
          <w:color w:val="000000"/>
          <w:sz w:val="22"/>
          <w:szCs w:val="22"/>
        </w:rPr>
        <w:t xml:space="preserve">Stream launch execution — beginning with the Q1 launches identified in Phase 3 (FLS FinTech and HSS Health Sciences).</w:t>
      </w:r>
    </w:p>
    <w:p>
      <w:pPr>
        <w:pStyle w:val="ListParagraph"/>
        <w:numPr>
          <w:ilvl w:val="0"/>
          <w:numId w:val="2"/>
        </w:numPr>
        <w:spacing w:after="60" w:before="0"/>
      </w:pPr>
      <w:r>
        <w:rPr>
          <w:rFonts w:ascii="Arial" w:cs="Arial" w:eastAsia="Arial" w:hAnsi="Arial"/>
          <w:color w:val="000000"/>
          <w:sz w:val="22"/>
          <w:szCs w:val="22"/>
        </w:rPr>
        <w:t xml:space="preserve">Group structure formalisation — confirming Ginashe Academy (Pty) Ltd as a wholly-owned subsidiary of Ginashe Group (Pty) Ltd, with the Group Service Agreement in place.</w:t>
      </w:r>
    </w:p>
    <w:p>
      <w:pPr>
        <w:pStyle w:val="ListParagraph"/>
        <w:numPr>
          <w:ilvl w:val="0"/>
          <w:numId w:val="2"/>
        </w:numPr>
        <w:spacing w:after="60" w:before="0"/>
      </w:pPr>
      <w:r>
        <w:rPr>
          <w:rFonts w:ascii="Arial" w:cs="Arial" w:eastAsia="Arial" w:hAnsi="Arial"/>
          <w:color w:val="000000"/>
          <w:sz w:val="22"/>
          <w:szCs w:val="22"/>
        </w:rPr>
        <w:t xml:space="preserve">Founding partnership outreach — securing the five Tier-1 founding partners identified in Phase 4.</w:t>
      </w:r>
    </w:p>
    <w:p>
      <w:pPr>
        <w:pStyle w:val="ListParagraph"/>
        <w:numPr>
          <w:ilvl w:val="0"/>
          <w:numId w:val="2"/>
        </w:numPr>
        <w:spacing w:after="60" w:before="0"/>
      </w:pPr>
      <w:r>
        <w:rPr>
          <w:rFonts w:ascii="Arial" w:cs="Arial" w:eastAsia="Arial" w:hAnsi="Arial"/>
          <w:color w:val="000000"/>
          <w:sz w:val="22"/>
          <w:szCs w:val="22"/>
        </w:rPr>
        <w:t xml:space="preserve">ginashe.academy build — the eight-page website and the learn.ginashe.academy LMS subdomain.</w:t>
      </w:r>
    </w:p>
    <w:p>
      <w:pPr>
        <w:pStyle w:val="ListParagraph"/>
        <w:numPr>
          <w:ilvl w:val="0"/>
          <w:numId w:val="2"/>
        </w:numPr>
        <w:spacing w:after="60" w:before="0"/>
      </w:pPr>
      <w:r>
        <w:rPr>
          <w:rFonts w:ascii="Arial" w:cs="Arial" w:eastAsia="Arial" w:hAnsi="Arial"/>
          <w:color w:val="000000"/>
          <w:sz w:val="22"/>
          <w:szCs w:val="22"/>
        </w:rPr>
        <w:t xml:space="preserve">SETA accreditation submissions — beginning with MICT, HWSETA, and EWSETA per the Phase 3 roadmap.</w:t>
      </w:r>
    </w:p>
    <w:p>
      <w:pPr>
        <w:spacing w:after="240" w:before="0"/>
      </w:pPr>
    </w:p>
    <w:p>
      <w:pPr>
        <w:pBdr>
          <w:bottom w:val="single" w:color="0F6E56" w:sz="4" w:space="1"/>
        </w:pBdr>
        <w:spacing w:after="80" w:before="80"/>
      </w:pPr>
    </w:p>
    <w:p>
      <w:pPr>
        <w:spacing w:after="120" w:before="0"/>
      </w:pPr>
    </w:p>
    <w:p>
      <w:pPr>
        <w:pStyle w:val="Heading2"/>
        <w:spacing w:after="100" w:before="240"/>
      </w:pPr>
      <w:r>
        <w:rPr>
          <w:rFonts w:ascii="Arial" w:cs="Arial" w:eastAsia="Arial" w:hAnsi="Arial"/>
          <w:b/>
          <w:bCs/>
          <w:color w:val="0F6E56"/>
          <w:sz w:val="24"/>
          <w:szCs w:val="24"/>
        </w:rPr>
        <w:t xml:space="preserve">The four documents</w:t>
      </w:r>
    </w:p>
    <w:p>
      <w:pPr>
        <w:pStyle w:val="ListParagraph"/>
        <w:numPr>
          <w:ilvl w:val="0"/>
          <w:numId w:val="2"/>
        </w:numPr>
        <w:spacing w:after="60" w:before="0"/>
      </w:pPr>
      <w:r>
        <w:rPr>
          <w:rFonts w:ascii="Arial" w:cs="Arial" w:eastAsia="Arial" w:hAnsi="Arial"/>
          <w:color w:val="000000"/>
          <w:sz w:val="22"/>
          <w:szCs w:val="22"/>
        </w:rPr>
        <w:t xml:space="preserve">Phase 1 — Stream Mapping: which streams exist and why.</w:t>
      </w:r>
    </w:p>
    <w:p>
      <w:pPr>
        <w:pStyle w:val="ListParagraph"/>
        <w:numPr>
          <w:ilvl w:val="0"/>
          <w:numId w:val="2"/>
        </w:numPr>
        <w:spacing w:after="60" w:before="0"/>
      </w:pPr>
      <w:r>
        <w:rPr>
          <w:rFonts w:ascii="Arial" w:cs="Arial" w:eastAsia="Arial" w:hAnsi="Arial"/>
          <w:color w:val="000000"/>
          <w:sz w:val="22"/>
          <w:szCs w:val="22"/>
        </w:rPr>
        <w:t xml:space="preserve">Phase 2 — Curriculum Blueprint: 80+ courses with NQF, modules, outcomes, entry requirements.</w:t>
      </w:r>
    </w:p>
    <w:p>
      <w:pPr>
        <w:pStyle w:val="ListParagraph"/>
        <w:numPr>
          <w:ilvl w:val="0"/>
          <w:numId w:val="2"/>
        </w:numPr>
        <w:spacing w:after="60" w:before="0"/>
      </w:pPr>
      <w:r>
        <w:rPr>
          <w:rFonts w:ascii="Arial" w:cs="Arial" w:eastAsia="Arial" w:hAnsi="Arial"/>
          <w:color w:val="000000"/>
          <w:sz w:val="22"/>
          <w:szCs w:val="22"/>
        </w:rPr>
        <w:t xml:space="preserve">Phase 3 — Delivery, LMS &amp; Revenue: how the Academy delivers, accredits, staffs, and funds itself.</w:t>
      </w:r>
    </w:p>
    <w:p>
      <w:pPr>
        <w:pStyle w:val="ListParagraph"/>
        <w:numPr>
          <w:ilvl w:val="0"/>
          <w:numId w:val="2"/>
        </w:numPr>
        <w:spacing w:after="60" w:before="0"/>
      </w:pPr>
      <w:r>
        <w:rPr>
          <w:rFonts w:ascii="Arial" w:cs="Arial" w:eastAsia="Arial" w:hAnsi="Arial"/>
          <w:color w:val="000000"/>
          <w:sz w:val="22"/>
          <w:szCs w:val="22"/>
        </w:rPr>
        <w:t xml:space="preserve">Phase 4 — Governance, Brand &amp; Web: governance, brand identity, website, partnerships, legal structure.</w:t>
      </w:r>
    </w:p>
    <w:p>
      <w:pPr>
        <w:spacing w:after="240" w:before="0"/>
      </w:pPr>
    </w:p>
    <w:p>
      <w:pPr>
        <w:pBdr>
          <w:bottom w:val="single" w:color="0F6E56" w:sz="4" w:space="1"/>
        </w:pBdr>
        <w:spacing w:after="80" w:before="80"/>
      </w:pPr>
    </w:p>
    <w:p>
      <w:pPr>
        <w:spacing w:after="240" w:before="0"/>
      </w:pPr>
    </w:p>
    <w:p>
      <w:pPr>
        <w:spacing w:after="0" w:before="200"/>
        <w:jc w:val="center"/>
      </w:pPr>
      <w:r>
        <w:drawing>
          <wp:inline distT="0" distB="0" distL="0" distR="0">
            <wp:extent cx="3810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123950"/>
                    </a:xfrm>
                    <a:prstGeom prst="rect">
                      <a:avLst/>
                    </a:prstGeom>
                  </pic:spPr>
                </pic:pic>
              </a:graphicData>
            </a:graphic>
          </wp:inline>
        </w:drawing>
      </w:r>
    </w:p>
    <w:p>
      <w:pPr>
        <w:spacing w:after="120" w:before="0"/>
      </w:pPr>
    </w:p>
    <w:p>
      <w:pPr>
        <w:spacing w:after="60" w:before="0"/>
        <w:jc w:val="center"/>
      </w:pPr>
      <w:r>
        <w:rPr>
          <w:rFonts w:ascii="Arial" w:cs="Arial" w:eastAsia="Arial" w:hAnsi="Arial"/>
          <w:i/>
          <w:iCs/>
          <w:color w:val="5A6A7A"/>
          <w:sz w:val="22"/>
          <w:szCs w:val="22"/>
        </w:rPr>
        <w:t xml:space="preserve">Build Something Real</w:t>
      </w:r>
    </w:p>
    <w:p>
      <w:pPr>
        <w:spacing w:after="0" w:before="0"/>
        <w:jc w:val="center"/>
      </w:pPr>
      <w:r>
        <w:rPr>
          <w:rFonts w:ascii="Arial" w:cs="Arial" w:eastAsia="Arial" w:hAnsi="Arial"/>
          <w:color w:val="5A6A7A"/>
          <w:sz w:val="18"/>
          <w:szCs w:val="18"/>
        </w:rPr>
        <w:t xml:space="preserve">ginashe.academy  ·  3 May 2026</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spacing w:after="0" w:before="80"/>
      <w:jc w:val="center"/>
    </w:pPr>
    <w:r>
      <w:rPr>
        <w:rFonts w:ascii="Arial" w:cs="Arial" w:eastAsia="Arial" w:hAnsi="Arial"/>
        <w:color w:val="5A6A7A"/>
        <w:sz w:val="18"/>
        <w:szCs w:val="18"/>
      </w:rPr>
      <w:t xml:space="preserve">Ginashe Academy  |  Strategic Blueprint  |  Phase 4 — Governance, Brand &amp; Web  |  Page </w:t>
    </w:r>
    <w:r>
      <w:rPr>
        <w:rFonts w:ascii="Arial" w:cs="Arial" w:eastAsia="Arial" w:hAnsi="Arial"/>
        <w:color w:val="5A6A7A"/>
        <w:sz w:val="18"/>
        <w:szCs w:val="18"/>
      </w:rPr>
      <w:fldChar w:fldCharType="begin"/>
      <w:instrText xml:space="preserve">PAGE</w:instrText>
      <w:fldChar w:fldCharType="separate"/>
      <w:fldChar w:fldCharType="end"/>
    </w:r>
    <w:r>
      <w:rPr>
        <w:rFonts w:ascii="Arial" w:cs="Arial" w:eastAsia="Arial" w:hAnsi="Arial"/>
        <w:color w:val="5A6A7A"/>
        <w:sz w:val="18"/>
        <w:szCs w:val="18"/>
      </w:rPr>
      <w:t xml:space="preserve"> of </w:t>
    </w:r>
    <w:r>
      <w:rPr>
        <w:rFonts w:ascii="Arial" w:cs="Arial" w:eastAsia="Arial" w:hAnsi="Arial"/>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80" w:before="0"/>
      <w:jc w:val="right"/>
    </w:pPr>
    <w:r>
      <w:rPr>
        <w:rFonts w:ascii="Arial" w:cs="Arial" w:eastAsia="Arial" w:hAnsi="Arial"/>
        <w:color w:val="5A6A7A"/>
        <w:sz w:val="18"/>
        <w:szCs w:val="18"/>
      </w:rPr>
      <w:t xml:space="preserve">GINASHE ACADEMY  ·  ginashe.academy  ·  Phase 4 of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pPr>
    <w:rPr>
      <w:rFonts w:ascii="Arial" w:cs="Arial" w:eastAsia="Arial" w:hAnsi="Arial"/>
      <w:b/>
      <w:bCs/>
      <w:color w:val="0B0C10"/>
      <w:sz w:val="30"/>
      <w:szCs w:val="30"/>
    </w:rPr>
  </w:style>
  <w:style w:type="paragraph" w:styleId="Heading2">
    <w:name w:val="Heading 2"/>
    <w:basedOn w:val="Normal"/>
    <w:next w:val="Normal"/>
    <w:qFormat/>
    <w:pPr>
      <w:spacing w:after="100" w:before="240"/>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e052b0ba7785e74b24516788a5bb7b8b6e4bc8.undefined"/><Relationship Id="rId10" Type="http://schemas.openxmlformats.org/officeDocument/2006/relationships/image" Target="media/4d5f5353095e8db319e0dfede4d510347e0d925a.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2026-05-03T19:50:04.036Z</dcterms:created>
  <dcterms:modified xsi:type="dcterms:W3CDTF">2026-05-03T19:50:04.036Z</dcterms:modified>
</cp:coreProperties>
</file>

<file path=docProps/custom.xml><?xml version="1.0" encoding="utf-8"?>
<Properties xmlns="http://schemas.openxmlformats.org/officeDocument/2006/custom-properties" xmlns:vt="http://schemas.openxmlformats.org/officeDocument/2006/docPropsVTypes"/>
</file>