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9B8" w:rsidRDefault="00E609B8" w:rsidP="00E609B8">
      <w:pPr>
        <w:pStyle w:val="Heading1"/>
        <w:numPr>
          <w:ilvl w:val="0"/>
          <w:numId w:val="0"/>
        </w:numPr>
        <w:rPr>
          <w:lang w:val="id-ID"/>
        </w:rPr>
      </w:pPr>
      <w:bookmarkStart w:id="0" w:name="_Toc123684737"/>
      <w:r>
        <w:t>Log Activity</w:t>
      </w:r>
      <w:bookmarkEnd w:id="0"/>
      <w:r>
        <w:rPr>
          <w:lang w:val="id-ID"/>
        </w:rPr>
        <w:t xml:space="preserve"> Harian</w:t>
      </w:r>
    </w:p>
    <w:tbl>
      <w:tblPr>
        <w:tblW w:w="0" w:type="auto"/>
        <w:tblLook w:val="04A0"/>
      </w:tblPr>
      <w:tblGrid>
        <w:gridCol w:w="2660"/>
        <w:gridCol w:w="283"/>
        <w:gridCol w:w="6096"/>
      </w:tblGrid>
      <w:tr w:rsidR="00E609B8" w:rsidRPr="00141666" w:rsidTr="00892514">
        <w:tc>
          <w:tcPr>
            <w:tcW w:w="2660" w:type="dxa"/>
          </w:tcPr>
          <w:p w:rsidR="00E609B8" w:rsidRPr="00141666" w:rsidRDefault="00E609B8" w:rsidP="00892514">
            <w:pPr>
              <w:jc w:val="left"/>
              <w:rPr>
                <w:lang w:val="id-ID"/>
              </w:rPr>
            </w:pPr>
            <w:r w:rsidRPr="00141666">
              <w:rPr>
                <w:lang w:val="id-ID"/>
              </w:rPr>
              <w:t>Nama Mahasiswa</w:t>
            </w:r>
          </w:p>
        </w:tc>
        <w:tc>
          <w:tcPr>
            <w:tcW w:w="283" w:type="dxa"/>
          </w:tcPr>
          <w:p w:rsidR="00E609B8" w:rsidRPr="00141666" w:rsidRDefault="00E609B8" w:rsidP="00892514">
            <w:pPr>
              <w:jc w:val="left"/>
              <w:rPr>
                <w:lang w:val="id-ID"/>
              </w:rPr>
            </w:pPr>
            <w:r w:rsidRPr="00141666">
              <w:rPr>
                <w:lang w:val="id-ID"/>
              </w:rPr>
              <w:t>:</w:t>
            </w:r>
          </w:p>
        </w:tc>
        <w:tc>
          <w:tcPr>
            <w:tcW w:w="6096" w:type="dxa"/>
          </w:tcPr>
          <w:p w:rsidR="00E609B8" w:rsidRPr="00B64FD1" w:rsidRDefault="00E609B8" w:rsidP="00892514">
            <w:pPr>
              <w:jc w:val="left"/>
              <w:rPr>
                <w:rFonts w:eastAsia="MS Mincho" w:hint="eastAsia"/>
                <w:lang w:val="id-ID" w:eastAsia="ja-JP"/>
              </w:rPr>
            </w:pPr>
            <w:r>
              <w:rPr>
                <w:rFonts w:eastAsia="MS Mincho"/>
                <w:lang w:val="id-ID" w:eastAsia="ja-JP"/>
              </w:rPr>
              <w:t>Ginanjar Fahrul Muttaqin</w:t>
            </w:r>
          </w:p>
        </w:tc>
      </w:tr>
      <w:tr w:rsidR="00E609B8" w:rsidRPr="00141666" w:rsidTr="00892514">
        <w:tc>
          <w:tcPr>
            <w:tcW w:w="2660" w:type="dxa"/>
          </w:tcPr>
          <w:p w:rsidR="00E609B8" w:rsidRPr="00141666" w:rsidRDefault="00E609B8" w:rsidP="00892514">
            <w:pPr>
              <w:jc w:val="left"/>
              <w:rPr>
                <w:lang w:val="id-ID"/>
              </w:rPr>
            </w:pPr>
            <w:r w:rsidRPr="00141666">
              <w:rPr>
                <w:lang w:val="id-ID"/>
              </w:rPr>
              <w:t>NIM</w:t>
            </w:r>
          </w:p>
        </w:tc>
        <w:tc>
          <w:tcPr>
            <w:tcW w:w="283" w:type="dxa"/>
          </w:tcPr>
          <w:p w:rsidR="00E609B8" w:rsidRPr="00141666" w:rsidRDefault="00E609B8" w:rsidP="00892514">
            <w:pPr>
              <w:jc w:val="left"/>
              <w:rPr>
                <w:lang w:val="id-ID"/>
              </w:rPr>
            </w:pPr>
            <w:r w:rsidRPr="00141666">
              <w:rPr>
                <w:lang w:val="id-ID"/>
              </w:rPr>
              <w:t>:</w:t>
            </w:r>
          </w:p>
        </w:tc>
        <w:tc>
          <w:tcPr>
            <w:tcW w:w="6096" w:type="dxa"/>
          </w:tcPr>
          <w:p w:rsidR="00E609B8" w:rsidRPr="00B64FD1" w:rsidRDefault="00E609B8" w:rsidP="00892514">
            <w:pPr>
              <w:jc w:val="left"/>
              <w:rPr>
                <w:rFonts w:eastAsia="MS Mincho" w:hint="eastAsia"/>
                <w:lang w:val="id-ID" w:eastAsia="ja-JP"/>
              </w:rPr>
            </w:pPr>
            <w:r>
              <w:rPr>
                <w:rFonts w:eastAsia="MS Mincho" w:hint="eastAsia"/>
                <w:lang w:val="id-ID" w:eastAsia="ja-JP"/>
              </w:rPr>
              <w:t>13507</w:t>
            </w:r>
            <w:r>
              <w:rPr>
                <w:rFonts w:eastAsia="MS Mincho"/>
                <w:lang w:val="id-ID" w:eastAsia="ja-JP"/>
              </w:rPr>
              <w:t>103</w:t>
            </w:r>
          </w:p>
        </w:tc>
      </w:tr>
      <w:tr w:rsidR="00E609B8" w:rsidRPr="00141666" w:rsidTr="00892514">
        <w:tc>
          <w:tcPr>
            <w:tcW w:w="2660" w:type="dxa"/>
          </w:tcPr>
          <w:p w:rsidR="00E609B8" w:rsidRPr="00141666" w:rsidRDefault="00E609B8" w:rsidP="00892514">
            <w:pPr>
              <w:jc w:val="left"/>
              <w:rPr>
                <w:lang w:val="id-ID"/>
              </w:rPr>
            </w:pPr>
            <w:r w:rsidRPr="00141666">
              <w:rPr>
                <w:lang w:val="id-ID"/>
              </w:rPr>
              <w:t>Tempat KP</w:t>
            </w:r>
          </w:p>
        </w:tc>
        <w:tc>
          <w:tcPr>
            <w:tcW w:w="283" w:type="dxa"/>
          </w:tcPr>
          <w:p w:rsidR="00E609B8" w:rsidRPr="00141666" w:rsidRDefault="00E609B8" w:rsidP="00892514">
            <w:pPr>
              <w:jc w:val="left"/>
              <w:rPr>
                <w:lang w:val="id-ID"/>
              </w:rPr>
            </w:pPr>
            <w:r w:rsidRPr="00141666">
              <w:rPr>
                <w:lang w:val="id-ID"/>
              </w:rPr>
              <w:t>:</w:t>
            </w:r>
          </w:p>
        </w:tc>
        <w:tc>
          <w:tcPr>
            <w:tcW w:w="6096" w:type="dxa"/>
          </w:tcPr>
          <w:p w:rsidR="00E609B8" w:rsidRPr="00B64FD1" w:rsidRDefault="00E609B8" w:rsidP="00892514">
            <w:pPr>
              <w:jc w:val="left"/>
              <w:rPr>
                <w:rFonts w:eastAsia="MS Mincho" w:hint="eastAsia"/>
                <w:lang w:val="id-ID" w:eastAsia="ja-JP"/>
              </w:rPr>
            </w:pPr>
            <w:r w:rsidRPr="00B64FD1">
              <w:rPr>
                <w:rFonts w:eastAsia="MS Mincho" w:hint="eastAsia"/>
                <w:lang w:val="id-ID" w:eastAsia="ja-JP"/>
              </w:rPr>
              <w:t>PT. Telekomunikasi Indonesia, Tbk.</w:t>
            </w:r>
          </w:p>
          <w:p w:rsidR="00E609B8" w:rsidRPr="00B64FD1" w:rsidRDefault="00E609B8" w:rsidP="00892514">
            <w:pPr>
              <w:jc w:val="left"/>
              <w:rPr>
                <w:rFonts w:eastAsia="MS Mincho" w:hint="eastAsia"/>
                <w:lang w:val="id-ID" w:eastAsia="ja-JP"/>
              </w:rPr>
            </w:pPr>
            <w:r w:rsidRPr="00B64FD1">
              <w:rPr>
                <w:rFonts w:eastAsia="MS Mincho" w:hint="eastAsia"/>
                <w:lang w:val="id-ID" w:eastAsia="ja-JP"/>
              </w:rPr>
              <w:t>Gedung A STO Gambir Lt. 5, Jakarta Pusat</w:t>
            </w:r>
          </w:p>
        </w:tc>
      </w:tr>
      <w:tr w:rsidR="00E609B8" w:rsidRPr="00141666" w:rsidTr="00892514">
        <w:trPr>
          <w:trHeight w:val="517"/>
        </w:trPr>
        <w:tc>
          <w:tcPr>
            <w:tcW w:w="2660" w:type="dxa"/>
          </w:tcPr>
          <w:p w:rsidR="00E609B8" w:rsidRPr="00141666" w:rsidRDefault="00E609B8" w:rsidP="00892514">
            <w:pPr>
              <w:jc w:val="left"/>
              <w:rPr>
                <w:lang w:val="id-ID"/>
              </w:rPr>
            </w:pPr>
            <w:r w:rsidRPr="00141666">
              <w:rPr>
                <w:lang w:val="id-ID"/>
              </w:rPr>
              <w:t>Topik/ Judul KP</w:t>
            </w:r>
          </w:p>
        </w:tc>
        <w:tc>
          <w:tcPr>
            <w:tcW w:w="283" w:type="dxa"/>
          </w:tcPr>
          <w:p w:rsidR="00E609B8" w:rsidRPr="00141666" w:rsidRDefault="00E609B8" w:rsidP="00892514">
            <w:pPr>
              <w:jc w:val="left"/>
              <w:rPr>
                <w:lang w:val="id-ID"/>
              </w:rPr>
            </w:pPr>
            <w:r w:rsidRPr="00141666">
              <w:rPr>
                <w:lang w:val="id-ID"/>
              </w:rPr>
              <w:t>:</w:t>
            </w:r>
          </w:p>
        </w:tc>
        <w:tc>
          <w:tcPr>
            <w:tcW w:w="6096" w:type="dxa"/>
          </w:tcPr>
          <w:p w:rsidR="00E609B8" w:rsidRPr="00B64FD1" w:rsidRDefault="00E609B8" w:rsidP="00892514">
            <w:pPr>
              <w:jc w:val="left"/>
              <w:rPr>
                <w:rFonts w:eastAsia="MS Mincho" w:hint="eastAsia"/>
                <w:lang w:val="id-ID" w:eastAsia="ja-JP"/>
              </w:rPr>
            </w:pPr>
            <w:r w:rsidRPr="00B64FD1">
              <w:rPr>
                <w:rFonts w:eastAsia="MS Mincho" w:hint="eastAsia"/>
                <w:lang w:val="id-ID" w:eastAsia="ja-JP"/>
              </w:rPr>
              <w:t>Sistem Monitoring untuk Element Management System DSLAM TELKOM Speedy</w:t>
            </w:r>
          </w:p>
        </w:tc>
      </w:tr>
      <w:tr w:rsidR="00E609B8" w:rsidRPr="00141666" w:rsidTr="00892514">
        <w:tc>
          <w:tcPr>
            <w:tcW w:w="2660" w:type="dxa"/>
          </w:tcPr>
          <w:p w:rsidR="00E609B8" w:rsidRPr="00141666" w:rsidRDefault="00E609B8" w:rsidP="00892514">
            <w:pPr>
              <w:jc w:val="left"/>
              <w:rPr>
                <w:lang w:val="id-ID"/>
              </w:rPr>
            </w:pPr>
            <w:r w:rsidRPr="00141666">
              <w:rPr>
                <w:lang w:val="id-ID"/>
              </w:rPr>
              <w:t>Pembimbing Prodi</w:t>
            </w:r>
          </w:p>
        </w:tc>
        <w:tc>
          <w:tcPr>
            <w:tcW w:w="283" w:type="dxa"/>
          </w:tcPr>
          <w:p w:rsidR="00E609B8" w:rsidRPr="00141666" w:rsidRDefault="00E609B8" w:rsidP="00892514">
            <w:pPr>
              <w:jc w:val="left"/>
              <w:rPr>
                <w:lang w:val="id-ID"/>
              </w:rPr>
            </w:pPr>
            <w:r w:rsidRPr="00141666">
              <w:rPr>
                <w:lang w:val="id-ID"/>
              </w:rPr>
              <w:t>:</w:t>
            </w:r>
          </w:p>
        </w:tc>
        <w:tc>
          <w:tcPr>
            <w:tcW w:w="6096" w:type="dxa"/>
          </w:tcPr>
          <w:p w:rsidR="00E609B8" w:rsidRPr="00141666" w:rsidRDefault="00E609B8" w:rsidP="00892514">
            <w:pPr>
              <w:jc w:val="left"/>
              <w:rPr>
                <w:lang w:val="id-ID"/>
              </w:rPr>
            </w:pPr>
            <w:r w:rsidRPr="00E609B8">
              <w:rPr>
                <w:lang w:val="id-ID"/>
              </w:rPr>
              <w:t>Adi Mulyanto, S.T., M.T.</w:t>
            </w:r>
          </w:p>
        </w:tc>
      </w:tr>
      <w:tr w:rsidR="00E609B8" w:rsidRPr="00141666" w:rsidTr="00892514">
        <w:tc>
          <w:tcPr>
            <w:tcW w:w="2660" w:type="dxa"/>
          </w:tcPr>
          <w:p w:rsidR="00E609B8" w:rsidRPr="00141666" w:rsidRDefault="00E609B8" w:rsidP="00892514">
            <w:pPr>
              <w:jc w:val="left"/>
              <w:rPr>
                <w:lang w:val="id-ID"/>
              </w:rPr>
            </w:pPr>
            <w:r w:rsidRPr="00141666">
              <w:rPr>
                <w:lang w:val="id-ID"/>
              </w:rPr>
              <w:t>Pembimbing Perusahaan</w:t>
            </w:r>
          </w:p>
        </w:tc>
        <w:tc>
          <w:tcPr>
            <w:tcW w:w="283" w:type="dxa"/>
          </w:tcPr>
          <w:p w:rsidR="00E609B8" w:rsidRPr="00141666" w:rsidRDefault="00E609B8" w:rsidP="00892514">
            <w:pPr>
              <w:jc w:val="left"/>
              <w:rPr>
                <w:lang w:val="id-ID"/>
              </w:rPr>
            </w:pPr>
            <w:r w:rsidRPr="00141666">
              <w:rPr>
                <w:lang w:val="id-ID"/>
              </w:rPr>
              <w:t>:</w:t>
            </w:r>
          </w:p>
        </w:tc>
        <w:tc>
          <w:tcPr>
            <w:tcW w:w="6096" w:type="dxa"/>
          </w:tcPr>
          <w:p w:rsidR="00E609B8" w:rsidRPr="00B64FD1" w:rsidRDefault="00E609B8" w:rsidP="00892514">
            <w:pPr>
              <w:jc w:val="left"/>
              <w:rPr>
                <w:rFonts w:eastAsia="MS Mincho" w:hint="eastAsia"/>
                <w:lang w:val="id-ID" w:eastAsia="ja-JP"/>
              </w:rPr>
            </w:pPr>
            <w:r w:rsidRPr="00B64FD1">
              <w:rPr>
                <w:rFonts w:eastAsia="MS Mincho" w:hint="eastAsia"/>
                <w:lang w:val="id-ID" w:eastAsia="ja-JP"/>
              </w:rPr>
              <w:t>Octa Istiadi</w:t>
            </w:r>
          </w:p>
        </w:tc>
      </w:tr>
    </w:tbl>
    <w:p w:rsidR="00E609B8" w:rsidRDefault="00E609B8" w:rsidP="00E609B8">
      <w:pPr>
        <w:pStyle w:val="guidelines"/>
        <w:rPr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51"/>
        <w:gridCol w:w="3730"/>
        <w:gridCol w:w="3499"/>
      </w:tblGrid>
      <w:tr w:rsidR="00E609B8" w:rsidTr="00583B32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E609B8" w:rsidRDefault="00E609B8" w:rsidP="00892514">
            <w:pPr>
              <w:pStyle w:val="guidelines"/>
              <w:jc w:val="center"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Tgl</w:t>
            </w:r>
            <w:proofErr w:type="spellEnd"/>
          </w:p>
        </w:tc>
        <w:tc>
          <w:tcPr>
            <w:tcW w:w="3730" w:type="dxa"/>
          </w:tcPr>
          <w:p w:rsidR="00E609B8" w:rsidRDefault="00E609B8" w:rsidP="00892514">
            <w:pPr>
              <w:pStyle w:val="guidelines"/>
              <w:jc w:val="center"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Kegiatan</w:t>
            </w:r>
            <w:proofErr w:type="spellEnd"/>
          </w:p>
        </w:tc>
        <w:tc>
          <w:tcPr>
            <w:tcW w:w="3499" w:type="dxa"/>
          </w:tcPr>
          <w:p w:rsidR="00E609B8" w:rsidRDefault="00E609B8" w:rsidP="00892514">
            <w:pPr>
              <w:pStyle w:val="guidelines"/>
              <w:jc w:val="center"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Hasil</w:t>
            </w:r>
            <w:proofErr w:type="spellEnd"/>
            <w:r>
              <w:rPr>
                <w:i w:val="0"/>
                <w:iCs/>
              </w:rPr>
              <w:t xml:space="preserve"> </w:t>
            </w:r>
          </w:p>
        </w:tc>
      </w:tr>
      <w:tr w:rsidR="00E609B8" w:rsidTr="00583B32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E609B8" w:rsidRPr="00583B32" w:rsidRDefault="00583B32" w:rsidP="00892514">
            <w:pPr>
              <w:pStyle w:val="guidelines"/>
              <w:rPr>
                <w:rFonts w:eastAsia="MS Mincho"/>
                <w:i w:val="0"/>
                <w:iCs/>
                <w:lang w:val="id-ID"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t>1 – 2 Juni 2010</w:t>
            </w:r>
          </w:p>
        </w:tc>
        <w:tc>
          <w:tcPr>
            <w:tcW w:w="3730" w:type="dxa"/>
          </w:tcPr>
          <w:p w:rsidR="00E609B8" w:rsidRPr="00583B32" w:rsidRDefault="00583B32" w:rsidP="00583B32">
            <w:pPr>
              <w:pStyle w:val="guidelines"/>
              <w:rPr>
                <w:rFonts w:eastAsia="MS Mincho"/>
                <w:i w:val="0"/>
                <w:iCs/>
                <w:lang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t>Perkenalan</w:t>
            </w:r>
          </w:p>
          <w:p w:rsidR="00583B32" w:rsidRPr="00583B32" w:rsidRDefault="00583B32" w:rsidP="00892514">
            <w:pPr>
              <w:pStyle w:val="guidelines"/>
              <w:numPr>
                <w:ilvl w:val="0"/>
                <w:numId w:val="2"/>
              </w:numPr>
              <w:ind w:left="459"/>
              <w:rPr>
                <w:rFonts w:eastAsia="MS Mincho"/>
                <w:i w:val="0"/>
                <w:iCs/>
                <w:lang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t>Ngerjain A</w:t>
            </w:r>
          </w:p>
          <w:p w:rsidR="00583B32" w:rsidRPr="00583B32" w:rsidRDefault="00583B32" w:rsidP="00892514">
            <w:pPr>
              <w:pStyle w:val="guidelines"/>
              <w:numPr>
                <w:ilvl w:val="0"/>
                <w:numId w:val="2"/>
              </w:numPr>
              <w:ind w:left="459"/>
              <w:rPr>
                <w:rFonts w:eastAsia="MS Mincho"/>
                <w:i w:val="0"/>
                <w:iCs/>
                <w:lang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t>Buat B</w:t>
            </w:r>
          </w:p>
          <w:p w:rsidR="00583B32" w:rsidRPr="00B64FD1" w:rsidRDefault="00583B32" w:rsidP="00892514">
            <w:pPr>
              <w:pStyle w:val="guidelines"/>
              <w:numPr>
                <w:ilvl w:val="0"/>
                <w:numId w:val="2"/>
              </w:numPr>
              <w:ind w:left="459"/>
              <w:rPr>
                <w:rFonts w:eastAsia="MS Mincho" w:hint="eastAsia"/>
                <w:i w:val="0"/>
                <w:iCs/>
                <w:lang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t>dst</w:t>
            </w:r>
          </w:p>
        </w:tc>
        <w:tc>
          <w:tcPr>
            <w:tcW w:w="3499" w:type="dxa"/>
          </w:tcPr>
          <w:p w:rsidR="00E609B8" w:rsidRPr="00B64FD1" w:rsidRDefault="00583B32" w:rsidP="00892514">
            <w:pPr>
              <w:pStyle w:val="guidelines"/>
              <w:numPr>
                <w:ilvl w:val="0"/>
                <w:numId w:val="2"/>
              </w:numPr>
              <w:ind w:left="415"/>
              <w:rPr>
                <w:rFonts w:eastAsia="MS Mincho" w:hint="eastAsia"/>
                <w:i w:val="0"/>
                <w:iCs/>
                <w:lang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t>hasilnya apa?</w:t>
            </w:r>
          </w:p>
        </w:tc>
      </w:tr>
      <w:tr w:rsidR="00E609B8" w:rsidTr="00583B32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E609B8" w:rsidRPr="00583B32" w:rsidRDefault="00583B32" w:rsidP="00583B32">
            <w:pPr>
              <w:pStyle w:val="guidelines"/>
              <w:rPr>
                <w:rFonts w:eastAsia="MS Mincho"/>
                <w:i w:val="0"/>
                <w:iCs/>
                <w:lang w:val="id-ID"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t>3 – 4 Juni 2010</w:t>
            </w:r>
          </w:p>
        </w:tc>
        <w:tc>
          <w:tcPr>
            <w:tcW w:w="3730" w:type="dxa"/>
          </w:tcPr>
          <w:p w:rsidR="00E609B8" w:rsidRPr="00B64FD1" w:rsidRDefault="00583B32" w:rsidP="00583B32">
            <w:pPr>
              <w:pStyle w:val="guidelines"/>
              <w:rPr>
                <w:rFonts w:eastAsia="MS Mincho" w:hint="eastAsia"/>
                <w:i w:val="0"/>
                <w:iCs/>
                <w:lang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t>Mock - up</w:t>
            </w:r>
          </w:p>
        </w:tc>
        <w:tc>
          <w:tcPr>
            <w:tcW w:w="3499" w:type="dxa"/>
          </w:tcPr>
          <w:p w:rsidR="00E609B8" w:rsidRPr="000D4F49" w:rsidRDefault="00E609B8" w:rsidP="00892514">
            <w:pPr>
              <w:pStyle w:val="guidelines"/>
              <w:numPr>
                <w:ilvl w:val="0"/>
                <w:numId w:val="2"/>
              </w:numPr>
              <w:ind w:left="415"/>
              <w:rPr>
                <w:rFonts w:eastAsia="MS Mincho" w:hint="eastAsia"/>
                <w:i w:val="0"/>
                <w:iCs/>
                <w:lang w:eastAsia="ja-JP"/>
              </w:rPr>
            </w:pPr>
          </w:p>
        </w:tc>
      </w:tr>
      <w:tr w:rsidR="00E609B8" w:rsidTr="00583B32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E609B8" w:rsidRPr="00583B32" w:rsidRDefault="00583B32" w:rsidP="00583B32">
            <w:pPr>
              <w:pStyle w:val="guidelines"/>
              <w:rPr>
                <w:rFonts w:eastAsia="MS Mincho"/>
                <w:i w:val="0"/>
                <w:iCs/>
                <w:lang w:val="id-ID"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t>7 – 10 Juni 2010</w:t>
            </w:r>
          </w:p>
        </w:tc>
        <w:tc>
          <w:tcPr>
            <w:tcW w:w="3730" w:type="dxa"/>
          </w:tcPr>
          <w:p w:rsidR="00E609B8" w:rsidRPr="00B64FD1" w:rsidRDefault="00583B32" w:rsidP="00583B32">
            <w:pPr>
              <w:pStyle w:val="guidelines"/>
              <w:rPr>
                <w:rFonts w:eastAsia="MS Mincho" w:hint="eastAsia"/>
                <w:i w:val="0"/>
                <w:iCs/>
                <w:lang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t>Dokumen Analisis Solusi</w:t>
            </w:r>
          </w:p>
        </w:tc>
        <w:tc>
          <w:tcPr>
            <w:tcW w:w="3499" w:type="dxa"/>
          </w:tcPr>
          <w:p w:rsidR="00E609B8" w:rsidRDefault="00E609B8" w:rsidP="00892514">
            <w:pPr>
              <w:pStyle w:val="guidelines"/>
              <w:numPr>
                <w:ilvl w:val="0"/>
                <w:numId w:val="2"/>
              </w:numPr>
              <w:ind w:left="415"/>
              <w:rPr>
                <w:rFonts w:eastAsia="MS Mincho" w:hint="eastAsia"/>
                <w:i w:val="0"/>
                <w:iCs/>
                <w:lang w:eastAsia="ja-JP"/>
              </w:rPr>
            </w:pPr>
          </w:p>
        </w:tc>
      </w:tr>
      <w:tr w:rsidR="00583B32" w:rsidTr="00583B32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583B32" w:rsidRDefault="00583B32" w:rsidP="00583B32">
            <w:pPr>
              <w:pStyle w:val="guidelines"/>
              <w:rPr>
                <w:rFonts w:eastAsia="MS Mincho"/>
                <w:i w:val="0"/>
                <w:iCs/>
                <w:lang w:val="id-ID"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t>11 – 14 Juni 2010</w:t>
            </w:r>
          </w:p>
        </w:tc>
        <w:tc>
          <w:tcPr>
            <w:tcW w:w="3730" w:type="dxa"/>
          </w:tcPr>
          <w:p w:rsidR="00583B32" w:rsidRDefault="00583B32" w:rsidP="00583B32">
            <w:pPr>
              <w:pStyle w:val="guidelines"/>
              <w:rPr>
                <w:rFonts w:eastAsia="MS Mincho"/>
                <w:i w:val="0"/>
                <w:iCs/>
                <w:lang w:val="id-ID"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t>Revisi Dokumen Analisis Solusi</w:t>
            </w:r>
          </w:p>
        </w:tc>
        <w:tc>
          <w:tcPr>
            <w:tcW w:w="3499" w:type="dxa"/>
          </w:tcPr>
          <w:p w:rsidR="00583B32" w:rsidRDefault="00583B32" w:rsidP="00892514">
            <w:pPr>
              <w:pStyle w:val="guidelines"/>
              <w:numPr>
                <w:ilvl w:val="0"/>
                <w:numId w:val="2"/>
              </w:numPr>
              <w:ind w:left="415"/>
              <w:rPr>
                <w:rFonts w:eastAsia="MS Mincho" w:hint="eastAsia"/>
                <w:i w:val="0"/>
                <w:iCs/>
                <w:lang w:eastAsia="ja-JP"/>
              </w:rPr>
            </w:pPr>
          </w:p>
        </w:tc>
      </w:tr>
      <w:tr w:rsidR="00583B32" w:rsidTr="00583B32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583B32" w:rsidRDefault="00583B32" w:rsidP="00583B32">
            <w:pPr>
              <w:pStyle w:val="guidelines"/>
              <w:rPr>
                <w:rFonts w:eastAsia="MS Mincho"/>
                <w:i w:val="0"/>
                <w:iCs/>
                <w:lang w:val="id-ID"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t>11 – 18 Juni 2010</w:t>
            </w:r>
          </w:p>
        </w:tc>
        <w:tc>
          <w:tcPr>
            <w:tcW w:w="3730" w:type="dxa"/>
          </w:tcPr>
          <w:p w:rsidR="00583B32" w:rsidRDefault="00583B32" w:rsidP="00583B32">
            <w:pPr>
              <w:pStyle w:val="guidelines"/>
              <w:rPr>
                <w:rFonts w:eastAsia="MS Mincho"/>
                <w:i w:val="0"/>
                <w:iCs/>
                <w:lang w:val="id-ID"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t>Eksplorasi tools NMS</w:t>
            </w:r>
          </w:p>
        </w:tc>
        <w:tc>
          <w:tcPr>
            <w:tcW w:w="3499" w:type="dxa"/>
          </w:tcPr>
          <w:p w:rsidR="00583B32" w:rsidRDefault="00583B32" w:rsidP="00892514">
            <w:pPr>
              <w:pStyle w:val="guidelines"/>
              <w:numPr>
                <w:ilvl w:val="0"/>
                <w:numId w:val="2"/>
              </w:numPr>
              <w:ind w:left="415"/>
              <w:rPr>
                <w:rFonts w:eastAsia="MS Mincho" w:hint="eastAsia"/>
                <w:i w:val="0"/>
                <w:iCs/>
                <w:lang w:eastAsia="ja-JP"/>
              </w:rPr>
            </w:pPr>
          </w:p>
        </w:tc>
      </w:tr>
      <w:tr w:rsidR="00583B32" w:rsidTr="00583B32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583B32" w:rsidRDefault="00583B32" w:rsidP="00583B32">
            <w:pPr>
              <w:pStyle w:val="guidelines"/>
              <w:rPr>
                <w:rFonts w:eastAsia="MS Mincho"/>
                <w:i w:val="0"/>
                <w:iCs/>
                <w:lang w:val="id-ID"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t>15 – 22 Juni 2010</w:t>
            </w:r>
          </w:p>
        </w:tc>
        <w:tc>
          <w:tcPr>
            <w:tcW w:w="3730" w:type="dxa"/>
          </w:tcPr>
          <w:p w:rsidR="00583B32" w:rsidRDefault="00583B32" w:rsidP="00583B32">
            <w:pPr>
              <w:pStyle w:val="guidelines"/>
              <w:rPr>
                <w:rFonts w:eastAsia="MS Mincho"/>
                <w:i w:val="0"/>
                <w:iCs/>
                <w:lang w:val="id-ID"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t>Dokumen Perancangan</w:t>
            </w:r>
          </w:p>
        </w:tc>
        <w:tc>
          <w:tcPr>
            <w:tcW w:w="3499" w:type="dxa"/>
          </w:tcPr>
          <w:p w:rsidR="00583B32" w:rsidRDefault="00583B32" w:rsidP="00892514">
            <w:pPr>
              <w:pStyle w:val="guidelines"/>
              <w:numPr>
                <w:ilvl w:val="0"/>
                <w:numId w:val="2"/>
              </w:numPr>
              <w:ind w:left="415"/>
              <w:rPr>
                <w:rFonts w:eastAsia="MS Mincho" w:hint="eastAsia"/>
                <w:i w:val="0"/>
                <w:iCs/>
                <w:lang w:eastAsia="ja-JP"/>
              </w:rPr>
            </w:pPr>
          </w:p>
        </w:tc>
      </w:tr>
      <w:tr w:rsidR="00583B32" w:rsidTr="00583B32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583B32" w:rsidRDefault="00583B32" w:rsidP="00583B32">
            <w:pPr>
              <w:pStyle w:val="guidelines"/>
              <w:rPr>
                <w:rFonts w:eastAsia="MS Mincho"/>
                <w:i w:val="0"/>
                <w:iCs/>
                <w:lang w:val="id-ID"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t>23 – 28 juni 2010</w:t>
            </w:r>
          </w:p>
        </w:tc>
        <w:tc>
          <w:tcPr>
            <w:tcW w:w="3730" w:type="dxa"/>
          </w:tcPr>
          <w:p w:rsidR="00583B32" w:rsidRDefault="00583B32" w:rsidP="00583B32">
            <w:pPr>
              <w:pStyle w:val="guidelines"/>
              <w:rPr>
                <w:rFonts w:eastAsia="MS Mincho"/>
                <w:i w:val="0"/>
                <w:iCs/>
                <w:lang w:val="id-ID"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t>Implementasi</w:t>
            </w:r>
          </w:p>
        </w:tc>
        <w:tc>
          <w:tcPr>
            <w:tcW w:w="3499" w:type="dxa"/>
          </w:tcPr>
          <w:p w:rsidR="00583B32" w:rsidRDefault="00583B32" w:rsidP="00892514">
            <w:pPr>
              <w:pStyle w:val="guidelines"/>
              <w:numPr>
                <w:ilvl w:val="0"/>
                <w:numId w:val="2"/>
              </w:numPr>
              <w:ind w:left="415"/>
              <w:rPr>
                <w:rFonts w:eastAsia="MS Mincho" w:hint="eastAsia"/>
                <w:i w:val="0"/>
                <w:iCs/>
                <w:lang w:eastAsia="ja-JP"/>
              </w:rPr>
            </w:pPr>
          </w:p>
        </w:tc>
      </w:tr>
    </w:tbl>
    <w:p w:rsidR="00E609B8" w:rsidRDefault="00E609B8" w:rsidP="00E609B8"/>
    <w:p w:rsidR="0055144C" w:rsidRDefault="00583B32"/>
    <w:sectPr w:rsidR="0055144C" w:rsidSect="00EC465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50DED"/>
    <w:multiLevelType w:val="hybridMultilevel"/>
    <w:tmpl w:val="E4982E6E"/>
    <w:lvl w:ilvl="0" w:tplc="F4F6015E">
      <w:start w:val="1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4C242E"/>
    <w:multiLevelType w:val="multilevel"/>
    <w:tmpl w:val="53DEEA9A"/>
    <w:lvl w:ilvl="0">
      <w:start w:val="1"/>
      <w:numFmt w:val="upperRoman"/>
      <w:pStyle w:val="Heading1"/>
      <w:lvlText w:val="Bab %1"/>
      <w:lvlJc w:val="left"/>
      <w:pPr>
        <w:tabs>
          <w:tab w:val="num" w:pos="1080"/>
        </w:tabs>
        <w:ind w:left="432" w:hanging="432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609B8"/>
    <w:rsid w:val="00137037"/>
    <w:rsid w:val="00583B32"/>
    <w:rsid w:val="00722CA8"/>
    <w:rsid w:val="00783AB5"/>
    <w:rsid w:val="00876492"/>
    <w:rsid w:val="00B02D1E"/>
    <w:rsid w:val="00BE1420"/>
    <w:rsid w:val="00E609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9B8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val="en-AU"/>
    </w:rPr>
  </w:style>
  <w:style w:type="paragraph" w:styleId="Heading1">
    <w:name w:val="heading 1"/>
    <w:basedOn w:val="Normal"/>
    <w:next w:val="Normal"/>
    <w:link w:val="Heading1Char"/>
    <w:qFormat/>
    <w:rsid w:val="00E609B8"/>
    <w:pPr>
      <w:keepNext/>
      <w:numPr>
        <w:numId w:val="1"/>
      </w:numPr>
      <w:ind w:left="0" w:firstLine="0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E609B8"/>
    <w:pPr>
      <w:keepNext/>
      <w:numPr>
        <w:ilvl w:val="1"/>
        <w:numId w:val="1"/>
      </w:numPr>
      <w:spacing w:before="60" w:after="60"/>
      <w:ind w:left="0" w:firstLine="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E609B8"/>
    <w:pPr>
      <w:keepNext/>
      <w:numPr>
        <w:ilvl w:val="2"/>
        <w:numId w:val="1"/>
      </w:numPr>
      <w:spacing w:before="240" w:after="60"/>
      <w:ind w:left="0" w:firstLine="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E609B8"/>
    <w:pPr>
      <w:keepNext/>
      <w:numPr>
        <w:ilvl w:val="3"/>
        <w:numId w:val="1"/>
      </w:numPr>
      <w:spacing w:before="240" w:after="60"/>
      <w:ind w:left="0" w:firstLine="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E609B8"/>
    <w:pPr>
      <w:numPr>
        <w:ilvl w:val="4"/>
        <w:numId w:val="1"/>
      </w:numPr>
      <w:spacing w:before="240" w:after="60"/>
      <w:ind w:left="0" w:firstLine="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E609B8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E609B8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E609B8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E609B8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09B8"/>
    <w:rPr>
      <w:rFonts w:ascii="Times New Roman" w:eastAsia="Times New Roman" w:hAnsi="Times New Roman" w:cs="Times New Roman"/>
      <w:b/>
      <w:sz w:val="24"/>
      <w:szCs w:val="20"/>
      <w:lang w:val="en-AU"/>
    </w:rPr>
  </w:style>
  <w:style w:type="character" w:customStyle="1" w:styleId="Heading2Char">
    <w:name w:val="Heading 2 Char"/>
    <w:basedOn w:val="DefaultParagraphFont"/>
    <w:link w:val="Heading2"/>
    <w:rsid w:val="00E609B8"/>
    <w:rPr>
      <w:rFonts w:ascii="Times New Roman" w:eastAsia="Times New Roman" w:hAnsi="Times New Roman" w:cs="Times New Roman"/>
      <w:b/>
      <w:sz w:val="24"/>
      <w:szCs w:val="20"/>
      <w:lang w:val="en-AU"/>
    </w:rPr>
  </w:style>
  <w:style w:type="character" w:customStyle="1" w:styleId="Heading3Char">
    <w:name w:val="Heading 3 Char"/>
    <w:basedOn w:val="DefaultParagraphFont"/>
    <w:link w:val="Heading3"/>
    <w:rsid w:val="00E609B8"/>
    <w:rPr>
      <w:rFonts w:ascii="Times New Roman" w:eastAsia="Times New Roman" w:hAnsi="Times New Roman" w:cs="Times New Roman"/>
      <w:b/>
      <w:sz w:val="24"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rsid w:val="00E609B8"/>
    <w:rPr>
      <w:rFonts w:ascii="Times New Roman" w:eastAsia="Times New Roman" w:hAnsi="Times New Roman" w:cs="Times New Roman"/>
      <w:b/>
      <w:sz w:val="24"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rsid w:val="00E609B8"/>
    <w:rPr>
      <w:rFonts w:ascii="Times New Roman" w:eastAsia="Times New Roman" w:hAnsi="Times New Roman" w:cs="Times New Roman"/>
      <w:b/>
      <w:sz w:val="24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rsid w:val="00E609B8"/>
    <w:rPr>
      <w:rFonts w:ascii="Times New Roman" w:eastAsia="Times New Roman" w:hAnsi="Times New Roman" w:cs="Times New Roman"/>
      <w:i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rsid w:val="00E609B8"/>
    <w:rPr>
      <w:rFonts w:ascii="Arial" w:eastAsia="Times New Roman" w:hAnsi="Arial" w:cs="Times New Roman"/>
      <w:sz w:val="24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rsid w:val="00E609B8"/>
    <w:rPr>
      <w:rFonts w:ascii="Arial" w:eastAsia="Times New Roman" w:hAnsi="Arial" w:cs="Times New Roman"/>
      <w:i/>
      <w:sz w:val="24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E609B8"/>
    <w:rPr>
      <w:rFonts w:ascii="Arial" w:eastAsia="Times New Roman" w:hAnsi="Arial" w:cs="Times New Roman"/>
      <w:b/>
      <w:i/>
      <w:sz w:val="18"/>
      <w:szCs w:val="20"/>
      <w:lang w:val="en-AU"/>
    </w:rPr>
  </w:style>
  <w:style w:type="paragraph" w:customStyle="1" w:styleId="guidelines">
    <w:name w:val="guidelines"/>
    <w:basedOn w:val="Normal"/>
    <w:rsid w:val="00E609B8"/>
    <w:rPr>
      <w:i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99</Words>
  <Characters>565</Characters>
  <Application>Microsoft Office Word</Application>
  <DocSecurity>0</DocSecurity>
  <Lines>4</Lines>
  <Paragraphs>1</Paragraphs>
  <ScaleCrop>false</ScaleCrop>
  <Company>Hewlett-Packard</Company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Ginanjar Fahrul M</dc:creator>
  <cp:lastModifiedBy>Ginanjar Fahrul M</cp:lastModifiedBy>
  <cp:revision>2</cp:revision>
  <dcterms:created xsi:type="dcterms:W3CDTF">2010-06-28T01:26:00Z</dcterms:created>
  <dcterms:modified xsi:type="dcterms:W3CDTF">2010-06-28T01:53:00Z</dcterms:modified>
</cp:coreProperties>
</file>