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Usando IA para documentar</w:t>
      </w:r>
      <w:r>
        <w:br/>
      </w:r>
      <w:r>
        <w:rPr>
          <w:b w:val="0"/>
        </w:rPr>
        <w:t>y optimizar el análisis</w:t>
      </w:r>
    </w:p>
    <w:p>
      <w:pPr>
        <w:jc w:val="left"/>
      </w:pPr>
      <w:r>
        <w:rPr>
          <w:b/>
        </w:rPr>
        <w:t>Pre-entrega: IA en el flujo del proyecto</w:t>
      </w:r>
      <w:r>
        <w:br/>
      </w:r>
      <w:r>
        <w:rPr>
          <w:b w:val="0"/>
        </w:rPr>
        <w:t>RetailPro | Gina Rossi | Tareas 1 y 2</w:t>
      </w:r>
    </w:p>
    <w:p>
      <w:pPr>
        <w:jc w:val="both"/>
      </w:pPr>
      <w:r>
        <w:rPr>
          <w:b/>
        </w:rPr>
        <w:t>Herramienta:</w:t>
      </w:r>
      <w:r>
        <w:rPr>
          <w:b w:val="0"/>
        </w:rPr>
        <w:t xml:space="preserve"> ChatGPT, incluida entre las herramientas con versión gratuita habilitadas por la consigna. El proyecto RetailPro utiliza la base de datos </w:t>
      </w:r>
      <w:r>
        <w:rPr>
          <w:b/>
        </w:rPr>
        <w:t>Ventas_Tech_DB</w:t>
      </w:r>
      <w:r>
        <w:rPr>
          <w:b w:val="0"/>
        </w:rPr>
        <w:t>.</w:t>
      </w:r>
    </w:p>
    <w:p>
      <w:pPr>
        <w:pStyle w:val="Heading1"/>
      </w:pPr>
      <w:r>
        <w:rPr>
          <w:b w:val="0"/>
        </w:rPr>
        <w:t>Tarea 1 - Optimización SQL</w:t>
      </w:r>
    </w:p>
    <w:p>
      <w:pPr>
        <w:pStyle w:val="Heading2"/>
      </w:pPr>
      <w:r>
        <w:rPr>
          <w:b w:val="0"/>
        </w:rPr>
        <w:t>1. Instrucción exacta recibida por la IA</w:t>
      </w:r>
    </w:p>
    <w:p>
      <w:pPr>
        <w:jc w:val="both"/>
      </w:pPr>
      <w:r>
        <w:rPr>
          <w:b w:val="0"/>
        </w:rPr>
        <w:t>Tomá la consulta base del proyecto de M5 (el INNER JOIN con 4 tablas) y pedile a la IA que la revise. Documentá el prompt exacto, la sugerencia recibida y tu evaluación técnica: ¿aceptás la mejora o no? ¿Por qué?</w:t>
      </w:r>
    </w:p>
    <w:p>
      <w:pPr>
        <w:jc w:val="both"/>
      </w:pPr>
      <w:r>
        <w:rPr>
          <w:b w:val="0"/>
        </w:rPr>
        <w:t xml:space="preserve">Esta instrucción se compartió como parte de la consigna en la conversación, junto con el archivo </w:t>
      </w:r>
      <w:r>
        <w:rPr>
          <w:b/>
        </w:rPr>
        <w:t>m5_consultas_joins(1).sql</w:t>
      </w:r>
      <w:r>
        <w:rPr>
          <w:b w:val="0"/>
        </w:rPr>
        <w:t>. La IA identificó y revisó la Consulta 1. Los prompts reformulados posteriormente por la IA fueron propuestas de redacción; no se presentan como mensajes enviados por la estudiante.</w:t>
      </w:r>
    </w:p>
    <w:p>
      <w:pPr>
        <w:pStyle w:val="Heading2"/>
      </w:pPr>
      <w:r>
        <w:rPr>
          <w:b w:val="0"/>
        </w:rPr>
        <w:t>2. Consulta base revisada</w:t>
      </w:r>
    </w:p>
    <w:p>
      <w:pPr>
        <w:keepLines/>
        <w:spacing w:after="0" w:line="240" w:lineRule="auto"/>
      </w:pPr>
      <w:r>
        <w:rPr>
          <w:rFonts w:ascii="Courier New" w:hAnsi="Courier New"/>
          <w:sz w:val="17"/>
        </w:rPr>
        <w:t>SELECT</w:t>
        <w:br/>
        <w:t xml:space="preserve">    v.id_venta,</w:t>
        <w:br/>
        <w:t xml:space="preserve">    v.fecha_venta AS fecha,</w:t>
        <w:br/>
        <w:t xml:space="preserve">    c.id_cliente,</w:t>
        <w:br/>
        <w:t xml:space="preserve">    c.nombre AS nombre_cliente,</w:t>
        <w:br/>
        <w:t xml:space="preserve">    c.email,</w:t>
        <w:br/>
        <w:t xml:space="preserve">    c.ciudad,</w:t>
        <w:br/>
        <w:t xml:space="preserve">    p.id_producto,</w:t>
        <w:br/>
        <w:t xml:space="preserve">    p.nombre_producto,</w:t>
        <w:br/>
        <w:t xml:space="preserve">    cat.nombre_categoria AS categoria,</w:t>
        <w:br/>
        <w:t xml:space="preserve">    v.cantidad,</w:t>
        <w:br/>
        <w:t xml:space="preserve">    v.precio_unitario,</w:t>
        <w:br/>
        <w:t xml:space="preserve">    v.cantidad * v.precio_unitario AS total_venta</w:t>
        <w:br/>
        <w:t>FROM ventas AS v</w:t>
        <w:br/>
        <w:t>INNER JOIN clientes AS c</w:t>
        <w:br/>
        <w:t xml:space="preserve">    ON v.id_cliente = c.id_cliente</w:t>
        <w:br/>
        <w:t>INNER JOIN productos AS p</w:t>
        <w:br/>
        <w:t xml:space="preserve">    ON v.id_producto = p.id_producto</w:t>
        <w:br/>
        <w:t>INNER JOIN categorias AS cat</w:t>
        <w:br/>
        <w:t xml:space="preserve">    ON p.id_categoria = cat.id_categoria</w:t>
        <w:br/>
        <w:t>ORDER BY v.fecha_venta, v.id_venta;</w:t>
      </w:r>
    </w:p>
    <w:p>
      <w:r>
        <w:br w:type="page"/>
      </w:r>
    </w:p>
    <w:p>
      <w:pPr>
        <w:pStyle w:val="Heading1"/>
      </w:pPr>
      <w:r>
        <w:rPr>
          <w:b w:val="0"/>
        </w:rPr>
        <w:t>Tarea 1 - Revisión y decisión</w:t>
      </w:r>
    </w:p>
    <w:p>
      <w:pPr>
        <w:pStyle w:val="Heading2"/>
      </w:pPr>
      <w:r>
        <w:rPr>
          <w:b w:val="0"/>
        </w:rPr>
        <w:t>3. Sugerencia recibida de la IA</w:t>
      </w:r>
    </w:p>
    <w:p>
      <w:pPr>
        <w:jc w:val="both"/>
      </w:pPr>
      <w:r>
        <w:rPr>
          <w:b w:val="0"/>
        </w:rPr>
        <w:t>La consulta presenta una estructura clara: utiliza alias, selecciona columnas específicas y relaciona ventas, clientes, productos y categorías mediante INNER JOIN. El importe se calcula con el precio unitario registrado en la venta, lo que conserva el precio histórico de la operación.</w:t>
      </w:r>
    </w:p>
    <w:p>
      <w:pPr>
        <w:jc w:val="both"/>
      </w:pPr>
      <w:r>
        <w:rPr>
          <w:b w:val="0"/>
        </w:rPr>
        <w:t xml:space="preserve">La sugerencia principal consiste en hacer opcional </w:t>
      </w:r>
      <w:r>
        <w:rPr>
          <w:b/>
        </w:rPr>
        <w:t>ORDER BY v.fecha_venta, v.id_venta</w:t>
      </w:r>
      <w:r>
        <w:rPr>
          <w:b w:val="0"/>
        </w:rPr>
        <w:t>. Si el proceso que consume los datos no requiere un orden cronológico, se puede quitar para evitar solicitar un ordenamiento innecesario. Si el resultado se utiliza como reporte cronológico, conviene conservarlo.</w:t>
      </w:r>
    </w:p>
    <w:p>
      <w:pPr>
        <w:jc w:val="both"/>
      </w:pPr>
      <w:r>
        <w:rPr>
          <w:b w:val="0"/>
        </w:rPr>
        <w:t>Quitar el ORDER BY mantiene las columnas y filas obtenidas, pero deja de garantizar su orden de presentación. No se puede afirmar que reduzca el tiempo de ejecución sin comparar ejecuciones y revisar el plan de ejecución.</w:t>
      </w:r>
    </w:p>
    <w:p>
      <w:pPr>
        <w:pStyle w:val="Heading2"/>
      </w:pPr>
      <w:r>
        <w:rPr>
          <w:b w:val="0"/>
        </w:rPr>
        <w:t>4. Evaluación técnica y decisión</w:t>
      </w:r>
    </w:p>
    <w:p>
      <w:pPr>
        <w:jc w:val="both"/>
      </w:pPr>
      <w:r>
        <w:rPr>
          <w:b/>
        </w:rPr>
        <w:t>Acepto la sugerencia de forma condicional.</w:t>
      </w:r>
      <w:r>
        <w:rPr>
          <w:b w:val="0"/>
        </w:rPr>
        <w:t xml:space="preserve"> Para revisar las ventas cronológicamente, decido mantener el ORDER BY porque facilita la lectura y permite ordenar por id_venta dentro de cada fecha. Si la consulta se emplea únicamente para extraer datos que después se ordenan en otra herramienta, considero válido quitar esa cláusula.</w:t>
      </w:r>
    </w:p>
    <w:p>
      <w:pPr>
        <w:jc w:val="both"/>
      </w:pPr>
      <w:r>
        <w:rPr>
          <w:b w:val="0"/>
        </w:rPr>
        <w:t>Mantengo los INNER JOIN porque el objetivo es obtener las ventas con sus datos relacionados. El esquema suministrado define claves primarias y claves foráneas, y las columnas de relación son NOT NULL. Bajo esas restricciones, las relaciones obligatorias respaldan el uso de estos joins y las claves primarias evitan multiplicar filas por coincidencias duplicadas en las tablas relacionadas.</w:t>
      </w:r>
    </w:p>
    <w:p>
      <w:pPr>
        <w:jc w:val="both"/>
      </w:pPr>
      <w:r>
        <w:rPr>
          <w:b w:val="0"/>
        </w:rPr>
        <w:t>No incorporo índices adicionales ni afirmo mejoras de velocidad sin evidencia. En este caso, el script contiene solo diez registros de ventas; una decisión sobre índices requeriría conocer el volumen real, las consultas habituales y el plan de ejecución.</w:t>
      </w:r>
    </w:p>
    <w:p>
      <w:pPr>
        <w:pStyle w:val="Heading2"/>
      </w:pPr>
      <w:r>
        <w:rPr>
          <w:b w:val="0"/>
        </w:rPr>
        <w:t>5. Resultado de la revisión</w:t>
      </w:r>
    </w:p>
    <w:p>
      <w:pPr>
        <w:jc w:val="both"/>
      </w:pPr>
      <w:r>
        <w:rPr>
          <w:b w:val="0"/>
        </w:rPr>
        <w:t>La versión base se conserva. La mejora se documenta como alternativa para una extracción que no necesite ordenamiento. Esta decisión responde al uso del resultado y no a una mejora de rendimiento medida.</w:t>
      </w:r>
    </w:p>
    <w:p>
      <w:pPr>
        <w:jc w:val="both"/>
      </w:pPr>
      <w:r>
        <w:rPr>
          <w:b/>
        </w:rPr>
        <w:t>Alcance de la validación:</w:t>
      </w:r>
      <w:r>
        <w:rPr>
          <w:b w:val="0"/>
        </w:rPr>
        <w:t xml:space="preserve"> se revisó el código y el esquema suministrados. No se ejecutó la consulta en SQL Server ni se midieron tiempos de ejecución.</w:t>
      </w:r>
    </w:p>
    <w:p>
      <w:r>
        <w:br w:type="page"/>
      </w:r>
    </w:p>
    <w:p>
      <w:pPr>
        <w:pStyle w:val="Heading1"/>
      </w:pPr>
      <w:r>
        <w:rPr>
          <w:b w:val="0"/>
        </w:rPr>
        <w:t>Tarea 2 - Generación de insights</w:t>
      </w:r>
    </w:p>
    <w:p>
      <w:pPr>
        <w:pStyle w:val="Heading2"/>
      </w:pPr>
      <w:r>
        <w:rPr>
          <w:b w:val="0"/>
        </w:rPr>
        <w:t>1. Instrucción exacta recibida por la IA</w:t>
      </w:r>
    </w:p>
    <w:p>
      <w:pPr>
        <w:jc w:val="both"/>
      </w:pPr>
      <w:r>
        <w:rPr>
          <w:b w:val="0"/>
        </w:rPr>
        <w:t>Pegá los resultados de las consultas de M4 en el prompt de la IA y pedile que identifique los 3 hallazgos más importantes para el equipo comercial. Evaluá críticamente: ¿son correctos? ¿son accionables? ¿hay alguno que la IA pasó por alto?</w:t>
      </w:r>
    </w:p>
    <w:p>
      <w:pPr>
        <w:jc w:val="both"/>
      </w:pPr>
      <w:r>
        <w:rPr>
          <w:b w:val="0"/>
        </w:rPr>
        <w:t xml:space="preserve">En la conversación se compartieron </w:t>
      </w:r>
      <w:r>
        <w:rPr>
          <w:b/>
        </w:rPr>
        <w:t>m4_consultas_negocio(1).sql</w:t>
      </w:r>
      <w:r>
        <w:rPr>
          <w:b w:val="0"/>
        </w:rPr>
        <w:t xml:space="preserve"> y </w:t>
      </w:r>
      <w:r>
        <w:rPr>
          <w:b/>
        </w:rPr>
        <w:t>ventas_tech_db(3).sql</w:t>
      </w:r>
      <w:r>
        <w:rPr>
          <w:b w:val="0"/>
        </w:rPr>
        <w:t>. El primero incluye consultas y hallazgos comentados; el segundo, el esquema y los datos. Los resultados siguientes se reconstruyeron mediante cálculos sobre los INSERT del script, sin ejecución en SQL Server. No se presentan como una captura de resultados pegada por la estudiante.</w:t>
      </w:r>
    </w:p>
    <w:p>
      <w:pPr>
        <w:pStyle w:val="Heading2"/>
      </w:pPr>
      <w:r>
        <w:rPr>
          <w:b w:val="0"/>
        </w:rPr>
        <w:t>2. Resultados utilizados en el análisis</w:t>
      </w:r>
    </w:p>
    <w:p>
      <w:pPr>
        <w:jc w:val="both"/>
      </w:pPr>
      <w:r>
        <w:rPr>
          <w:b/>
        </w:rPr>
        <w:t>Consulta 1:</w:t>
      </w:r>
      <w:r>
        <w:rPr>
          <w:b w:val="0"/>
        </w:rPr>
        <w:t xml:space="preserve"> marzo de 2024 registra $6.444,00 de facturación, 10 registros de venta y un importe promedio por registro de $644,40.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1"/>
        <w:gridCol w:w="3221"/>
        <w:gridCol w:w="3221"/>
      </w:tblGrid>
      <w:tr>
        <w:trPr>
          <w:cantSplit/>
          <w:tblHeader/>
        </w:trPr>
        <w:tc>
          <w:tcPr>
            <w:tcW w:type="dxa" w:w="5544"/>
            <w:shd w:fill="173B55"/>
          </w:tcPr>
          <w:p>
            <w:pPr>
              <w:spacing w:after="100" w:before="100" w:line="240" w:lineRule="auto"/>
            </w:pPr>
            <w:r>
              <w:rPr>
                <w:b/>
                <w:color w:val="FFFFFF"/>
                <w:sz w:val="20"/>
              </w:rPr>
              <w:t>Consulta 2: top 5 productos</w:t>
            </w:r>
          </w:p>
        </w:tc>
        <w:tc>
          <w:tcPr>
            <w:tcW w:type="dxa" w:w="1382"/>
            <w:shd w:fill="173B55"/>
          </w:tcPr>
          <w:p>
            <w:pPr>
              <w:spacing w:after="100" w:before="100" w:line="240" w:lineRule="auto"/>
              <w:jc w:val="center"/>
            </w:pPr>
            <w:r>
              <w:rPr>
                <w:b/>
                <w:color w:val="FFFFFF"/>
                <w:sz w:val="20"/>
              </w:rPr>
              <w:t>Unidades</w:t>
            </w:r>
          </w:p>
        </w:tc>
        <w:tc>
          <w:tcPr>
            <w:tcW w:type="dxa" w:w="2650"/>
            <w:shd w:fill="173B55"/>
          </w:tcPr>
          <w:p>
            <w:pPr>
              <w:spacing w:after="100" w:before="100" w:line="240" w:lineRule="auto"/>
              <w:jc w:val="center"/>
            </w:pPr>
            <w:r>
              <w:rPr>
                <w:b/>
                <w:color w:val="FFFFFF"/>
                <w:sz w:val="20"/>
              </w:rPr>
              <w:t>Facturación</w:t>
            </w:r>
          </w:p>
        </w:tc>
      </w:tr>
      <w:tr>
        <w:trPr>
          <w:cantSplit/>
        </w:trPr>
        <w:tc>
          <w:tcPr>
            <w:tcW w:type="dxa" w:w="5544"/>
            <w:shd w:fill="F1F5F8"/>
          </w:tcPr>
          <w:p>
            <w:pPr>
              <w:spacing w:after="100" w:before="100" w:line="240" w:lineRule="auto"/>
            </w:pPr>
            <w:r>
              <w:rPr>
                <w:b w:val="0"/>
                <w:sz w:val="20"/>
              </w:rPr>
              <w:t>Laptop Pro 15</w:t>
            </w:r>
          </w:p>
        </w:tc>
        <w:tc>
          <w:tcPr>
            <w:tcW w:type="dxa" w:w="1382"/>
            <w:shd w:fill="F1F5F8"/>
          </w:tcPr>
          <w:p>
            <w:pPr>
              <w:spacing w:after="100" w:before="100" w:line="240" w:lineRule="auto"/>
              <w:jc w:val="center"/>
            </w:pPr>
            <w:r>
              <w:rPr>
                <w:b w:val="0"/>
                <w:sz w:val="20"/>
              </w:rPr>
              <w:t>3</w:t>
            </w:r>
          </w:p>
        </w:tc>
        <w:tc>
          <w:tcPr>
            <w:tcW w:type="dxa" w:w="2650"/>
            <w:shd w:fill="F1F5F8"/>
          </w:tcPr>
          <w:p>
            <w:pPr>
              <w:spacing w:after="100" w:before="100" w:line="240" w:lineRule="auto"/>
              <w:jc w:val="center"/>
            </w:pPr>
            <w:r>
              <w:rPr>
                <w:b w:val="0"/>
                <w:sz w:val="20"/>
              </w:rPr>
              <w:t>$3.600,00</w:t>
            </w:r>
          </w:p>
        </w:tc>
      </w:tr>
      <w:tr>
        <w:trPr>
          <w:cantSplit/>
        </w:trPr>
        <w:tc>
          <w:tcPr>
            <w:tcW w:type="dxa" w:w="5544"/>
            <w:shd w:fill="FFFFFF"/>
          </w:tcPr>
          <w:p>
            <w:pPr>
              <w:spacing w:after="100" w:before="100" w:line="240" w:lineRule="auto"/>
            </w:pPr>
            <w:r>
              <w:rPr>
                <w:b w:val="0"/>
                <w:sz w:val="20"/>
              </w:rPr>
              <w:t>Monitor 4K 27 pulgadas</w:t>
            </w:r>
          </w:p>
        </w:tc>
        <w:tc>
          <w:tcPr>
            <w:tcW w:type="dxa" w:w="1382"/>
            <w:shd w:fill="FFFFFF"/>
          </w:tcPr>
          <w:p>
            <w:pPr>
              <w:spacing w:after="100" w:before="100" w:line="240" w:lineRule="auto"/>
              <w:jc w:val="center"/>
            </w:pPr>
            <w:r>
              <w:rPr>
                <w:b w:val="0"/>
                <w:sz w:val="20"/>
              </w:rPr>
              <w:t>3</w:t>
            </w:r>
          </w:p>
        </w:tc>
        <w:tc>
          <w:tcPr>
            <w:tcW w:type="dxa" w:w="2650"/>
            <w:shd w:fill="FFFFFF"/>
          </w:tcPr>
          <w:p>
            <w:pPr>
              <w:spacing w:after="100" w:before="100" w:line="240" w:lineRule="auto"/>
              <w:jc w:val="center"/>
            </w:pPr>
            <w:r>
              <w:rPr>
                <w:b w:val="0"/>
                <w:sz w:val="20"/>
              </w:rPr>
              <w:t>$1.350,00</w:t>
            </w:r>
          </w:p>
        </w:tc>
      </w:tr>
      <w:tr>
        <w:trPr>
          <w:cantSplit/>
        </w:trPr>
        <w:tc>
          <w:tcPr>
            <w:tcW w:type="dxa" w:w="5544"/>
            <w:shd w:fill="F1F5F8"/>
          </w:tcPr>
          <w:p>
            <w:pPr>
              <w:spacing w:after="100" w:before="100" w:line="240" w:lineRule="auto"/>
            </w:pPr>
            <w:r>
              <w:rPr>
                <w:b w:val="0"/>
                <w:sz w:val="20"/>
              </w:rPr>
              <w:t>SSD Externo 1TB</w:t>
            </w:r>
          </w:p>
        </w:tc>
        <w:tc>
          <w:tcPr>
            <w:tcW w:type="dxa" w:w="1382"/>
            <w:shd w:fill="F1F5F8"/>
          </w:tcPr>
          <w:p>
            <w:pPr>
              <w:spacing w:after="100" w:before="100" w:line="240" w:lineRule="auto"/>
              <w:jc w:val="center"/>
            </w:pPr>
            <w:r>
              <w:rPr>
                <w:b w:val="0"/>
                <w:sz w:val="20"/>
              </w:rPr>
              <w:t>3</w:t>
            </w:r>
          </w:p>
        </w:tc>
        <w:tc>
          <w:tcPr>
            <w:tcW w:type="dxa" w:w="2650"/>
            <w:shd w:fill="F1F5F8"/>
          </w:tcPr>
          <w:p>
            <w:pPr>
              <w:spacing w:after="100" w:before="100" w:line="240" w:lineRule="auto"/>
              <w:jc w:val="center"/>
            </w:pPr>
            <w:r>
              <w:rPr>
                <w:b w:val="0"/>
                <w:sz w:val="20"/>
              </w:rPr>
              <w:t>$390,00</w:t>
            </w:r>
          </w:p>
        </w:tc>
      </w:tr>
      <w:tr>
        <w:trPr>
          <w:cantSplit/>
        </w:trPr>
        <w:tc>
          <w:tcPr>
            <w:tcW w:type="dxa" w:w="5544"/>
            <w:shd w:fill="FFFFFF"/>
          </w:tcPr>
          <w:p>
            <w:pPr>
              <w:spacing w:after="100" w:before="100" w:line="240" w:lineRule="auto"/>
            </w:pPr>
            <w:r>
              <w:rPr>
                <w:b w:val="0"/>
                <w:sz w:val="20"/>
              </w:rPr>
              <w:t>Teclado Mecánico</w:t>
            </w:r>
          </w:p>
        </w:tc>
        <w:tc>
          <w:tcPr>
            <w:tcW w:type="dxa" w:w="1382"/>
            <w:shd w:fill="FFFFFF"/>
          </w:tcPr>
          <w:p>
            <w:pPr>
              <w:spacing w:after="100" w:before="100" w:line="240" w:lineRule="auto"/>
              <w:jc w:val="center"/>
            </w:pPr>
            <w:r>
              <w:rPr>
                <w:b w:val="0"/>
                <w:sz w:val="20"/>
              </w:rPr>
              <w:t>4</w:t>
            </w:r>
          </w:p>
        </w:tc>
        <w:tc>
          <w:tcPr>
            <w:tcW w:type="dxa" w:w="2650"/>
            <w:shd w:fill="FFFFFF"/>
          </w:tcPr>
          <w:p>
            <w:pPr>
              <w:spacing w:after="100" w:before="100" w:line="240" w:lineRule="auto"/>
              <w:jc w:val="center"/>
            </w:pPr>
            <w:r>
              <w:rPr>
                <w:b w:val="0"/>
                <w:sz w:val="20"/>
              </w:rPr>
              <w:t>$380,00</w:t>
            </w:r>
          </w:p>
        </w:tc>
      </w:tr>
      <w:tr>
        <w:trPr>
          <w:cantSplit/>
        </w:trPr>
        <w:tc>
          <w:tcPr>
            <w:tcW w:type="dxa" w:w="5544"/>
            <w:shd w:fill="F1F5F8"/>
          </w:tcPr>
          <w:p>
            <w:pPr>
              <w:spacing w:after="100" w:before="100" w:line="240" w:lineRule="auto"/>
            </w:pPr>
            <w:r>
              <w:rPr>
                <w:b w:val="0"/>
                <w:sz w:val="20"/>
              </w:rPr>
              <w:t>Mouse Inalámbrico</w:t>
            </w:r>
          </w:p>
        </w:tc>
        <w:tc>
          <w:tcPr>
            <w:tcW w:type="dxa" w:w="1382"/>
            <w:shd w:fill="F1F5F8"/>
          </w:tcPr>
          <w:p>
            <w:pPr>
              <w:spacing w:after="100" w:before="100" w:line="240" w:lineRule="auto"/>
              <w:jc w:val="center"/>
            </w:pPr>
            <w:r>
              <w:rPr>
                <w:b w:val="0"/>
                <w:sz w:val="20"/>
              </w:rPr>
              <w:t>13</w:t>
            </w:r>
          </w:p>
        </w:tc>
        <w:tc>
          <w:tcPr>
            <w:tcW w:type="dxa" w:w="2650"/>
            <w:shd w:fill="F1F5F8"/>
          </w:tcPr>
          <w:p>
            <w:pPr>
              <w:spacing w:after="100" w:before="100" w:line="240" w:lineRule="auto"/>
              <w:jc w:val="center"/>
            </w:pPr>
            <w:r>
              <w:rPr>
                <w:b w:val="0"/>
                <w:sz w:val="20"/>
              </w:rPr>
              <w:t>$364,00</w:t>
            </w:r>
          </w:p>
        </w:tc>
      </w:tr>
    </w:tbl>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1"/>
        <w:gridCol w:w="3221"/>
        <w:gridCol w:w="3221"/>
      </w:tblGrid>
      <w:tr>
        <w:trPr>
          <w:cantSplit/>
          <w:tblHeader/>
        </w:trPr>
        <w:tc>
          <w:tcPr>
            <w:tcW w:type="dxa" w:w="5544"/>
            <w:shd w:fill="173B55"/>
          </w:tcPr>
          <w:p>
            <w:pPr>
              <w:spacing w:after="100" w:before="100" w:line="240" w:lineRule="auto"/>
            </w:pPr>
            <w:r>
              <w:rPr>
                <w:b/>
                <w:color w:val="FFFFFF"/>
                <w:sz w:val="20"/>
              </w:rPr>
              <w:t>Consulta 3: clientes recurrentes</w:t>
            </w:r>
          </w:p>
        </w:tc>
        <w:tc>
          <w:tcPr>
            <w:tcW w:type="dxa" w:w="1382"/>
            <w:shd w:fill="173B55"/>
          </w:tcPr>
          <w:p>
            <w:pPr>
              <w:spacing w:after="100" w:before="100" w:line="240" w:lineRule="auto"/>
              <w:jc w:val="center"/>
            </w:pPr>
            <w:r>
              <w:rPr>
                <w:b/>
                <w:color w:val="FFFFFF"/>
                <w:sz w:val="20"/>
              </w:rPr>
              <w:t>Registros</w:t>
            </w:r>
          </w:p>
        </w:tc>
        <w:tc>
          <w:tcPr>
            <w:tcW w:type="dxa" w:w="2650"/>
            <w:shd w:fill="173B55"/>
          </w:tcPr>
          <w:p>
            <w:pPr>
              <w:spacing w:after="100" w:before="100" w:line="240" w:lineRule="auto"/>
              <w:jc w:val="center"/>
            </w:pPr>
            <w:r>
              <w:rPr>
                <w:b/>
                <w:color w:val="FFFFFF"/>
                <w:sz w:val="20"/>
              </w:rPr>
              <w:t>Gasto total</w:t>
            </w:r>
          </w:p>
        </w:tc>
      </w:tr>
      <w:tr>
        <w:trPr>
          <w:cantSplit/>
        </w:trPr>
        <w:tc>
          <w:tcPr>
            <w:tcW w:type="dxa" w:w="5544"/>
            <w:shd w:fill="F1F5F8"/>
          </w:tcPr>
          <w:p>
            <w:pPr>
              <w:spacing w:after="100" w:before="100" w:line="240" w:lineRule="auto"/>
            </w:pPr>
            <w:r>
              <w:rPr>
                <w:b w:val="0"/>
                <w:sz w:val="20"/>
              </w:rPr>
              <w:t>María López</w:t>
            </w:r>
          </w:p>
        </w:tc>
        <w:tc>
          <w:tcPr>
            <w:tcW w:type="dxa" w:w="1382"/>
            <w:shd w:fill="F1F5F8"/>
          </w:tcPr>
          <w:p>
            <w:pPr>
              <w:spacing w:after="100" w:before="100" w:line="240" w:lineRule="auto"/>
              <w:jc w:val="center"/>
            </w:pPr>
            <w:r>
              <w:rPr>
                <w:b w:val="0"/>
                <w:sz w:val="20"/>
              </w:rPr>
              <w:t>2</w:t>
            </w:r>
          </w:p>
        </w:tc>
        <w:tc>
          <w:tcPr>
            <w:tcW w:type="dxa" w:w="2650"/>
            <w:shd w:fill="F1F5F8"/>
          </w:tcPr>
          <w:p>
            <w:pPr>
              <w:spacing w:after="100" w:before="100" w:line="240" w:lineRule="auto"/>
              <w:jc w:val="center"/>
            </w:pPr>
            <w:r>
              <w:rPr>
                <w:b w:val="0"/>
                <w:sz w:val="20"/>
              </w:rPr>
              <w:t>$2.640,00</w:t>
            </w:r>
          </w:p>
        </w:tc>
      </w:tr>
      <w:tr>
        <w:trPr>
          <w:cantSplit/>
        </w:trPr>
        <w:tc>
          <w:tcPr>
            <w:tcW w:type="dxa" w:w="5544"/>
            <w:shd w:fill="FFFFFF"/>
          </w:tcPr>
          <w:p>
            <w:pPr>
              <w:spacing w:after="100" w:before="100" w:line="240" w:lineRule="auto"/>
            </w:pPr>
            <w:r>
              <w:rPr>
                <w:b w:val="0"/>
                <w:sz w:val="20"/>
              </w:rPr>
              <w:t>Laura Torres</w:t>
            </w:r>
          </w:p>
        </w:tc>
        <w:tc>
          <w:tcPr>
            <w:tcW w:type="dxa" w:w="1382"/>
            <w:shd w:fill="FFFFFF"/>
          </w:tcPr>
          <w:p>
            <w:pPr>
              <w:spacing w:after="100" w:before="100" w:line="240" w:lineRule="auto"/>
              <w:jc w:val="center"/>
            </w:pPr>
            <w:r>
              <w:rPr>
                <w:b w:val="0"/>
                <w:sz w:val="20"/>
              </w:rPr>
              <w:t>2</w:t>
            </w:r>
          </w:p>
        </w:tc>
        <w:tc>
          <w:tcPr>
            <w:tcW w:type="dxa" w:w="2650"/>
            <w:shd w:fill="FFFFFF"/>
          </w:tcPr>
          <w:p>
            <w:pPr>
              <w:spacing w:after="100" w:before="100" w:line="240" w:lineRule="auto"/>
              <w:jc w:val="center"/>
            </w:pPr>
            <w:r>
              <w:rPr>
                <w:b w:val="0"/>
                <w:sz w:val="20"/>
              </w:rPr>
              <w:t>$2.100,00</w:t>
            </w:r>
          </w:p>
        </w:tc>
      </w:tr>
      <w:tr>
        <w:trPr>
          <w:cantSplit/>
        </w:trPr>
        <w:tc>
          <w:tcPr>
            <w:tcW w:type="dxa" w:w="5544"/>
            <w:shd w:fill="F1F5F8"/>
          </w:tcPr>
          <w:p>
            <w:pPr>
              <w:spacing w:after="100" w:before="100" w:line="240" w:lineRule="auto"/>
            </w:pPr>
            <w:r>
              <w:rPr>
                <w:b w:val="0"/>
                <w:sz w:val="20"/>
              </w:rPr>
              <w:t>Ana Gómez</w:t>
            </w:r>
          </w:p>
        </w:tc>
        <w:tc>
          <w:tcPr>
            <w:tcW w:type="dxa" w:w="1382"/>
            <w:shd w:fill="F1F5F8"/>
          </w:tcPr>
          <w:p>
            <w:pPr>
              <w:spacing w:after="100" w:before="100" w:line="240" w:lineRule="auto"/>
              <w:jc w:val="center"/>
            </w:pPr>
            <w:r>
              <w:rPr>
                <w:b w:val="0"/>
                <w:sz w:val="20"/>
              </w:rPr>
              <w:t>2</w:t>
            </w:r>
          </w:p>
        </w:tc>
        <w:tc>
          <w:tcPr>
            <w:tcW w:type="dxa" w:w="2650"/>
            <w:shd w:fill="F1F5F8"/>
          </w:tcPr>
          <w:p>
            <w:pPr>
              <w:spacing w:after="100" w:before="100" w:line="240" w:lineRule="auto"/>
              <w:jc w:val="center"/>
            </w:pPr>
            <w:r>
              <w:rPr>
                <w:b w:val="0"/>
                <w:sz w:val="20"/>
              </w:rPr>
              <w:t>$674,00</w:t>
            </w:r>
          </w:p>
        </w:tc>
      </w:tr>
      <w:tr>
        <w:trPr>
          <w:cantSplit/>
        </w:trPr>
        <w:tc>
          <w:tcPr>
            <w:tcW w:type="dxa" w:w="5544"/>
            <w:shd w:fill="FFFFFF"/>
          </w:tcPr>
          <w:p>
            <w:pPr>
              <w:spacing w:after="100" w:before="100" w:line="240" w:lineRule="auto"/>
            </w:pPr>
            <w:r>
              <w:rPr>
                <w:b w:val="0"/>
                <w:sz w:val="20"/>
              </w:rPr>
              <w:t>Carlos Ruiz</w:t>
            </w:r>
          </w:p>
        </w:tc>
        <w:tc>
          <w:tcPr>
            <w:tcW w:type="dxa" w:w="1382"/>
            <w:shd w:fill="FFFFFF"/>
          </w:tcPr>
          <w:p>
            <w:pPr>
              <w:spacing w:after="100" w:before="100" w:line="240" w:lineRule="auto"/>
              <w:jc w:val="center"/>
            </w:pPr>
            <w:r>
              <w:rPr>
                <w:b w:val="0"/>
                <w:sz w:val="20"/>
              </w:rPr>
              <w:t>2</w:t>
            </w:r>
          </w:p>
        </w:tc>
        <w:tc>
          <w:tcPr>
            <w:tcW w:type="dxa" w:w="2650"/>
            <w:shd w:fill="FFFFFF"/>
          </w:tcPr>
          <w:p>
            <w:pPr>
              <w:spacing w:after="100" w:before="100" w:line="240" w:lineRule="auto"/>
              <w:jc w:val="center"/>
            </w:pPr>
            <w:r>
              <w:rPr>
                <w:b w:val="0"/>
                <w:sz w:val="20"/>
              </w:rPr>
              <w:t>$520,00</w:t>
            </w:r>
          </w:p>
        </w:tc>
      </w:tr>
      <w:tr>
        <w:trPr>
          <w:cantSplit/>
        </w:trPr>
        <w:tc>
          <w:tcPr>
            <w:tcW w:type="dxa" w:w="5544"/>
            <w:shd w:fill="F1F5F8"/>
          </w:tcPr>
          <w:p>
            <w:pPr>
              <w:spacing w:after="100" w:before="100" w:line="240" w:lineRule="auto"/>
            </w:pPr>
            <w:r>
              <w:rPr>
                <w:b w:val="0"/>
                <w:sz w:val="20"/>
              </w:rPr>
              <w:t>Pedro Sanz</w:t>
            </w:r>
          </w:p>
        </w:tc>
        <w:tc>
          <w:tcPr>
            <w:tcW w:type="dxa" w:w="1382"/>
            <w:shd w:fill="F1F5F8"/>
          </w:tcPr>
          <w:p>
            <w:pPr>
              <w:spacing w:after="100" w:before="100" w:line="240" w:lineRule="auto"/>
              <w:jc w:val="center"/>
            </w:pPr>
            <w:r>
              <w:rPr>
                <w:b w:val="0"/>
                <w:sz w:val="20"/>
              </w:rPr>
              <w:t>2</w:t>
            </w:r>
          </w:p>
        </w:tc>
        <w:tc>
          <w:tcPr>
            <w:tcW w:type="dxa" w:w="2650"/>
            <w:shd w:fill="F1F5F8"/>
          </w:tcPr>
          <w:p>
            <w:pPr>
              <w:spacing w:after="100" w:before="100" w:line="240" w:lineRule="auto"/>
              <w:jc w:val="center"/>
            </w:pPr>
            <w:r>
              <w:rPr>
                <w:b w:val="0"/>
                <w:sz w:val="20"/>
              </w:rPr>
              <w:t>$510,00</w:t>
            </w:r>
          </w:p>
        </w:tc>
      </w:tr>
    </w:tbl>
    <w:p>
      <w:pPr>
        <w:jc w:val="both"/>
      </w:pPr>
      <w:r>
        <w:rPr>
          <w:b/>
        </w:rPr>
        <w:t>Consulta 4:</w:t>
      </w:r>
      <w:r>
        <w:rPr>
          <w:b w:val="0"/>
        </w:rPr>
        <w:t xml:space="preserve"> marzo aparece como “Igual al promedio”. Es el único mes disponible, por lo que su facturación coincide con el promedio mensual calculado.</w:t>
      </w:r>
    </w:p>
    <w:p>
      <w:pPr>
        <w:jc w:val="both"/>
      </w:pPr>
      <w:r>
        <w:rPr>
          <w:b/>
        </w:rPr>
        <w:t>Definición de la métrica:</w:t>
      </w:r>
      <w:r>
        <w:rPr>
          <w:b w:val="0"/>
        </w:rPr>
        <w:t xml:space="preserve"> COUNT(*) cuenta filas de ventas. Como el esquema no incluye un identificador que agrupe líneas de un pedido, se documentan registros de venta e importe promedio por registro. Interpretarlos como pedidos completos requiere asumir que cada fila representa un pedido.</w:t>
      </w:r>
    </w:p>
    <w:p>
      <w:r>
        <w:br w:type="page"/>
      </w:r>
    </w:p>
    <w:p>
      <w:pPr>
        <w:pStyle w:val="Heading1"/>
      </w:pPr>
      <w:r>
        <w:rPr>
          <w:b w:val="0"/>
        </w:rPr>
        <w:t>Tarea 2 - Hallazgos y evaluación</w:t>
      </w:r>
    </w:p>
    <w:p>
      <w:pPr>
        <w:pStyle w:val="Heading2"/>
      </w:pPr>
      <w:r>
        <w:rPr>
          <w:b w:val="0"/>
        </w:rPr>
        <w:t>3. Tres hallazgos propuestos por la IA</w:t>
      </w:r>
    </w:p>
    <w:p>
      <w:pPr>
        <w:jc w:val="both"/>
      </w:pPr>
      <w:r>
        <w:rPr>
          <w:b/>
        </w:rPr>
        <w:t>1. Concentración en la Laptop Pro 15.</w:t>
      </w:r>
      <w:r>
        <w:rPr>
          <w:b w:val="0"/>
        </w:rPr>
        <w:t xml:space="preserve"> Genera $3.600,00, equivalentes al 55,9% de la facturación, con tres unidades vendidas. Se propone revisar su disponibilidad y evaluar ofertas con productos complementarios.</w:t>
      </w:r>
    </w:p>
    <w:p>
      <w:pPr>
        <w:jc w:val="both"/>
      </w:pPr>
      <w:r>
        <w:rPr>
          <w:b/>
        </w:rPr>
        <w:t>2. Concentración en dos clientes.</w:t>
      </w:r>
      <w:r>
        <w:rPr>
          <w:b w:val="0"/>
        </w:rPr>
        <w:t xml:space="preserve"> María López y Laura Torres acumulan $4.740,00, el 73,6% de la facturación. Se propone evaluar acciones de fidelización y ampliar las ventas a otros clientes para reducir la concentración de ingresos.</w:t>
      </w:r>
    </w:p>
    <w:p>
      <w:pPr>
        <w:jc w:val="both"/>
      </w:pPr>
      <w:r>
        <w:rPr>
          <w:b/>
        </w:rPr>
        <w:t>3. Diferencia entre volumen e ingresos.</w:t>
      </w:r>
      <w:r>
        <w:rPr>
          <w:b w:val="0"/>
        </w:rPr>
        <w:t xml:space="preserve"> El Mouse Inalámbrico registra 13 unidades vendidas y $364,00 de facturación: ocupa el quinto lugar del ranking por ingresos pese a su alto volumen. Se propone evaluar su incorporación en ofertas complementarias con laptops o monitores.</w:t>
      </w:r>
    </w:p>
    <w:p>
      <w:pPr>
        <w:pStyle w:val="Heading2"/>
      </w:pPr>
      <w:r>
        <w:rPr>
          <w:b w:val="0"/>
        </w:rPr>
        <w:t>4. Evaluación crítica de los hallazgos</w:t>
      </w:r>
    </w:p>
    <w:p>
      <w:pPr>
        <w:jc w:val="both"/>
      </w:pPr>
      <w:r>
        <w:rPr>
          <w:b/>
        </w:rPr>
        <w:t>Hallazgo 1: correcto y accionable con condiciones.</w:t>
      </w:r>
      <w:r>
        <w:rPr>
          <w:b w:val="0"/>
        </w:rPr>
        <w:t xml:space="preserve"> La participación se verifica con 3.600 / 6.444 × 100 = 55,9%. La facturación permite priorizar el seguimiento comercial, pero no demuestra rentabilidad: faltan costos y márgenes. Tampoco permite concluir que la laptop sea el producto más vendido en unidades.</w:t>
      </w:r>
    </w:p>
    <w:p>
      <w:pPr>
        <w:jc w:val="both"/>
      </w:pPr>
      <w:r>
        <w:rPr>
          <w:b/>
        </w:rPr>
        <w:t>Hallazgo 2: correcto para el período analizado.</w:t>
      </w:r>
      <w:r>
        <w:rPr>
          <w:b w:val="0"/>
        </w:rPr>
        <w:t xml:space="preserve"> La participación conjunta se verifica con 4.740 / 6.444 × 100 = 73,6%. Todos los clientes tienen dos registros de venta; María y Laura se destacan por el importe, no por una frecuencia superior. Dos registros en un período breve no demuestran lealtad sostenida, aunque justifican evaluar un seguimiento comercial.</w:t>
      </w:r>
    </w:p>
    <w:p>
      <w:pPr>
        <w:jc w:val="both"/>
      </w:pPr>
      <w:r>
        <w:rPr>
          <w:b/>
        </w:rPr>
        <w:t>Hallazgo 3: correcto como oportunidad a evaluar.</w:t>
      </w:r>
      <w:r>
        <w:rPr>
          <w:b w:val="0"/>
        </w:rPr>
        <w:t xml:space="preserve"> La consulta muestra la diferencia entre unidades e ingresos. Una oferta complementaria es una hipótesis comercial, no una eficacia comprobada. Los datos no identifican canastas de compra ni demuestran que los productos se compren juntos. Además, el top 5 por facturación no garantiza por sí solo un liderazgo global en unidades; la revisión de todas las filas del script confirma que el mouse tiene el mayor volumen en esta muestra.</w:t>
      </w:r>
    </w:p>
    <w:p>
      <w:pPr>
        <w:pStyle w:val="Heading2"/>
      </w:pPr>
      <w:r>
        <w:rPr>
          <w:b w:val="0"/>
        </w:rPr>
        <w:t>5. Aspectos que requirieron revisión adicional</w:t>
      </w:r>
    </w:p>
    <w:p>
      <w:pPr>
        <w:jc w:val="both"/>
      </w:pPr>
      <w:r>
        <w:rPr>
          <w:b w:val="0"/>
        </w:rPr>
        <w:t>El primer resumen destacaba $6.444,00 de facturación y $644,40 de promedio, pero no señalaba la concentración conjunta del 73,6% en dos clientes ni la diferencia entre volumen y facturación del mouse. Estos aspectos agregan orientación comercial al análisis.</w:t>
      </w:r>
    </w:p>
    <w:p>
      <w:pPr>
        <w:jc w:val="both"/>
      </w:pPr>
      <w:r>
        <w:rPr>
          <w:b w:val="0"/>
        </w:rPr>
        <w:t>La evaluación también identifica que todas las ventas corresponden al 5-15 de marzo de 2024. No hay evidencia para inferir crecimiento, estacionalidad ni meses de mejor desempeño. Agrupar solo por MONTH(fecha_venta) mezclaría años si se ampliara la base. Las acciones propuestas deben validarse con más períodos y datos de costos antes de generalizarlas.</w:t>
      </w:r>
    </w:p>
    <w:sectPr w:rsidR="00FC693F" w:rsidRPr="0006063C" w:rsidSect="00034616">
      <w:footerReference w:type="default" r:id="rId9"/>
      <w:pgSz w:w="11909" w:h="16834"/>
      <w:pgMar w:top="864"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Gina Rossi | RetailPro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RetailPro IA en el flujo del proyecto Tareas 1 y 2</dc:title>
  <dc:subject/>
  <dc:creator>Gina Rossi</dc:creator>
  <cp:keywords/>
  <dc:description>generated by python-docx</dc:description>
  <cp:lastModifiedBy/>
  <cp:revision>1</cp:revision>
  <dcterms:created xsi:type="dcterms:W3CDTF">2013-12-23T23:15:00Z</dcterms:created>
  <dcterms:modified xsi:type="dcterms:W3CDTF">2013-12-23T23:15:00Z</dcterms:modified>
  <cp:category/>
</cp:coreProperties>
</file>