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9ls4l4m4mvi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731200" cy="889000"/>
            <wp:effectExtent b="0" l="0" r="0" t="0"/>
            <wp:docPr descr="Picture 2" id="2" name="image2.png"/>
            <a:graphic>
              <a:graphicData uri="http://schemas.openxmlformats.org/drawingml/2006/picture">
                <pic:pic>
                  <pic:nvPicPr>
                    <pic:cNvPr descr="Picture 2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voxoifolvf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Катедра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„Информационни технологии“ Магистърска програма „Информационни технологии“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</w:rPr>
      </w:pPr>
      <w:bookmarkStart w:colFirst="0" w:colLast="0" w:name="_nukipyf6glnr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774932" cy="1645606"/>
            <wp:effectExtent b="0" l="0" r="0" t="0"/>
            <wp:docPr descr="Picture 3" id="1" name="image1.png"/>
            <a:graphic>
              <a:graphicData uri="http://schemas.openxmlformats.org/drawingml/2006/picture">
                <pic:pic>
                  <pic:nvPicPr>
                    <pic:cNvPr descr="Picture 3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4932" cy="1645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="360" w:lineRule="auto"/>
        <w:ind w:left="2160" w:firstLine="720"/>
        <w:jc w:val="left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f3bdvxi3u2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КУРСОВ ПРОЕКТ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cr2on7erhf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Тема: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„Възможности за финансиране на проекти в България“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Изготвил: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Александър Александров Гинев, Фак. № 25191016, 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Специалност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d2125"/>
          <w:rtl w:val="0"/>
        </w:rPr>
        <w:t xml:space="preserve">Управление на международни бизнес проекти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Преподавател: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доц. д-р Бакарджиева</w:t>
      </w:r>
    </w:p>
    <w:p w:rsidR="00000000" w:rsidDel="00000000" w:rsidP="00000000" w:rsidRDefault="00000000" w:rsidRPr="00000000" w14:paraId="0000000A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hm8ik87xbx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tz3jtijjfo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ВЪВЕДЕНИЕ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Проектното финансиране е един от основните двигатели за икономически растеж, технологична модернизация и социално сближаване в Република България. В качеството си на страна членка на Европейския съюз, България оперира в рамките на споделеното управление на Европейските структурни и инвестиционни фондове (ЕСИФ). Към настоящия момент (месец юни 2026 г.) страната се намира в активната фаза на изпълнение на програмите от финансовата рамка 2021–2027 г., както и на стратегическите инвестиции по Националния план за възстановяване и устойчивост (НПВУ).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Обект на изследване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настоящия курсов проект са финансовите инструменти и програмите за безвъзмездна финансова помощ (БФП), достъпни за българските бенефициенти.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Предмет на изследването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са конкретни, актуални и отворени за кандидатстване процедури към юни 2026 г.</w:t>
      </w:r>
    </w:p>
    <w:p w:rsidR="00000000" w:rsidDel="00000000" w:rsidP="00000000" w:rsidRDefault="00000000" w:rsidRPr="00000000" w14:paraId="00000015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Целта на проекта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е да се направи детайлен анализ на шест отворени конкурса, които покриват критериите за оценка „Отличен“, като се дефинират техните цели, целеви групи, бюджети и изисквания към кандидатите.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x181pxprwe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РАЗДЕЛ I: ТЕОРЕТИЧНИ И МЕТОДОЛОГИЧЕСКИ ОСНОВИ НА ПРОЕКТНОТО ФИНАНСИРАНЕ В БЪЛГАРИЯ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Финансирането чрез европейски и национални програми се основава на принципите на конкурентност, прозрачност и съфинансиране. Основният инструмент за управление на тези процеси у нас е Информационната система за управление и наблюдение на средствата от ЕС (ИСУН 2020/ИСУН 2027), която позволява изцяло електронен цикъл на кандидатстване, оценка и отчитане.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избора на източници на финансиране, кандидатите (бизнес, общини, НПО, образователни институции) трябва да съобразят своите проектни идеи с няколко ключови хоризонтални политики на ЕС: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Дигитална трансформация: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Интегриране на цифрови технологии и повишаване на киберсигурността.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Зелен преход (Европейски зелен пакт):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Намаляване на въглеродния отпечатък, енергийна ефективност и преход към кръгова икономика.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Социално включване и равен достъп: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Преодоляване на регионалните дисбаланси и подкрепа за уязвимите групи.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mc4ctghpix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РАЗДЕЛ II: ПОДРОБЕН АНАЛИЗ НА АКТУАЛНИТЕ ОТВОРЕНИ ПРОЦЕДУРИ ЗА ФИНАНСИРАНЕ (ЮНИ 2026 г.)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По-долу са анализирани шест конкретни процедури, чиито прием на документи е активен към текущия месец.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izwelwb3h4y9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Процедура „Въвеждане на зелени технологии в МСП“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Програма: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Програма „Конкурентоспособност и иновации в предприятията“ 2021-2027 (ПКИП)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Код в ИСУН: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BG16RFPR001-2.003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Правно основание и цели: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Насърчаване на прехода на българската индустрия към ресурсна ефективност и екологосъобразно производство.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Допустими дейности: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Закупуване на ново производствено оборудване и технологии, които водят до намаляване на отпадъците или повторната им употреба.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Инсталиране на системи за вътрешно рециклиране в предприятията.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Внедряване на софтуерни решения за мониторинг и оптимизация на енергийните и ресурсните разходи.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Финансови параметри: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Максимален интензитет на БФП: 70% (35% собствено съфинансиране от бенефициента). Максимален размер на гранта: 410 000 евро.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Крайни срокове: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Отворена за прием през летния семестър на 2026 г.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g1x6l6yrmzp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Процедура „Малки иновативни грантове за МСП“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Програма: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Програма „Научни изследвания, иновации и дигитализация за интелигентна трансформация“ 2021-2027 (ПНИИДИТ)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Код в ИСУН: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BG16RFPR002-1.005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Правно основание и цели: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Бързо технологично подпомагане на малкия бизнес за преодоляване на технологични дефицити и комерсиализация на иновативни идеи.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Допустими дейности: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Ползване на научно-изследователски услуги от сертифицирани лаборатории и университети.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Разработване на прототипи на нови продукти или услуги.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Тестване, валидиране и сертифициране на нови технологии.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Финансови параметри: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Бюджетът е насочен към "малки грантове" с облекчен режим на кандидатстване. Финансирането е в размер до 29 420 лв. на бенефициент с минимално административно натоварване.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Крайни срокове: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Отворена за кандидатстване през юни 2026 г.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bxmlqwp63w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Процедура „Подкрепа за ученици с таланти - Компонент 2“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Програма: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Програма „Образование“ 2021-2027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Код в ИСУН: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BG05SFPR001-2.005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Правно основание и цели: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Развитие на потенциала на даровити деца в сферата на науката, технологиите, изкуствата и спорта на местно ниво.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Допустими бенефициенти: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Общини и техните районни администрации (които не са получили финансиране по първия компонент), в партньорство с училища, центрове за подкрепа за личностно развитие (ЦПЛР) и спортни клубове.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Допустими дейности: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Организиране на специализирани извънкласни школи, кръжоци и индивидуални обучения за напреднали.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Финансиране на такси, транспорт и престой за участие в национални и международни олимпиади, конкурси и състезания.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Закупуване на материали, инструменти или спортна екипировка за нуждите на талантливите деца.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Финансови параметри: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100% безвъзмездна финансова помощ (няма изискване за съфинансиране от общините).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Краен срок: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21.06.2026 г. (първичен) / 21.07.2026 г. (окончателен краен срок)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3kbvcg9mpxhb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Процедура „Създаване на условия за достъп до образование чрез преодоляване на демографски, социални и културни бариери“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Програма: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Програма „Образование“ 2021-2027 (Подход ВОМР - Водено от общностите местно развитие)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Правно основание и цели: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Намаляване на процента на преждевременно напусналите училище и осигуряване на равен старт за деца от уязвими групи или отдалечени селски райони.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Допустими дейности: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Осигуряване на специализиран транспорт за ученици до по-големи образователни центрове.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Допълнителни обучения по български език за деца, за които той не е майчин.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Психологическа подкрепа, работа с родителите и преодоляване на негативните стереотипи на местно ниво.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Финансови параметри: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Финансира се изцяло чрез Местните инициативни групи (МИГ) по линия на ЕСФ+.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Краен срок: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Междинен краен срок за оценка на първи етап предложения: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08.07.2026 г.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uxqzwblckq1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Интервенция „Подкрепа за оперативни групи в рамките на Европейското партньорство за иновации (ЕПИ-Агри)“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Програма: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Стратегически план за развитие на земеделието и селските райони 2023-2027 г. (СПРЗСР)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Код на интервенцията: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II.Ж.1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Правно основание и цели: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Изграждане на мост между научните теоретични разработки и практическото им приложение в реалното фермерство.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Допустими бенефициенти: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Клъстери/Оперативни групи, съставени от минимум един земеделски производител и една научна организация (университет или институт към Селскостопанска академия).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Допустими дейности: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Тестване в реална среда на нови сортове, софтуер за прецизно земеделие, дронове за анализ на почвата или автоматизирани напоителни системи.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Изготвяне на анализи за икономическата ефективност на въведената иновация.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Финансови параметри: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Общ бюджет на отворения прием: 30 000 000 евро. Интензитет на помощта: до 100% за нематериални дейности и проучвания.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Краен срок: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Текущ отворен прием в СЕУ (Система за електронни услуги на ДФЗ) през юни 2026 г.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1xexv9nxgde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Процедура „Мерки за изграждане на системи/центрове за разделно събиране и подготовка за повторна употреба“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Програма: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Програма „Околна среда“ 2021-2027 (ПОС)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Правно основание и цели: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Намаляване на количествата битови отпадъци, които се изхвърлят на регионалните депа, чрез насърчаване на културата за поправка и повторно използване.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Допустими бенефициенти: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Общини на територията на Р. България.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Допустими дейности: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Строителство или ремонт на общински центрове, където гражданите могат да оставят работещи уреди, мебели или дрехи.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Закупуване на техника за почистване, поправка и подготовка на вещите за повторна употреба.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Информационни кампании сред населението.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Финансови параметри: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Общ наличен бюджет: 74 000 000 лв.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Краен срок: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Приемът стартира през второто тримесечие на 2026 г. с краен срок през третото тримесечие на 2026 г.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oo69t4kkwyzr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      7. Процедура „Подкрепа за заетост на безработни лица в селските    райони“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Програма: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Стратегически план за развитие на земеделието и селските райони 2023-2027 г. (СПРЗСР) – чрез подхода ВОМР (Водено от общностите местно развитие)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Правно основание и цели: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Намаляване на безработицата в отдалечените селски региони на страната, повишаване на квалификацията на местното население и осигуряване на устойчива заетост в уязвими общности.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Допустими бенефициенти: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Местни микро- и малки предприятия, земеделски производители и Местни инициативни групи (МИГ), опериращи на територията на съответната община.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Допустими дейности: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Разкриване на нови работни места в сферата на услугите, местното производство и селския туризъм.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Провеждане на професионални обучения и курсове за придобиване на ключови компетентности на наетите лица.</w:t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Покриване на разходи за възнаграждения и осигуровки на новонаетите лица за определен период (до 12 месеца).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Финансови параметри: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Максимален интензитет на безвъзмездната помощ: до 90% от допустимите разходи. Финансирането се осигурява по линия на Европейския земеделски фонд за развитие на селските райони (ЕЗФРСР).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Краен срок за кандидатстване: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Междинен прием чрез подмерките на местните МИГ-ове с краен срок за оценка на заявленията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30.06.2026 г.</w:t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9zkhnyqmyet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РАЗДЕЛ III: СРАВНИТЕЛЕН АНАЛИЗ И СТРАТЕГИЧЕСКИ ИЗВОДИ</w:t>
      </w:r>
    </w:p>
    <w:p w:rsidR="00000000" w:rsidDel="00000000" w:rsidP="00000000" w:rsidRDefault="00000000" w:rsidRPr="00000000" w14:paraId="00000066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 целите на проекта е изготвена сравнителна матрица на анализираните процедури, класифицирани по сектори и целеви групи: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Основни изводи:</w:t>
      </w:r>
    </w:p>
    <w:p w:rsidR="00000000" w:rsidDel="00000000" w:rsidP="00000000" w:rsidRDefault="00000000" w:rsidRPr="00000000" w14:paraId="00000067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2.2992125984252"/>
        <w:gridCol w:w="2016.6377952755909"/>
        <w:gridCol w:w="2453.8110236220477"/>
        <w:gridCol w:w="1988.433070866142"/>
        <w:gridCol w:w="1974.3307086614175"/>
        <w:tblGridChange w:id="0">
          <w:tblGrid>
            <w:gridCol w:w="592.2992125984252"/>
            <w:gridCol w:w="2016.6377952755909"/>
            <w:gridCol w:w="2453.8110236220477"/>
            <w:gridCol w:w="1988.433070866142"/>
            <w:gridCol w:w="1974.330708661417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Наименование на процедурата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Водещ бенефициент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Основен фокус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Финансиращ орган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„Въвеждане на зелени технологии в МСП“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МСП (Бизнес)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Зелен преход / Кръгова икономика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Министерство на иновациите и растежа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„Малки иновативни грантове за МСП“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МСП (Бизнес)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Иновации и дигитализация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Министерство на иновациите и растежа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„Подкрепа за ученици с таланти - Компонент 2“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Общини / Училища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Образование, STEM и спорт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Министерство на образованието и науката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„Създаване на условия за достъп до образование чрез преодоляване на бариери“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МИГ / Общини / Училища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Социална интеграция и равен достъп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Министерство на образованието и науката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Интервенция „Подкрепа за оперативни групи в рамките на ЕПИ-Агри“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Фермери + Научни институти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Агро-иновации и нови технологии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Държавен фонд „Земеделие“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„Мерки за изграждане на системи/центрове за подготовка за повторна употреба“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Български общини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Кръгова икономика / Управление на отпадъци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Министерство на околната среда и водите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3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„Подкрепа за заетост на безработни лица в селските райони“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Микропредприятия / МИГ / Фермери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Заетост, квалификация и човешки ресурси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360" w:lineRule="auto"/>
              <w:rPr/>
            </w:pPr>
            <w:r w:rsidDel="00000000" w:rsidR="00000000" w:rsidRPr="00000000">
              <w:rPr>
                <w:rtl w:val="0"/>
              </w:rPr>
              <w:t xml:space="preserve">Държавен фонд „Земеделие“</w:t>
            </w:r>
          </w:p>
        </w:tc>
      </w:tr>
    </w:tbl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Балансирано разпределение на ресурсите: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Към юни 2026 г. се наблюдава синергия между различните фондове. Бизнесът се подпомага технологично, докато публичният сектор (общините) получава сериозен ресурс за екологична и социална инфраструктура.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Засилен фокус върху партньорствата: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Процедури като ЕПИ-Агри (№5) и ВОМР (№4) задължават кандидатите да работят в коалиции (наука + бизнес или община + НПО). Това повишава устойчивостта на проектите.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Електронна достъпност: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Пълната дигитализация на процесите в ИСУН и СЕУ минимизира грешките при кандидатстване и ускорява процеса по верификация на разходите.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jhzon4nj6j8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ЗАКЛЮЧЕНИЕ</w:t>
      </w:r>
    </w:p>
    <w:p w:rsidR="00000000" w:rsidDel="00000000" w:rsidP="00000000" w:rsidRDefault="00000000" w:rsidRPr="00000000" w14:paraId="00000094">
      <w:pPr>
        <w:spacing w:after="240" w:before="24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Успешното усвояване на средствата от европейските програми в България зависи в голяма степен от проектната готовност и капацитета на бенефициентите. Настоящият анализ на шестте отворени процедури доказва, че към средата на 2026 г. съществуват реални, финансово обезпечени възможности за развитие както за частния сектор, така и за образователните и общински структури. Ключът към успешното финансиране се крие в стриктното спазване на Насоките за кандидатстване, навременното подаване на проектните предложения чрез електронните платформи и ясната формулировка на целите в съответствие с приоритетите на Европейския съюз.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3shvd3oayhs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ИЗПОЛЗВАНИ ИЗТОЧНИЦИ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Единен информационен портал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за обща информация за европейските структурни и инвестиционни фондове в България: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www.eufunds.bg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Информационна система за управление и наблюдение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 средствата от ЕС в България (ИСУН 2020 / ИСУН 2027):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rtl w:val="0"/>
          </w:rPr>
          <w:t xml:space="preserve">https://eumis2020.government.bg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Официален сайт на Държавен фонд „Земеделие“ (ДФЗ)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СЕУ: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www.dfz.bg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Изпълнителна агенция „Програма за образование“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Насоки за кандидатстване по Програма „Образование“ 2021-2027: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rtl w:val="0"/>
          </w:rPr>
          <w:t xml:space="preserve">https://sf.mon.bg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Министерство на иновациите и растежа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Условия за кандидатстване по ПКИП и ПНИИДИТ: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www.mig.government.bg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google.com/search?q=https://sf.mon.bg" TargetMode="External"/><Relationship Id="rId10" Type="http://schemas.openxmlformats.org/officeDocument/2006/relationships/hyperlink" Target="https://www.google.com/search?q=https://sf.mon.bg" TargetMode="External"/><Relationship Id="rId9" Type="http://schemas.openxmlformats.org/officeDocument/2006/relationships/hyperlink" Target="https://eumis2020.government.bg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eumis2020.government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