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COLEGIO PRESBITERIANO CERRITOS</w:t>
      </w:r>
    </w:p>
    <w:p>
      <w:pPr>
        <w:spacing w:after="600"/>
        <w:jc w:val="center"/>
      </w:pPr>
      <w:r>
        <w:rPr>
          <w:color w:val="444444"/>
          <w:sz w:val="22"/>
          <w:szCs w:val="22"/>
        </w:rPr>
        <w:t xml:space="preserve">Paraguay — Lambaré</w:t>
      </w:r>
    </w:p>
    <w:p>
      <w:pPr>
        <w:pBdr>
          <w:top w:val="single" w:color="922B21" w:sz="12"/>
        </w:pBdr>
        <w:shd w:fill="FADBD8" w:val="clear"/>
        <w:spacing w:after="0" w:before="200"/>
        <w:jc w:val="center"/>
      </w:pPr>
      <w:r>
        <w:rPr>
          <w:rFonts w:ascii="Arial" w:cs="Arial" w:eastAsia="Arial" w:hAnsi="Arial"/>
          <w:b/>
          <w:bCs/>
          <w:color w:val="922B21"/>
          <w:sz w:val="30"/>
          <w:szCs w:val="30"/>
        </w:rPr>
        <w:t xml:space="preserve">DOCUMENTO NORMATIVO DEL NIVEL</w:t>
      </w:r>
    </w:p>
    <w:p>
      <w:pPr>
        <w:pBdr>
          <w:bottom w:val="single" w:color="922B21" w:sz="12"/>
        </w:pBdr>
        <w:shd w:fill="FADBD8" w:val="clear"/>
        <w:spacing w:after="300"/>
        <w:jc w:val="center"/>
      </w:pPr>
      <w:r>
        <w:rPr>
          <w:rFonts w:ascii="Arial" w:cs="Arial" w:eastAsia="Arial" w:hAnsi="Arial"/>
          <w:b/>
          <w:bCs/>
          <w:color w:val="922B21"/>
          <w:sz w:val="36"/>
          <w:szCs w:val="36"/>
        </w:rPr>
        <w:t xml:space="preserve">SEGUNDO CICLO</w:t>
      </w:r>
    </w:p>
    <w:p>
      <w:pPr>
        <w:spacing w:after="80"/>
        <w:jc w:val="center"/>
      </w:pPr>
      <w:r>
        <w:rPr>
          <w:i/>
          <w:iCs/>
          <w:color w:val="333333"/>
          <w:sz w:val="24"/>
          <w:szCs w:val="24"/>
        </w:rPr>
        <w:t xml:space="preserve">Área de Tecnología e Informática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4° a 6° Grado de la Educación Escolar Básica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>Versión 2.0 — Documento Normativo del Nivel · ajustado al Plan Maestro v4.0</w:t>
      </w:r>
    </w:p>
    <w:p>
      <w:pPr>
        <w:spacing w:after="80"/>
        <w:jc w:val="center"/>
      </w:pPr>
      <w:r>
        <w:rPr>
          <w:color w:val="444444"/>
          <w:sz w:val="22"/>
          <w:szCs w:val="22"/>
        </w:rPr>
        <w:t xml:space="preserve">Junio de 2026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Elaboración: Lic. Rodrigo Godoy — Dirección Académica y Área de Informática y Tecnología Educativa</w:t>
      </w:r>
    </w:p>
    <w:p>
      <w:pPr>
        <w:spacing w:after="80"/>
        <w:jc w:val="center"/>
      </w:pPr>
      <w:r>
        <w:rPr>
          <w:i/>
          <w:iCs/>
          <w:color w:val="922B21"/>
          <w:sz w:val="20"/>
          <w:szCs w:val="20"/>
        </w:rPr>
        <w:t>Marco normativo: Plan Maestro Institucional v4.0  |  Res. DGTCEEB y EM N° 2786/2026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Marco normativo de referencia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>Este documento normativo deriva directamente del Plan Maestro Institucional de Tecnología Educativa e Integración de la Inteligencia Artificial (versión 4.0, junio de 2026) y debe leerse en coherencia con él. Las decisiones de diseño curricular, metodológico y evaluativo plasmadas en este documento pueden trazarse hasta los instrumentos siguientes:</w:t>
      </w:r>
    </w:p>
    <w:p>
      <w:r>
        <w:rPr>
          <w:rFonts w:ascii="Arial" w:hAnsi="Arial"/>
          <w:b/>
          <w:highlight w:val="yellow"/>
        </w:rPr>
        <w:t xml:space="preserve">Nota de actualización (v4.0). </w:t>
      </w:r>
      <w:r>
        <w:rPr>
          <w:rFonts w:ascii="Arial" w:hAnsi="Arial"/>
          <w:b w:val="0"/>
          <w:highlight w:val="yellow"/>
        </w:rPr>
        <w:t>Este documento se ajustó al Plan Maestro Institucional en su versión 4.0: se actualizó la referencia al documento rector, se incorporaron los apartados de articulación bilingüe (castellano-guaraní) y de atención a la diversidad e inclusión (ANEAE/DUA), y se armonizaron con el rector los datos consignados como pendientes de relevamiento.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1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Año</w:t>
            </w:r>
          </w:p>
        </w:tc>
        <w:tc>
          <w:tcPr>
            <w:tcW w:type="dxa" w:w="45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Aporte al nivel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>Plan Maestro Institucional de Tecnología Educativa e IA — v4.0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Documento rector del que emana este normativo. Define perfiles de egreso, articulación vertical y directivas pedagógicas.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Res. DGTCEEB y EM N° 2786/2026 — Diseño Curricular BTI Informática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curricular oficial del Nivel Medio. Referencia de llegada de toda la trayectoria.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DigComp 2.2 — Comisión Europea, JRC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2022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Marco de progresión de competencias digitales A1-C2. Referencia para perfiles de egreso.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ISTE Standards v4.02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2024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Estándares de estudiantes y educadores en tecnología.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AI4K12 — 5 Big Ideas in AI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2019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Gradualidad de la alfabetización en IA por etapas K-12.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UNESCO — Guía IA generativa en educación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2023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Ética, edad mínima de uso autónomo (13 años), protección de datos.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N° 7593/2025 de Protección de Datos Personales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2025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Protección reforzada de datos de menores. Exigible desde nov. 2027.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Ley General de Educación N° 1264/98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1998</w:t>
            </w:r>
          </w:p>
        </w:tc>
        <w:tc>
          <w:tcPr>
            <w:tcW w:type="dxa" w:w="4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Fines nacionales de la educación paraguaya.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Caracterización del nivel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Segundo Ciclo consolida las bases digitales adquiridas en el Primer Ciclo y prepara al estudiante para el salto cualitativo del Tercer Ciclo: la transición del bloque visual al código textual. Su contribución central es el dominio de las estructuras de control —bucles, condicionales y eventos— que sostendrán todo programa posterior, junto con la primera experiencia de entrenamiento de modelos de IA simple.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nivel usa la sala de informática de primaria (15 PCs). La ratio de 2 alumnos por PC continúa siendo la norma, con mayor autonomía que en el Primer Ciclo.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c>
          <w:tcPr>
            <w:tcW w:type="dxa" w:w="2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 institucional</w:t>
            </w:r>
          </w:p>
        </w:tc>
        <w:tc>
          <w:tcPr>
            <w:tcW w:type="dxa" w:w="7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Grados que comprende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grado · 5° grado · 6° grado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hora semanal por grado · aprox. 38 horas anuales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Primaria (15 PCs, Windows 10/11, 8 GB RAM, Chrome)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Herramientas principales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 avanzado, Agente de Minecraft Education, Teachable Machine (Google)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Herramienta IA</w:t>
            </w:r>
          </w:p>
        </w:tc>
        <w:tc>
          <w:tcPr>
            <w:tcW w:type="dxa" w:w="7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Teachable Machine (https://teachablemachine.withgoogle.com) — entrenamiento de modelos visuales, sin registro requerido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Articulación vertical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3.1. Lo que el Segundo Ciclo recibe del Primer Ciclo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Bloques básicos: secuencias, bucles simples, eventos simples.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Navegación autónoma supervisada en plataformas educativas.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Comprensión de instrucción como concepto fundamental.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Ciudadanía digital inicial: normas de la sala, cuidado de equipos.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3.2. Lo que el Segundo Ciclo entrega al Tercer Ciclo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Competencia entregada</w:t>
            </w:r>
          </w:p>
        </w:tc>
        <w:tc>
          <w:tcPr>
            <w:tcW w:type="dxa" w:w="6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Estructuras de control dominadas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Bucles (repetir N veces, repetir hasta que), condicionales (si/sino) y eventos múltiples en Scratch.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Automatización básica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Programación del Agente de Minecraft para automatizar construcción o extracción de recursos.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Primera experiencia con IA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Entrena y evalúa un modelo visual simple en Teachable Machine. Comprende el concepto de clasificación por datos.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Producción de contenidos digitales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Crea proyectos multimedia, presentaciones y animaciones con criterio de diseño básico.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 consolidada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Aplica normas de privacidad en línea, diferencia información confiable, reconoce los derechos de autor básicos.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Perfil de egreso del Segundo Ciclo</w:t>
      </w:r>
    </w:p>
    <w:p>
      <w:r>
        <w:rPr>
          <w:rFonts w:ascii="Arial" w:hAnsi="Arial"/>
          <w:b/>
          <w:highlight w:val="yellow"/>
        </w:rPr>
        <w:t xml:space="preserve">Nota de alcance del perfil. </w:t>
      </w:r>
      <w:r>
        <w:rPr>
          <w:rFonts w:ascii="Arial" w:hAnsi="Arial"/>
          <w:b w:val="0"/>
          <w:highlight w:val="yellow"/>
        </w:rPr>
        <w:t>Conforme al Plan Maestro v4.0, con una carga de 1 h/semana los descriptores de egreso de este nivel se entienden como competencias de iniciación y aproximación, no de dominio. El dominio se consolida en los niveles de mayor carga horaria (Tercer Ciclo y Nivel Medio).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72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Competencias observables al egreso del Segundo Ciclo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Pensamiento computacional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Diseña y depura programas con bucles, condicionales y eventos para resolver problemas interdisciplinarios. Automatiza tareas simples en entornos virtuales. Reconoce patrones repetitivos y los traduce en estructuras de repetición. Aplica la descomposición de problemas en sub-tareas.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Competencia digital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Produce contenidos digitales básicos: presentaciones, animaciones y simulaciones sencillas. Gestiona archivos y carpetas con criterio de organización. Usa plataformas educativas de manera semiautónoma. Navega internet con criterio básico de seguridad.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la IA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Entrena y evalúa modelos visuales simples (Teachable Machine). Identifica nociones básicas de sesgo en sistemas automatizados. Comprende cómo una máquina aprende a clasificar a partir de datos. Reconoce ejemplos de IA en su vida cotidiana.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</w:t>
            </w:r>
          </w:p>
        </w:tc>
        <w:tc>
          <w:tcPr>
            <w:tcW w:type="dxa" w:w="7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Reconoce la propiedad intelectual y los derechos de autor básicos. Aplica normas básicas de privacidad en línea. Distingue información digital confiable usando criterios verificables. Actúa con respeto en entornos digitales colaborativos.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Lineamientos metodológicos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5.1. Aprendizaje basado en proyectos con conexión transversal</w:t>
      </w:r>
    </w:p>
    <w:p>
      <w:pPr>
        <w:spacing w:after="120"/>
        <w:jc w:val="both"/>
      </w:pPr>
      <w:r>
        <w:rPr>
          <w:color w:val="000000"/>
          <w:sz w:val="22"/>
          <w:szCs w:val="22"/>
        </w:rPr>
        <w:t xml:space="preserve">El Segundo Ciclo profundiza el enfoque de proyectos: cada bimestre, el proyecto de tecnología se conecta con un área curricular (ciencias naturales, ciencias sociales, matemática). Esto no es un accesorio sino un principio: la tecnología se aprende mejor cuando sirve para algo.</w:t>
      </w:r>
    </w:p>
    <w:p>
      <w:pPr>
        <w:pStyle w:val="Heading2"/>
        <w:pBdr>
          <w:bottom w:val="single" w:color="922B21" w:sz="4"/>
        </w:pBdr>
        <w:spacing w:after="140" w:before="280"/>
      </w:pPr>
      <w:r>
        <w:rPr>
          <w:rFonts w:ascii="Arial" w:cs="Arial" w:eastAsia="Arial" w:hAnsi="Arial"/>
          <w:b/>
          <w:bCs/>
          <w:color w:val="922B21"/>
          <w:sz w:val="26"/>
          <w:szCs w:val="26"/>
        </w:rPr>
        <w:t xml:space="preserve">5.2. Progresión por grado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60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Grado</w:t>
            </w:r>
          </w:p>
        </w:tc>
        <w:tc>
          <w:tcPr>
            <w:tcW w:type="dxa" w:w="19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Foco central</w:t>
            </w:r>
          </w:p>
        </w:tc>
        <w:tc>
          <w:tcPr>
            <w:tcW w:type="dxa" w:w="60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Herramientas y progresión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Condicionales y eventos múltiples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si/sino, múltiples eventos simultáneos, variables simples. Minecraft Education: construcción estructurada con Agente básico.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5°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Automatización y IA básica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Agente de Minecraft: automatización de tareas (plantar, construir en patrón). Teachable Machine: entrenar clasificador de imágenes o sonidos. Introducción a sesgos.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6° grado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Proyectos integradores y ciudadanía</w:t>
            </w:r>
          </w:p>
        </w:tc>
        <w:tc>
          <w:tcPr>
            <w:tcW w:type="dxa" w:w="6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Scratch multietapa (juego, simulación o historia interactiva). Herramientas de presentación digital (Canva, Google Slides). Análisis crítico de información en línea.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Lineamientos de evaluación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100"/>
        <w:gridCol w:w="2760"/>
      </w:tblGrid>
      <w:tr>
        <w:tc>
          <w:tcPr>
            <w:tcW w:type="dxa" w:w="2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Instrumento</w:t>
            </w:r>
          </w:p>
        </w:tc>
        <w:tc>
          <w:tcPr>
            <w:tcW w:type="dxa" w:w="4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 que evalúa</w:t>
            </w:r>
          </w:p>
        </w:tc>
        <w:tc>
          <w:tcPr>
            <w:tcW w:type="dxa" w:w="27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Rúbrica de proyecto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Funcionalidad, uso de estructuras de control, creatividad, articulación transversal.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cierre de cada unidad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Cuestionario de reflexión IA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Comprensión de cómo Teachable Machine clasificó las imágenes; identificación de errores del modelo.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Al concluir la unidad de IA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Portafolio digital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Colección de proyectos del año; evidencia del progreso.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Semestral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Autoevaluación y coevaluación</w:t>
            </w:r>
          </w:p>
        </w:tc>
        <w:tc>
          <w:tcPr>
            <w:tcW w:type="dxa" w:w="4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Valoración del propio proceso y del trabajo del compañero/a usando rúbrica simple.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Bimestral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Distribución de contenidos por bimestre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1700"/>
        <w:gridCol w:w="1700"/>
        <w:gridCol w:w="2860"/>
      </w:tblGrid>
      <w:tr>
        <w:tc>
          <w:tcPr>
            <w:tcW w:type="dxa" w:w="1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Bimestre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4° grado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5° grado</w:t>
            </w:r>
          </w:p>
        </w:tc>
        <w:tc>
          <w:tcPr>
            <w:tcW w:type="dxa" w:w="1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6° grado</w:t>
            </w:r>
          </w:p>
        </w:tc>
        <w:tc>
          <w:tcPr>
            <w:tcW w:type="dxa" w:w="2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Conexión transversal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Scratch: repaso bucles. Nuevos condicionales (si/sino). Proyecto: laberinto interactivo.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Minecraft Education: construcción con Agente básico. Comandos de movimiento.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Diagnóstico. Proyecto de presentación digital sobre tema de Historia. Herramientas de diseño.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Matemática (4°), Historia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2°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variables simples. Contador de puntos. Múltiples sprites interactuando.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Agente Minecraft: bucle de plantación o construcción repetitiva. Automatización de tarea real.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proyecto multimedia interactivo (quiz de preguntas). Conexión con Ciencias Naturales.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Ciencias (5°), Ciencias Nat.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Scratch: proyecto de juego o simulación con condicional y puntuación. Conexión con Matemática.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Teachable Machine: entrenar clasificador de imágenes (animales, formas). Evaluación del modelo. ¿Por qué se equivocó?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Ciudadanía digital: evaluación de fuentes en línea. Fake news. Derechos de autor y licencias CC.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Matemática (4°), Ética (6°)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4° Bim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final libre en Scratch: juego original presentado a la clase. Evaluación por rúbrica.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integrador: diseñar una 'máquina clasificadora' en Teachable Machine para resolver un problema real del aula.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Proyecto final: creación libre con herramienta elegida (Scratch, Canva, presentación). Muestra a la comunidad.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Integrador con área elegida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pBdr>
          <w:bottom w:val="single" w:color="2E75B6" w:sz="6"/>
        </w:pBdr>
        <w:shd w:fill="922B21" w:val="clear"/>
        <w:spacing w:after="180" w:before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Recursos y carga horaria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Información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Carga horaria semanal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 hora por grado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Horas anuales aprox.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38 horas por grado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asignada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Sala de Informática — Primaria (15 PCs, Windows 10/11, 8 GB RAM, Chrome)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Conectividad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150 Mbps — suficiente para Scratch, Teachable Machine y Minecraft Education con 15 usuarios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Software clave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Scratch (en línea o desktop), Minecraft Education (licencia requerida), Teachable Machine (sin registro)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institucional</w:t>
            </w:r>
          </w:p>
        </w:tc>
        <w:tc>
          <w:tcPr>
            <w:tcW w:type="dxa" w:w="5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40"/>
              <w:jc w:val="left"/>
            </w:pPr>
            <w:r>
              <w:rPr>
                <w:color w:val="000000"/>
                <w:sz w:val="20"/>
                <w:szCs w:val="20"/>
              </w:rPr>
              <w:t xml:space="preserve">Coordinación 2.° Ciclo (Prof. Alma Ovelar)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  <w:highlight w:val="yellow"/>
        </w:rPr>
        <w:t>Articulación con el componente bilingüe (castellano-guaraní)</w:t>
      </w:r>
    </w:p>
    <w:p>
      <w:pPr>
        <w:spacing w:after="120"/>
      </w:pPr>
      <w:r>
        <w:rPr>
          <w:rFonts w:ascii="Arial" w:hAnsi="Arial"/>
          <w:b w:val="0"/>
          <w:highlight w:val="yellow"/>
        </w:rPr>
        <w:t>En coherencia con el carácter bilingüe del sistema educativo nacional, las consignas y las producciones digitales del nivel (animaciones, presentaciones, proyectos) pueden realizarse en castellano o guaraní, en articulación con el área de Comunicación. La competencia digital refuerza la competencia comunicativa bilingüe del estudiante; no la desplaza.</w:t>
      </w:r>
    </w:p>
    <w:p>
      <w:pPr>
        <w:spacing w:before="280" w:after="80"/>
      </w:pPr>
      <w:r>
        <w:rPr>
          <w:rFonts w:ascii="Arial" w:hAnsi="Arial"/>
          <w:b/>
          <w:color w:val="000000"/>
          <w:sz w:val="28"/>
          <w:highlight w:val="yellow"/>
        </w:rPr>
        <w:t>Atención a la diversidad e inclusión (ANEAE y DUA)</w:t>
      </w:r>
    </w:p>
    <w:p>
      <w:pPr>
        <w:spacing w:after="120"/>
      </w:pPr>
      <w:r>
        <w:rPr>
          <w:rFonts w:ascii="Arial" w:hAnsi="Arial"/>
          <w:b w:val="0"/>
          <w:highlight w:val="yellow"/>
        </w:rPr>
        <w:t>El nivel aplica los principios del Diseño Universal para el Aprendizaje (DUA): múltiples formas de representación de los contenidos, de expresión (el estudiante puede evidenciar una competencia mediante código, diagrama de flujo o explicación oral) y de implicación. Los ajustes razonables para estudiantes con ANEAE (Ley N° 5136/2013) se coordinan con el Departamento de Psicología (Lic. Lea Cousirat) y la Dirección de Calidad Educativa, y no eximen del perfil de egreso, sino que habilitan vías equivalentes para alcanzarlo.</w:t>
      </w:r>
    </w:p>
    <w:p>
      <w:pPr>
        <w:spacing w:before="200" w:after="240"/>
      </w:pPr>
      <w:r>
        <w:rPr>
          <w:rFonts w:ascii="Arial" w:hAnsi="Arial"/>
          <w:b/>
          <w:highlight w:val="yellow"/>
        </w:rPr>
        <w:t xml:space="preserve">Nota de coherencia (datos pendientes de relevamiento). </w:t>
      </w:r>
      <w:r>
        <w:rPr>
          <w:rFonts w:ascii="Arial" w:hAnsi="Arial"/>
          <w:b w:val="0"/>
          <w:highlight w:val="yellow"/>
        </w:rPr>
        <w:t>El Plan Maestro v4.0 lista como pendientes de confirmación las especificaciones técnicas de los equipos, el ancho de banda de internet y los costos referenciales (§16). Las cifras consignadas en este documento (capacidad de los equipos, conectividad y precios de mercado) son indicativas y deben confirmarse en el relevamiento formal y cotizarse al momento de la compra.</w:t>
      </w:r>
    </w:p>
    <w:p>
      <w:pPr>
        <w:spacing w:after="40"/>
        <w:jc w:val="left"/>
      </w:pPr>
      <w:r>
        <w:rPr>
          <w:b/>
          <w:bCs/>
          <w:sz w:val="22"/>
          <w:szCs w:val="22"/>
        </w:rPr>
        <w:t xml:space="preserve">Lic. Rodrigo Godoy — Dirección Académica  |  Junio 2026</w:t>
      </w:r>
    </w:p>
    <w:p>
      <w:pPr>
        <w:spacing w:after="200"/>
        <w:jc w:val="left"/>
      </w:pPr>
      <w:r>
        <w:rPr>
          <w:sz w:val="22"/>
          <w:szCs w:val="22"/>
        </w:rPr>
        <w:t xml:space="preserve">Aprobado por: ______________________________  Fecha: ____________  (Dirección General)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color w:val="555555"/>
        <w:sz w:val="18"/>
        <w:szCs w:val="18"/>
      </w:rPr>
      <w:t xml:space="preserve">Pag.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8"/>
        <w:szCs w:val="18"/>
      </w:rPr>
      <w:t xml:space="preserve"> de </w:t>
    </w:r>
    <w:r>
      <w:rPr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555555"/>
        <w:sz w:val="18"/>
        <w:szCs w:val="18"/>
      </w:rPr>
      <w:t xml:space="preserve">  |  Segundo Ciclo — Área de Tecnología  |  Uso institucional — Lic. Rodrigo Godoy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/>
      </w:pBdr>
    </w:pPr>
    <w:r>
      <w:rPr>
        <w:color w:val="555555"/>
        <w:sz w:val="18"/>
        <w:szCs w:val="18"/>
      </w:rPr>
      <w:t xml:space="preserve">COLEGIO PRESBITERIANO CERRITOS  |  Documento Normativo — Segundo Ciclo (4° a 6°)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922B2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2026-06-24T18:39:53.807Z</dcterms:created>
  <dcterms:modified xsi:type="dcterms:W3CDTF">2026-06-24T18:39:53.807Z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