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68FF6" w14:textId="77777777" w:rsidR="006F5458" w:rsidRDefault="002D2021">
      <w:pPr>
        <w:pStyle w:val="a5"/>
      </w:pPr>
      <w:r>
        <w:t>NPS</w:t>
      </w:r>
      <w:r>
        <w:rPr>
          <w:rFonts w:ascii="Arial Unicode MS" w:hAnsi="Arial Unicode MS" w:hint="eastAsia"/>
          <w:b w:val="0"/>
          <w:bCs w:val="0"/>
        </w:rPr>
        <w:t>介紹與範例</w:t>
      </w:r>
    </w:p>
    <w:p w14:paraId="051DA09F" w14:textId="77777777" w:rsidR="006F5458" w:rsidRDefault="006F5458"/>
    <w:p w14:paraId="5CA7957A" w14:textId="77777777" w:rsidR="006F5458" w:rsidRDefault="002D2021">
      <w:r>
        <w:rPr>
          <w:sz w:val="24"/>
          <w:szCs w:val="24"/>
        </w:rPr>
        <w:tab/>
      </w:r>
      <w:r>
        <w:rPr>
          <w:rFonts w:ascii="Arial Unicode MS" w:hAnsi="Arial Unicode MS" w:hint="eastAsia"/>
          <w:sz w:val="24"/>
          <w:szCs w:val="24"/>
        </w:rPr>
        <w:t>淨推薦值（</w:t>
      </w:r>
      <w:r>
        <w:rPr>
          <w:sz w:val="24"/>
          <w:szCs w:val="24"/>
          <w:lang w:val="de-DE"/>
        </w:rPr>
        <w:t>Net Promoter Score</w:t>
      </w:r>
      <w:r>
        <w:rPr>
          <w:rFonts w:ascii="Arial Unicode MS" w:hAnsi="Arial Unicode MS" w:hint="eastAsia"/>
          <w:sz w:val="24"/>
          <w:szCs w:val="24"/>
        </w:rPr>
        <w:t>，簡稱</w:t>
      </w:r>
      <w:r>
        <w:rPr>
          <w:sz w:val="24"/>
          <w:szCs w:val="24"/>
        </w:rPr>
        <w:t>NPS</w:t>
      </w:r>
      <w:r>
        <w:rPr>
          <w:rFonts w:ascii="Arial Unicode MS" w:hAnsi="Arial Unicode MS" w:hint="eastAsia"/>
          <w:sz w:val="24"/>
          <w:szCs w:val="24"/>
        </w:rPr>
        <w:t>），是一種計量用戶將會向其他人推薦某產品或是某企業的可能性指數，相較於傳統的客戶滿意度調查問卷相比，是當今受到高度推崇的一種忠誠度測量基準。淨推薦值最早是由</w:t>
      </w:r>
      <w:r>
        <w:rPr>
          <w:sz w:val="24"/>
          <w:szCs w:val="24"/>
          <w:lang w:val="de-DE"/>
        </w:rPr>
        <w:t>Fred Reichheld</w:t>
      </w:r>
      <w:r>
        <w:rPr>
          <w:rFonts w:ascii="Arial Unicode MS" w:hAnsi="Arial Unicode MS" w:hint="eastAsia"/>
          <w:sz w:val="24"/>
          <w:szCs w:val="24"/>
        </w:rPr>
        <w:t>（</w:t>
      </w:r>
      <w:r>
        <w:rPr>
          <w:sz w:val="24"/>
          <w:szCs w:val="24"/>
        </w:rPr>
        <w:t>2003</w:t>
      </w:r>
      <w:r>
        <w:rPr>
          <w:rFonts w:ascii="Arial Unicode MS" w:hAnsi="Arial Unicode MS" w:hint="eastAsia"/>
          <w:sz w:val="24"/>
          <w:szCs w:val="24"/>
        </w:rPr>
        <w:t>）在哈佛大學商務回顧（</w:t>
      </w:r>
      <w:r>
        <w:rPr>
          <w:sz w:val="24"/>
          <w:szCs w:val="24"/>
        </w:rPr>
        <w:t>Harvard Business Review</w:t>
      </w:r>
      <w:r>
        <w:rPr>
          <w:rFonts w:ascii="Arial Unicode MS" w:hAnsi="Arial Unicode MS" w:hint="eastAsia"/>
          <w:sz w:val="24"/>
          <w:szCs w:val="24"/>
        </w:rPr>
        <w:t>）中發表的「</w:t>
      </w:r>
      <w:r>
        <w:rPr>
          <w:sz w:val="24"/>
          <w:szCs w:val="24"/>
        </w:rPr>
        <w:t>The one number you need to grow</w:t>
      </w:r>
      <w:r>
        <w:rPr>
          <w:rFonts w:ascii="Arial Unicode MS" w:hAnsi="Arial Unicode MS" w:hint="eastAsia"/>
          <w:sz w:val="24"/>
          <w:szCs w:val="24"/>
        </w:rPr>
        <w:t>」提出，淨推薦值讓企業可以僅僅透過一個問題</w:t>
      </w:r>
      <w:r>
        <w:rPr>
          <w:sz w:val="24"/>
          <w:szCs w:val="24"/>
        </w:rPr>
        <w:t>—</w:t>
      </w:r>
      <w:r>
        <w:rPr>
          <w:rFonts w:ascii="Arial Unicode MS" w:hAnsi="Arial Unicode MS" w:hint="eastAsia"/>
          <w:sz w:val="24"/>
          <w:szCs w:val="24"/>
        </w:rPr>
        <w:t>「你向朋友推薦這個產品的可能性有多大？」</w:t>
      </w:r>
      <w:r>
        <w:rPr>
          <w:rFonts w:ascii="Arial Unicode MS" w:hAnsi="Arial Unicode MS" w:hint="eastAsia"/>
          <w:sz w:val="24"/>
          <w:szCs w:val="24"/>
        </w:rPr>
        <w:t>來評估公司在創造積極、可重覆的用戶體驗方面的效率，透過</w:t>
      </w:r>
      <w:r>
        <w:rPr>
          <w:rFonts w:ascii="Arial Unicode MS" w:hAnsi="Arial Unicode MS" w:hint="eastAsia"/>
          <w:sz w:val="24"/>
          <w:szCs w:val="24"/>
          <w:lang w:val="zh-CN" w:eastAsia="zh-CN"/>
        </w:rPr>
        <w:t>有效地量化</w:t>
      </w:r>
      <w:r>
        <w:rPr>
          <w:rFonts w:ascii="Arial Unicode MS" w:hAnsi="Arial Unicode MS" w:hint="eastAsia"/>
          <w:sz w:val="24"/>
          <w:szCs w:val="24"/>
        </w:rPr>
        <w:t>用戶忠誠度，反映出公司產品的用戶</w:t>
      </w:r>
      <w:r>
        <w:rPr>
          <w:sz w:val="24"/>
          <w:szCs w:val="24"/>
        </w:rPr>
        <w:t>(</w:t>
      </w:r>
      <w:r>
        <w:rPr>
          <w:rFonts w:ascii="Arial Unicode MS" w:hAnsi="Arial Unicode MS" w:hint="eastAsia"/>
          <w:sz w:val="24"/>
          <w:szCs w:val="24"/>
        </w:rPr>
        <w:t>或公司內部的管理者</w:t>
      </w:r>
      <w:r>
        <w:rPr>
          <w:sz w:val="24"/>
          <w:szCs w:val="24"/>
        </w:rPr>
        <w:t>)</w:t>
      </w:r>
      <w:r>
        <w:rPr>
          <w:rFonts w:ascii="Arial Unicode MS" w:hAnsi="Arial Unicode MS" w:hint="eastAsia"/>
          <w:sz w:val="24"/>
          <w:szCs w:val="24"/>
        </w:rPr>
        <w:t>將公司及其產品推薦給他人的意願，從而擬定明智的商業策略。</w:t>
      </w:r>
    </w:p>
    <w:p w14:paraId="241E5F7C" w14:textId="77777777" w:rsidR="006F5458" w:rsidRDefault="006F5458"/>
    <w:p w14:paraId="3C41DCAF" w14:textId="77777777" w:rsidR="006F5458" w:rsidRDefault="002D2021">
      <w:r>
        <w:rPr>
          <w:sz w:val="24"/>
          <w:szCs w:val="24"/>
        </w:rPr>
        <w:tab/>
      </w:r>
      <w:r>
        <w:rPr>
          <w:rFonts w:ascii="Arial Unicode MS" w:hAnsi="Arial Unicode MS" w:hint="eastAsia"/>
          <w:sz w:val="24"/>
          <w:szCs w:val="24"/>
        </w:rPr>
        <w:t>當對用戶提出淨推薦分數問題時，實質上，是在問用戶是否願意花時間及自己的信用來為某產品或企業提供正面評價，反映出該用戶對某產品或企業的忠誠度，而用戶的忠誠度是影響企業利潤成長的關鍵因素，</w:t>
      </w:r>
      <w:r>
        <w:rPr>
          <w:sz w:val="24"/>
          <w:szCs w:val="24"/>
        </w:rPr>
        <w:t>Fred</w:t>
      </w:r>
      <w:r>
        <w:rPr>
          <w:rFonts w:ascii="Arial Unicode MS" w:hAnsi="Arial Unicode MS" w:hint="eastAsia"/>
          <w:sz w:val="24"/>
          <w:szCs w:val="24"/>
        </w:rPr>
        <w:t>的團隊發現，有很高用戶忠誠度的企業通常能以競爭企業的兩倍速度來提高利潤，這說明了口碑行銷的重要性。尤其在</w:t>
      </w:r>
      <w:r>
        <w:rPr>
          <w:sz w:val="24"/>
          <w:szCs w:val="24"/>
        </w:rPr>
        <w:t>Web2.0</w:t>
      </w:r>
      <w:r>
        <w:rPr>
          <w:rFonts w:ascii="Arial Unicode MS" w:hAnsi="Arial Unicode MS" w:hint="eastAsia"/>
          <w:sz w:val="24"/>
          <w:szCs w:val="24"/>
        </w:rPr>
        <w:t>之後的現在，資訊在互聯網</w:t>
      </w:r>
      <w:r>
        <w:rPr>
          <w:rFonts w:ascii="Arial Unicode MS" w:hAnsi="Arial Unicode MS" w:hint="eastAsia"/>
          <w:sz w:val="24"/>
          <w:szCs w:val="24"/>
        </w:rPr>
        <w:t>中被快速的傳播及擴散，人們可以透過社交管道和線上論壇與評論非常容易且快速地接受各式各樣的消息，可以說口耳相傳的威力及效應因著互聯網的發展被大大的激發。</w:t>
      </w:r>
    </w:p>
    <w:p w14:paraId="45BBE7BC" w14:textId="77777777" w:rsidR="006F5458" w:rsidRDefault="006F5458"/>
    <w:p w14:paraId="54B6000C" w14:textId="77777777" w:rsidR="006F5458" w:rsidRDefault="002D2021">
      <w:pPr>
        <w:rPr>
          <w:rFonts w:ascii="Arial Unicode MS" w:hAnsi="Arial Unicode MS"/>
          <w:sz w:val="24"/>
          <w:szCs w:val="24"/>
        </w:rPr>
      </w:pPr>
      <w:r>
        <w:rPr>
          <w:sz w:val="24"/>
          <w:szCs w:val="24"/>
        </w:rPr>
        <w:tab/>
      </w:r>
      <w:r>
        <w:rPr>
          <w:rFonts w:ascii="Arial Unicode MS" w:hAnsi="Arial Unicode MS" w:hint="eastAsia"/>
          <w:sz w:val="24"/>
          <w:szCs w:val="24"/>
        </w:rPr>
        <w:t>淨推薦值的計算方式為，藉由詢問用戶單一問題：「您對親朋好友推薦此公司的可能性有多大？」讓用戶在</w:t>
      </w:r>
      <w:r>
        <w:rPr>
          <w:sz w:val="24"/>
          <w:szCs w:val="24"/>
        </w:rPr>
        <w:t>0-10</w:t>
      </w:r>
      <w:r>
        <w:rPr>
          <w:rFonts w:ascii="Arial Unicode MS" w:hAnsi="Arial Unicode MS" w:hint="eastAsia"/>
          <w:sz w:val="24"/>
          <w:szCs w:val="24"/>
        </w:rPr>
        <w:t>分的評分機制中對問題給分，根據用戶的評分將用戶歸類為以下三種類型：</w:t>
      </w:r>
    </w:p>
    <w:p w14:paraId="652CA3A6" w14:textId="77777777" w:rsidR="00562D9E" w:rsidRDefault="00562D9E">
      <w:pPr>
        <w:rPr>
          <w:rFonts w:hint="eastAsia"/>
        </w:rPr>
      </w:pPr>
    </w:p>
    <w:p w14:paraId="7C8F0898" w14:textId="77777777" w:rsidR="006F5458" w:rsidRDefault="002D2021">
      <w:pPr>
        <w:numPr>
          <w:ilvl w:val="0"/>
          <w:numId w:val="2"/>
        </w:numPr>
        <w:rPr>
          <w:sz w:val="24"/>
          <w:szCs w:val="24"/>
        </w:rPr>
      </w:pPr>
      <w:r>
        <w:rPr>
          <w:sz w:val="24"/>
          <w:szCs w:val="24"/>
        </w:rPr>
        <w:t xml:space="preserve">0 </w:t>
      </w:r>
      <w:r>
        <w:rPr>
          <w:rFonts w:ascii="Arial Unicode MS" w:hAnsi="Arial Unicode MS" w:hint="eastAsia"/>
          <w:sz w:val="24"/>
          <w:szCs w:val="24"/>
          <w:lang w:val="zh-CN" w:eastAsia="zh-CN"/>
        </w:rPr>
        <w:t>到</w:t>
      </w:r>
      <w:r>
        <w:rPr>
          <w:sz w:val="24"/>
          <w:szCs w:val="24"/>
        </w:rPr>
        <w:t xml:space="preserve"> 6 </w:t>
      </w:r>
      <w:r>
        <w:rPr>
          <w:rFonts w:ascii="Arial Unicode MS" w:hAnsi="Arial Unicode MS" w:hint="eastAsia"/>
          <w:sz w:val="24"/>
          <w:szCs w:val="24"/>
        </w:rPr>
        <w:t>分</w:t>
      </w:r>
      <w:r>
        <w:rPr>
          <w:rFonts w:ascii="Arial Unicode MS" w:hAnsi="Arial Unicode MS" w:hint="eastAsia"/>
          <w:sz w:val="24"/>
          <w:szCs w:val="24"/>
        </w:rPr>
        <w:t>：批評型，屬於不滿意的客戶，會透過口耳相傳的負面言論，對產品或企業造成傷害。</w:t>
      </w:r>
    </w:p>
    <w:p w14:paraId="1649A1A3" w14:textId="77777777" w:rsidR="006F5458" w:rsidRDefault="002D2021">
      <w:pPr>
        <w:numPr>
          <w:ilvl w:val="0"/>
          <w:numId w:val="2"/>
        </w:numPr>
        <w:rPr>
          <w:sz w:val="24"/>
          <w:szCs w:val="24"/>
        </w:rPr>
      </w:pPr>
      <w:r>
        <w:rPr>
          <w:sz w:val="24"/>
          <w:szCs w:val="24"/>
        </w:rPr>
        <w:t xml:space="preserve">7 </w:t>
      </w:r>
      <w:r>
        <w:rPr>
          <w:rFonts w:ascii="Arial Unicode MS" w:hAnsi="Arial Unicode MS" w:hint="eastAsia"/>
          <w:sz w:val="24"/>
          <w:szCs w:val="24"/>
          <w:lang w:val="zh-CN" w:eastAsia="zh-CN"/>
        </w:rPr>
        <w:t>到</w:t>
      </w:r>
      <w:r>
        <w:rPr>
          <w:sz w:val="24"/>
          <w:szCs w:val="24"/>
        </w:rPr>
        <w:t xml:space="preserve"> 8 </w:t>
      </w:r>
      <w:r>
        <w:rPr>
          <w:rFonts w:ascii="Arial Unicode MS" w:hAnsi="Arial Unicode MS" w:hint="eastAsia"/>
          <w:sz w:val="24"/>
          <w:szCs w:val="24"/>
        </w:rPr>
        <w:t>分</w:t>
      </w:r>
      <w:r>
        <w:rPr>
          <w:rFonts w:ascii="Arial Unicode MS" w:hAnsi="Arial Unicode MS" w:hint="eastAsia"/>
          <w:sz w:val="24"/>
          <w:szCs w:val="24"/>
        </w:rPr>
        <w:t>：</w:t>
      </w:r>
      <w:r>
        <w:rPr>
          <w:rFonts w:ascii="Arial Unicode MS" w:hAnsi="Arial Unicode MS" w:hint="eastAsia"/>
          <w:sz w:val="24"/>
          <w:szCs w:val="24"/>
          <w:lang w:val="ja-JP" w:eastAsia="ja-JP"/>
        </w:rPr>
        <w:t>被動型</w:t>
      </w:r>
      <w:r>
        <w:rPr>
          <w:rFonts w:ascii="Arial Unicode MS" w:hAnsi="Arial Unicode MS" w:hint="eastAsia"/>
          <w:sz w:val="24"/>
          <w:szCs w:val="24"/>
        </w:rPr>
        <w:t>，屬於滿意但漠不關心的客戶，可能會因受到競爭對手的吸引而動搖。</w:t>
      </w:r>
    </w:p>
    <w:p w14:paraId="21CAABC7" w14:textId="77777777" w:rsidR="006F5458" w:rsidRDefault="002D2021">
      <w:pPr>
        <w:numPr>
          <w:ilvl w:val="0"/>
          <w:numId w:val="2"/>
        </w:numPr>
        <w:rPr>
          <w:sz w:val="24"/>
          <w:szCs w:val="24"/>
        </w:rPr>
      </w:pPr>
      <w:r>
        <w:rPr>
          <w:sz w:val="24"/>
          <w:szCs w:val="24"/>
        </w:rPr>
        <w:t xml:space="preserve">9 </w:t>
      </w:r>
      <w:r>
        <w:rPr>
          <w:rFonts w:ascii="Arial Unicode MS" w:hAnsi="Arial Unicode MS" w:hint="eastAsia"/>
          <w:sz w:val="24"/>
          <w:szCs w:val="24"/>
          <w:lang w:val="zh-CN" w:eastAsia="zh-CN"/>
        </w:rPr>
        <w:t>到</w:t>
      </w:r>
      <w:r>
        <w:rPr>
          <w:sz w:val="24"/>
          <w:szCs w:val="24"/>
        </w:rPr>
        <w:t xml:space="preserve"> </w:t>
      </w:r>
      <w:r>
        <w:rPr>
          <w:sz w:val="24"/>
          <w:szCs w:val="24"/>
        </w:rPr>
        <w:t xml:space="preserve">10 </w:t>
      </w:r>
      <w:r>
        <w:rPr>
          <w:rFonts w:ascii="Arial Unicode MS" w:hAnsi="Arial Unicode MS" w:hint="eastAsia"/>
          <w:sz w:val="24"/>
          <w:szCs w:val="24"/>
        </w:rPr>
        <w:t>分</w:t>
      </w:r>
      <w:r>
        <w:rPr>
          <w:rFonts w:ascii="Arial Unicode MS" w:hAnsi="Arial Unicode MS" w:hint="eastAsia"/>
          <w:sz w:val="24"/>
          <w:szCs w:val="24"/>
        </w:rPr>
        <w:t>：推薦型，忠誠的客戶，會持續向您購買並向其他人做正面的評價及推薦。</w:t>
      </w:r>
    </w:p>
    <w:p w14:paraId="772CC8A8" w14:textId="77777777" w:rsidR="006F5458" w:rsidRDefault="006F5458"/>
    <w:p w14:paraId="0C1ACD4B" w14:textId="77777777" w:rsidR="006F5458" w:rsidRDefault="002D2021">
      <w:r>
        <w:rPr>
          <w:sz w:val="24"/>
          <w:szCs w:val="24"/>
        </w:rPr>
        <w:tab/>
      </w:r>
      <w:r>
        <w:rPr>
          <w:rFonts w:ascii="Arial Unicode MS" w:hAnsi="Arial Unicode MS" w:hint="eastAsia"/>
          <w:sz w:val="24"/>
          <w:szCs w:val="24"/>
        </w:rPr>
        <w:t>分類後，計算推薦型人數百分比減去批評型人物百分比後，即可得出淨推薦值分數，</w:t>
      </w:r>
      <w:r w:rsidR="00562D9E">
        <w:rPr>
          <w:noProof/>
          <w:sz w:val="24"/>
          <w:szCs w:val="24"/>
          <w:lang w:val="en-US"/>
        </w:rPr>
        <w:drawing>
          <wp:anchor distT="152400" distB="152400" distL="152400" distR="152400" simplePos="0" relativeHeight="251659264" behindDoc="0" locked="0" layoutInCell="1" allowOverlap="1" wp14:anchorId="59E124DA" wp14:editId="2D4FA82C">
            <wp:simplePos x="0" y="0"/>
            <wp:positionH relativeFrom="margin">
              <wp:posOffset>480060</wp:posOffset>
            </wp:positionH>
            <wp:positionV relativeFrom="line">
              <wp:posOffset>529590</wp:posOffset>
            </wp:positionV>
            <wp:extent cx="5153660" cy="86233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螢幕快照 2015-12-28 下午12.45.39.png"/>
                    <pic:cNvPicPr>
                      <a:picLocks noChangeAspect="1"/>
                    </pic:cNvPicPr>
                  </pic:nvPicPr>
                  <pic:blipFill>
                    <a:blip r:embed="rId7">
                      <a:extLst/>
                    </a:blip>
                    <a:stretch>
                      <a:fillRect/>
                    </a:stretch>
                  </pic:blipFill>
                  <pic:spPr>
                    <a:xfrm>
                      <a:off x="0" y="0"/>
                      <a:ext cx="5153660" cy="862330"/>
                    </a:xfrm>
                    <a:prstGeom prst="rect">
                      <a:avLst/>
                    </a:prstGeom>
                    <a:ln w="12700" cap="flat">
                      <a:noFill/>
                      <a:miter lim="400000"/>
                    </a:ln>
                    <a:effectLst/>
                  </pic:spPr>
                </pic:pic>
              </a:graphicData>
            </a:graphic>
          </wp:anchor>
        </w:drawing>
      </w:r>
      <w:r>
        <w:rPr>
          <w:rFonts w:ascii="Arial Unicode MS" w:hAnsi="Arial Unicode MS" w:hint="eastAsia"/>
          <w:sz w:val="24"/>
          <w:szCs w:val="24"/>
        </w:rPr>
        <w:t>計算方程式如下：</w:t>
      </w:r>
    </w:p>
    <w:p w14:paraId="7B427E40" w14:textId="77777777" w:rsidR="006F5458" w:rsidRDefault="002D2021">
      <w:pPr>
        <w:jc w:val="center"/>
      </w:pPr>
      <w:r>
        <w:rPr>
          <w:rFonts w:ascii="Arial Unicode MS" w:hAnsi="Arial Unicode MS" w:hint="eastAsia"/>
          <w:sz w:val="24"/>
          <w:szCs w:val="24"/>
        </w:rPr>
        <w:t>圖一、</w:t>
      </w:r>
      <w:r>
        <w:rPr>
          <w:sz w:val="24"/>
          <w:szCs w:val="24"/>
        </w:rPr>
        <w:t xml:space="preserve"> </w:t>
      </w:r>
      <w:r>
        <w:rPr>
          <w:rFonts w:ascii="Arial Unicode MS" w:hAnsi="Arial Unicode MS" w:hint="eastAsia"/>
          <w:sz w:val="24"/>
          <w:szCs w:val="24"/>
        </w:rPr>
        <w:t>淨推薦值分數計算方程式（</w:t>
      </w:r>
      <w:r>
        <w:rPr>
          <w:sz w:val="24"/>
          <w:szCs w:val="24"/>
        </w:rPr>
        <w:t>Survey Monkey</w:t>
      </w:r>
      <w:r>
        <w:rPr>
          <w:rFonts w:ascii="Arial Unicode MS" w:hAnsi="Arial Unicode MS" w:hint="eastAsia"/>
          <w:sz w:val="24"/>
          <w:szCs w:val="24"/>
        </w:rPr>
        <w:t>）</w:t>
      </w:r>
    </w:p>
    <w:p w14:paraId="40F24C72" w14:textId="77777777" w:rsidR="006F5458" w:rsidRDefault="006F5458"/>
    <w:p w14:paraId="2A6B7A2C" w14:textId="77777777" w:rsidR="00562D9E" w:rsidRDefault="002D2021">
      <w:pPr>
        <w:rPr>
          <w:sz w:val="24"/>
          <w:szCs w:val="24"/>
        </w:rPr>
      </w:pPr>
      <w:r>
        <w:rPr>
          <w:sz w:val="24"/>
          <w:szCs w:val="24"/>
        </w:rPr>
        <w:tab/>
      </w:r>
    </w:p>
    <w:p w14:paraId="783AABC5" w14:textId="77777777" w:rsidR="00562D9E" w:rsidRDefault="00562D9E">
      <w:pPr>
        <w:rPr>
          <w:sz w:val="24"/>
          <w:szCs w:val="24"/>
        </w:rPr>
      </w:pPr>
      <w:r>
        <w:rPr>
          <w:sz w:val="24"/>
          <w:szCs w:val="24"/>
        </w:rPr>
        <w:br w:type="page"/>
      </w:r>
    </w:p>
    <w:p w14:paraId="7DDC90D6" w14:textId="77777777" w:rsidR="006F5458" w:rsidRDefault="002D2021" w:rsidP="00A45307">
      <w:pPr>
        <w:ind w:firstLine="720"/>
      </w:pPr>
      <w:bookmarkStart w:id="0" w:name="_GoBack"/>
      <w:bookmarkEnd w:id="0"/>
      <w:r>
        <w:rPr>
          <w:rFonts w:ascii="Arial Unicode MS" w:hAnsi="Arial Unicode MS" w:hint="eastAsia"/>
          <w:sz w:val="24"/>
          <w:szCs w:val="24"/>
        </w:rPr>
        <w:lastRenderedPageBreak/>
        <w:t>舉例來說，假設想了解用戶對於某企業網路購物的推薦程度，可以向目標用戶詢問：「您對親朋好友推薦使用某企業網路購物的可能性多大？」並請用戶在</w:t>
      </w:r>
      <w:r>
        <w:rPr>
          <w:sz w:val="24"/>
          <w:szCs w:val="24"/>
        </w:rPr>
        <w:t>0-10</w:t>
      </w:r>
      <w:r>
        <w:rPr>
          <w:rFonts w:ascii="Arial Unicode MS" w:hAnsi="Arial Unicode MS" w:hint="eastAsia"/>
          <w:sz w:val="24"/>
          <w:szCs w:val="24"/>
        </w:rPr>
        <w:t>分的評分機制中給分。以詢問六個目標用戶後的結果為例，各用戶給分如下表：</w:t>
      </w:r>
    </w:p>
    <w:p w14:paraId="11AD4DB8" w14:textId="77777777" w:rsidR="006F5458" w:rsidRDefault="006F5458"/>
    <w:p w14:paraId="408B3594" w14:textId="77777777" w:rsidR="006F5458" w:rsidRDefault="002D2021">
      <w:pPr>
        <w:jc w:val="center"/>
      </w:pPr>
      <w:r>
        <w:rPr>
          <w:rFonts w:ascii="Arial Unicode MS" w:hAnsi="Arial Unicode MS" w:hint="eastAsia"/>
          <w:sz w:val="24"/>
          <w:szCs w:val="24"/>
        </w:rPr>
        <w:t>表一、用戶淨推薦值評分</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1376"/>
        <w:gridCol w:w="1376"/>
        <w:gridCol w:w="1376"/>
        <w:gridCol w:w="1376"/>
        <w:gridCol w:w="1376"/>
        <w:gridCol w:w="1376"/>
        <w:gridCol w:w="1376"/>
      </w:tblGrid>
      <w:tr w:rsidR="006F5458" w14:paraId="1562F527" w14:textId="77777777">
        <w:tblPrEx>
          <w:tblCellMar>
            <w:top w:w="0" w:type="dxa"/>
            <w:left w:w="0" w:type="dxa"/>
            <w:bottom w:w="0" w:type="dxa"/>
            <w:right w:w="0" w:type="dxa"/>
          </w:tblCellMar>
        </w:tblPrEx>
        <w:trPr>
          <w:trHeight w:val="260"/>
        </w:trPr>
        <w:tc>
          <w:tcPr>
            <w:tcW w:w="1376"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37934F46" w14:textId="77777777" w:rsidR="006F5458" w:rsidRDefault="002D2021">
            <w:pPr>
              <w:pStyle w:val="2"/>
              <w:jc w:val="center"/>
            </w:pPr>
            <w:r>
              <w:rPr>
                <w:rFonts w:hint="eastAsia"/>
              </w:rPr>
              <w:t>編號</w:t>
            </w:r>
          </w:p>
        </w:tc>
        <w:tc>
          <w:tcPr>
            <w:tcW w:w="1376"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29550879" w14:textId="77777777" w:rsidR="006F5458" w:rsidRDefault="002D2021">
            <w:pPr>
              <w:pStyle w:val="2"/>
              <w:jc w:val="center"/>
            </w:pPr>
            <w:r>
              <w:rPr>
                <w:rFonts w:hint="eastAsia"/>
              </w:rPr>
              <w:t>用戶</w:t>
            </w:r>
            <w:r>
              <w:t>1</w:t>
            </w:r>
          </w:p>
        </w:tc>
        <w:tc>
          <w:tcPr>
            <w:tcW w:w="1376"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3E32CDD8" w14:textId="77777777" w:rsidR="006F5458" w:rsidRDefault="002D2021">
            <w:pPr>
              <w:pStyle w:val="2"/>
              <w:jc w:val="center"/>
            </w:pPr>
            <w:r>
              <w:rPr>
                <w:rFonts w:hint="eastAsia"/>
              </w:rPr>
              <w:t>用戶</w:t>
            </w:r>
            <w:r>
              <w:t>2</w:t>
            </w:r>
          </w:p>
        </w:tc>
        <w:tc>
          <w:tcPr>
            <w:tcW w:w="1376"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3E0FA0AD" w14:textId="77777777" w:rsidR="006F5458" w:rsidRDefault="002D2021">
            <w:pPr>
              <w:pStyle w:val="2"/>
              <w:jc w:val="center"/>
            </w:pPr>
            <w:r>
              <w:rPr>
                <w:rFonts w:hint="eastAsia"/>
              </w:rPr>
              <w:t>用戶</w:t>
            </w:r>
            <w:r>
              <w:t>3</w:t>
            </w:r>
          </w:p>
        </w:tc>
        <w:tc>
          <w:tcPr>
            <w:tcW w:w="1376"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7893D214" w14:textId="77777777" w:rsidR="006F5458" w:rsidRDefault="002D2021">
            <w:pPr>
              <w:pStyle w:val="2"/>
              <w:jc w:val="center"/>
            </w:pPr>
            <w:r>
              <w:rPr>
                <w:rFonts w:hint="eastAsia"/>
              </w:rPr>
              <w:t>用戶</w:t>
            </w:r>
            <w:r>
              <w:t>4</w:t>
            </w:r>
          </w:p>
        </w:tc>
        <w:tc>
          <w:tcPr>
            <w:tcW w:w="1376"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59EF432C" w14:textId="77777777" w:rsidR="006F5458" w:rsidRDefault="002D2021">
            <w:pPr>
              <w:pStyle w:val="2"/>
              <w:jc w:val="center"/>
            </w:pPr>
            <w:r>
              <w:rPr>
                <w:rFonts w:hint="eastAsia"/>
              </w:rPr>
              <w:t>用戶</w:t>
            </w:r>
            <w:r>
              <w:t>5</w:t>
            </w:r>
          </w:p>
        </w:tc>
        <w:tc>
          <w:tcPr>
            <w:tcW w:w="1376"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4AF0DD34" w14:textId="77777777" w:rsidR="006F5458" w:rsidRDefault="002D2021">
            <w:pPr>
              <w:pStyle w:val="2"/>
              <w:jc w:val="center"/>
            </w:pPr>
            <w:r>
              <w:rPr>
                <w:rFonts w:hint="eastAsia"/>
              </w:rPr>
              <w:t>用戶</w:t>
            </w:r>
            <w:r>
              <w:t>6</w:t>
            </w:r>
          </w:p>
        </w:tc>
      </w:tr>
      <w:tr w:rsidR="006F5458" w14:paraId="10C7ED05" w14:textId="77777777">
        <w:tblPrEx>
          <w:tblCellMar>
            <w:top w:w="0" w:type="dxa"/>
            <w:left w:w="0" w:type="dxa"/>
            <w:bottom w:w="0" w:type="dxa"/>
            <w:right w:w="0" w:type="dxa"/>
          </w:tblCellMar>
        </w:tblPrEx>
        <w:trPr>
          <w:trHeight w:val="279"/>
        </w:trPr>
        <w:tc>
          <w:tcPr>
            <w:tcW w:w="13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6383CE" w14:textId="77777777" w:rsidR="006F5458" w:rsidRDefault="002D2021">
            <w:pPr>
              <w:pStyle w:val="2"/>
              <w:jc w:val="center"/>
            </w:pPr>
            <w:r>
              <w:rPr>
                <w:rFonts w:hint="eastAsia"/>
              </w:rPr>
              <w:t>分數</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C436DF" w14:textId="77777777" w:rsidR="006F5458" w:rsidRDefault="002D2021">
            <w:pPr>
              <w:pStyle w:val="2"/>
              <w:jc w:val="center"/>
            </w:pPr>
            <w:r>
              <w:t>2</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79FC55" w14:textId="77777777" w:rsidR="006F5458" w:rsidRDefault="002D2021">
            <w:pPr>
              <w:pStyle w:val="2"/>
              <w:jc w:val="center"/>
            </w:pPr>
            <w:r>
              <w:t>6</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D1EAE6" w14:textId="77777777" w:rsidR="006F5458" w:rsidRDefault="002D2021">
            <w:pPr>
              <w:pStyle w:val="2"/>
              <w:jc w:val="center"/>
            </w:pPr>
            <w:r>
              <w:t>1</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2D3EDD" w14:textId="77777777" w:rsidR="006F5458" w:rsidRDefault="002D2021">
            <w:pPr>
              <w:pStyle w:val="2"/>
              <w:jc w:val="center"/>
            </w:pPr>
            <w:r>
              <w:t>4</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D17ECC" w14:textId="77777777" w:rsidR="006F5458" w:rsidRDefault="002D2021">
            <w:pPr>
              <w:pStyle w:val="2"/>
              <w:jc w:val="center"/>
            </w:pPr>
            <w:r>
              <w:t>4</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FA4221" w14:textId="77777777" w:rsidR="006F5458" w:rsidRDefault="002D2021">
            <w:pPr>
              <w:pStyle w:val="2"/>
              <w:jc w:val="center"/>
            </w:pPr>
            <w:r>
              <w:t>7</w:t>
            </w:r>
          </w:p>
        </w:tc>
      </w:tr>
      <w:tr w:rsidR="006F5458" w14:paraId="5935E0DD" w14:textId="77777777">
        <w:tblPrEx>
          <w:tblCellMar>
            <w:top w:w="0" w:type="dxa"/>
            <w:left w:w="0" w:type="dxa"/>
            <w:bottom w:w="0" w:type="dxa"/>
            <w:right w:w="0" w:type="dxa"/>
          </w:tblCellMar>
        </w:tblPrEx>
        <w:trPr>
          <w:trHeight w:val="279"/>
        </w:trPr>
        <w:tc>
          <w:tcPr>
            <w:tcW w:w="13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DC8433" w14:textId="77777777" w:rsidR="006F5458" w:rsidRDefault="002D2021">
            <w:pPr>
              <w:pStyle w:val="2"/>
              <w:jc w:val="center"/>
            </w:pPr>
            <w:r>
              <w:rPr>
                <w:rFonts w:hint="eastAsia"/>
              </w:rPr>
              <w:t>類型</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C878E4" w14:textId="77777777" w:rsidR="006F5458" w:rsidRDefault="002D2021">
            <w:pPr>
              <w:pStyle w:val="2"/>
              <w:jc w:val="center"/>
            </w:pPr>
            <w:r>
              <w:rPr>
                <w:rFonts w:hint="eastAsia"/>
              </w:rPr>
              <w:t>批評型</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D26691" w14:textId="77777777" w:rsidR="006F5458" w:rsidRDefault="002D2021">
            <w:pPr>
              <w:pStyle w:val="2"/>
              <w:jc w:val="center"/>
            </w:pPr>
            <w:r>
              <w:rPr>
                <w:rFonts w:hint="eastAsia"/>
              </w:rPr>
              <w:t>批評型</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B5BB2A" w14:textId="77777777" w:rsidR="006F5458" w:rsidRDefault="002D2021">
            <w:pPr>
              <w:pStyle w:val="2"/>
              <w:jc w:val="center"/>
            </w:pPr>
            <w:r>
              <w:rPr>
                <w:rFonts w:hint="eastAsia"/>
              </w:rPr>
              <w:t>批評型</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DA2913" w14:textId="77777777" w:rsidR="006F5458" w:rsidRDefault="002D2021">
            <w:pPr>
              <w:pStyle w:val="2"/>
              <w:jc w:val="center"/>
            </w:pPr>
            <w:r>
              <w:rPr>
                <w:rFonts w:hint="eastAsia"/>
              </w:rPr>
              <w:t>批評型</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66B08B" w14:textId="77777777" w:rsidR="006F5458" w:rsidRDefault="002D2021">
            <w:pPr>
              <w:pStyle w:val="2"/>
              <w:jc w:val="center"/>
            </w:pPr>
            <w:r>
              <w:rPr>
                <w:rFonts w:hint="eastAsia"/>
              </w:rPr>
              <w:t>批評型</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8F9AE4" w14:textId="77777777" w:rsidR="006F5458" w:rsidRDefault="002D2021">
            <w:pPr>
              <w:pStyle w:val="2"/>
              <w:jc w:val="center"/>
            </w:pPr>
            <w:r>
              <w:rPr>
                <w:rFonts w:hint="eastAsia"/>
              </w:rPr>
              <w:t>被動型</w:t>
            </w:r>
          </w:p>
        </w:tc>
      </w:tr>
    </w:tbl>
    <w:p w14:paraId="0300556E" w14:textId="77777777" w:rsidR="006F5458" w:rsidRDefault="006F5458"/>
    <w:p w14:paraId="3EDA19F4" w14:textId="77777777" w:rsidR="006F5458" w:rsidRDefault="006F5458"/>
    <w:p w14:paraId="502279F0" w14:textId="77777777" w:rsidR="006F5458" w:rsidRDefault="00562D9E">
      <w:r>
        <w:rPr>
          <w:noProof/>
          <w:sz w:val="24"/>
          <w:szCs w:val="24"/>
          <w:lang w:val="en-US"/>
        </w:rPr>
        <w:drawing>
          <wp:anchor distT="152400" distB="152400" distL="152400" distR="152400" simplePos="0" relativeHeight="251660288" behindDoc="0" locked="0" layoutInCell="1" allowOverlap="1" wp14:anchorId="611A13B3" wp14:editId="4072A074">
            <wp:simplePos x="0" y="0"/>
            <wp:positionH relativeFrom="margin">
              <wp:posOffset>1957070</wp:posOffset>
            </wp:positionH>
            <wp:positionV relativeFrom="line">
              <wp:posOffset>393700</wp:posOffset>
            </wp:positionV>
            <wp:extent cx="2052955" cy="164084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螢幕快照 2015-12-28 下午12.52.17.png"/>
                    <pic:cNvPicPr>
                      <a:picLocks noChangeAspect="1"/>
                    </pic:cNvPicPr>
                  </pic:nvPicPr>
                  <pic:blipFill>
                    <a:blip r:embed="rId8">
                      <a:extLst/>
                    </a:blip>
                    <a:srcRect t="2354" b="2354"/>
                    <a:stretch>
                      <a:fillRect/>
                    </a:stretch>
                  </pic:blipFill>
                  <pic:spPr>
                    <a:xfrm>
                      <a:off x="0" y="0"/>
                      <a:ext cx="2052955" cy="1640840"/>
                    </a:xfrm>
                    <a:prstGeom prst="rect">
                      <a:avLst/>
                    </a:prstGeom>
                    <a:ln w="12700" cap="flat">
                      <a:noFill/>
                      <a:miter lim="400000"/>
                    </a:ln>
                    <a:effectLst/>
                  </pic:spPr>
                </pic:pic>
              </a:graphicData>
            </a:graphic>
          </wp:anchor>
        </w:drawing>
      </w:r>
      <w:r w:rsidR="002D2021">
        <w:rPr>
          <w:sz w:val="24"/>
          <w:szCs w:val="24"/>
        </w:rPr>
        <w:tab/>
      </w:r>
      <w:r w:rsidR="002D2021">
        <w:rPr>
          <w:rFonts w:ascii="Arial Unicode MS" w:hAnsi="Arial Unicode MS" w:hint="eastAsia"/>
          <w:sz w:val="24"/>
          <w:szCs w:val="24"/>
        </w:rPr>
        <w:t>計算推薦型人數百分比減去批評型人物百分比後，即可得出淨推薦值分數為</w:t>
      </w:r>
      <w:r w:rsidR="002D2021">
        <w:rPr>
          <w:sz w:val="24"/>
          <w:szCs w:val="24"/>
        </w:rPr>
        <w:t>-83</w:t>
      </w:r>
      <w:r w:rsidR="002D2021">
        <w:rPr>
          <w:rFonts w:ascii="Arial Unicode MS" w:hAnsi="Arial Unicode MS" w:hint="eastAsia"/>
          <w:sz w:val="24"/>
          <w:szCs w:val="24"/>
        </w:rPr>
        <w:t>。</w:t>
      </w:r>
    </w:p>
    <w:p w14:paraId="55ACC3ED" w14:textId="77777777" w:rsidR="006F5458" w:rsidRDefault="002D2021" w:rsidP="00562D9E">
      <w:pPr>
        <w:jc w:val="center"/>
      </w:pPr>
      <w:r>
        <w:rPr>
          <w:rFonts w:ascii="Arial Unicode MS" w:hAnsi="Arial Unicode MS" w:hint="eastAsia"/>
          <w:sz w:val="24"/>
          <w:szCs w:val="24"/>
        </w:rPr>
        <w:t>圖</w:t>
      </w:r>
      <w:r>
        <w:rPr>
          <w:rFonts w:ascii="Arial Unicode MS" w:hAnsi="Arial Unicode MS" w:hint="eastAsia"/>
          <w:sz w:val="24"/>
          <w:szCs w:val="24"/>
        </w:rPr>
        <w:t>二、淨推薦值分數</w:t>
      </w:r>
    </w:p>
    <w:p w14:paraId="5FE54FD6" w14:textId="77777777" w:rsidR="006F5458" w:rsidRDefault="006F5458">
      <w:pPr>
        <w:jc w:val="center"/>
      </w:pPr>
    </w:p>
    <w:p w14:paraId="7B349E6E" w14:textId="77777777" w:rsidR="006F5458" w:rsidRDefault="002D2021">
      <w:r>
        <w:rPr>
          <w:sz w:val="24"/>
          <w:szCs w:val="24"/>
        </w:rPr>
        <w:tab/>
      </w:r>
      <w:r>
        <w:rPr>
          <w:rFonts w:ascii="Arial Unicode MS" w:hAnsi="Arial Unicode MS" w:hint="eastAsia"/>
          <w:sz w:val="24"/>
          <w:szCs w:val="24"/>
        </w:rPr>
        <w:t>從上述的結果可知，將近全部的受訪用戶對於某企業網路購物給予批評型的回饋，表示大部份的用戶認為某企業網路購物的體驗不佳，然而從各用戶的評分來看，並不是所有用戶都給予最低的分數，也有給予</w:t>
      </w:r>
      <w:r>
        <w:rPr>
          <w:sz w:val="24"/>
          <w:szCs w:val="24"/>
        </w:rPr>
        <w:t>6</w:t>
      </w:r>
      <w:r>
        <w:rPr>
          <w:rFonts w:ascii="Arial Unicode MS" w:hAnsi="Arial Unicode MS" w:hint="eastAsia"/>
          <w:sz w:val="24"/>
          <w:szCs w:val="24"/>
        </w:rPr>
        <w:t>分的批評型用戶，可預期某公司若朝正確的目標改善問題，有很大的機率能將該用戶從批評型用戶轉變成被動型用戶，因此某公司可以透過追問該用戶評分的原因，試圖找出正確的改善方向。</w:t>
      </w:r>
    </w:p>
    <w:p w14:paraId="2CAECC10" w14:textId="77777777" w:rsidR="006F5458" w:rsidRDefault="006F5458"/>
    <w:p w14:paraId="48D73D15" w14:textId="77777777" w:rsidR="006F5458" w:rsidRDefault="002D2021">
      <w:r>
        <w:rPr>
          <w:sz w:val="24"/>
          <w:szCs w:val="24"/>
        </w:rPr>
        <w:tab/>
      </w:r>
      <w:r>
        <w:rPr>
          <w:rFonts w:ascii="Arial Unicode MS" w:hAnsi="Arial Unicode MS" w:hint="eastAsia"/>
          <w:sz w:val="24"/>
          <w:szCs w:val="24"/>
        </w:rPr>
        <w:t>淨推薦值可以說是了解用戶對某產品或企業看法的最簡單方式，詢問用戶單一簡短的問題，根據用戶給分進行計算，透過可量化的數據，長期的追蹤來衡量自己內部的績效，也可做為比較外部競爭企業的基準。</w:t>
      </w:r>
    </w:p>
    <w:p w14:paraId="044F1C1C" w14:textId="77777777" w:rsidR="006F5458" w:rsidRDefault="006F5458"/>
    <w:p w14:paraId="69F60A9A" w14:textId="77777777" w:rsidR="00562D9E" w:rsidRDefault="00562D9E">
      <w:pPr>
        <w:rPr>
          <w:rFonts w:hint="eastAsia"/>
        </w:rPr>
      </w:pPr>
    </w:p>
    <w:p w14:paraId="1F01AB23" w14:textId="77777777" w:rsidR="00562D9E" w:rsidRDefault="00562D9E">
      <w:pPr>
        <w:rPr>
          <w:rFonts w:hint="eastAsia"/>
        </w:rPr>
      </w:pPr>
    </w:p>
    <w:p w14:paraId="1E0F147D" w14:textId="77777777" w:rsidR="00562D9E" w:rsidRDefault="00562D9E">
      <w:pPr>
        <w:rPr>
          <w:rFonts w:hint="eastAsia"/>
        </w:rPr>
      </w:pPr>
    </w:p>
    <w:p w14:paraId="4391D0C8" w14:textId="77777777" w:rsidR="006F5458" w:rsidRDefault="002D2021">
      <w:r>
        <w:rPr>
          <w:sz w:val="24"/>
          <w:szCs w:val="24"/>
        </w:rPr>
        <w:t>reference:</w:t>
      </w:r>
    </w:p>
    <w:p w14:paraId="4C036C89" w14:textId="77777777" w:rsidR="006F5458" w:rsidRDefault="002D2021">
      <w:pPr>
        <w:numPr>
          <w:ilvl w:val="0"/>
          <w:numId w:val="4"/>
        </w:numPr>
        <w:rPr>
          <w:sz w:val="24"/>
          <w:szCs w:val="24"/>
          <w:lang w:val="en-US"/>
        </w:rPr>
      </w:pPr>
      <w:r>
        <w:rPr>
          <w:sz w:val="24"/>
          <w:szCs w:val="24"/>
          <w:lang w:val="en-US"/>
        </w:rPr>
        <w:t xml:space="preserve">Reichheld, Frederick F. (2003), </w:t>
      </w:r>
      <w:r>
        <w:rPr>
          <w:i/>
          <w:iCs/>
          <w:sz w:val="24"/>
          <w:szCs w:val="24"/>
          <w:lang w:val="en-US"/>
        </w:rPr>
        <w:t>The One Number You Need to Grow</w:t>
      </w:r>
      <w:r>
        <w:rPr>
          <w:sz w:val="24"/>
          <w:szCs w:val="24"/>
        </w:rPr>
        <w:t xml:space="preserve"> [Web]. </w:t>
      </w:r>
      <w:r>
        <w:rPr>
          <w:sz w:val="24"/>
          <w:szCs w:val="24"/>
          <w:lang w:val="en-US"/>
        </w:rPr>
        <w:t>Harvard Business Review</w:t>
      </w:r>
      <w:r>
        <w:rPr>
          <w:sz w:val="24"/>
          <w:szCs w:val="24"/>
        </w:rPr>
        <w:t xml:space="preserve">, </w:t>
      </w:r>
      <w:r>
        <w:rPr>
          <w:sz w:val="24"/>
          <w:szCs w:val="24"/>
          <w:lang w:val="en-US"/>
        </w:rPr>
        <w:t xml:space="preserve">Retrieved from </w:t>
      </w:r>
      <w:hyperlink r:id="rId9" w:history="1">
        <w:r>
          <w:rPr>
            <w:rStyle w:val="Hyperlink0"/>
            <w:sz w:val="24"/>
            <w:szCs w:val="24"/>
            <w:lang w:val="en-US"/>
          </w:rPr>
          <w:t>https://hbr.org/2003/12/the-one-number-you-need-to-grow</w:t>
        </w:r>
      </w:hyperlink>
    </w:p>
    <w:p w14:paraId="3A67A27B" w14:textId="77777777" w:rsidR="006F5458" w:rsidRDefault="00562D9E">
      <w:pPr>
        <w:numPr>
          <w:ilvl w:val="0"/>
          <w:numId w:val="4"/>
        </w:numPr>
        <w:rPr>
          <w:sz w:val="24"/>
          <w:szCs w:val="24"/>
        </w:rPr>
      </w:pPr>
      <w:r>
        <w:rPr>
          <w:sz w:val="24"/>
          <w:szCs w:val="24"/>
        </w:rPr>
        <w:t>SurvetMonkey</w:t>
      </w:r>
      <w:r>
        <w:rPr>
          <w:rFonts w:ascii="Arial Unicode MS" w:hAnsi="Arial Unicode MS" w:hint="eastAsia"/>
          <w:sz w:val="24"/>
          <w:szCs w:val="24"/>
        </w:rPr>
        <w:t>。</w:t>
      </w:r>
      <w:r w:rsidR="002D2021" w:rsidRPr="00562D9E">
        <w:rPr>
          <w:rFonts w:ascii="Arial Unicode MS" w:hAnsi="Arial Unicode MS" w:hint="eastAsia"/>
          <w:i/>
          <w:sz w:val="24"/>
          <w:szCs w:val="24"/>
        </w:rPr>
        <w:t>淨推薦分數調查問卷</w:t>
      </w:r>
      <w:r>
        <w:rPr>
          <w:rFonts w:ascii="Arial Unicode MS" w:hAnsi="Arial Unicode MS" w:hint="eastAsia"/>
          <w:sz w:val="24"/>
          <w:szCs w:val="24"/>
        </w:rPr>
        <w:t>。</w:t>
      </w:r>
      <w:r w:rsidR="002D2021">
        <w:rPr>
          <w:rFonts w:ascii="Arial Unicode MS" w:hAnsi="Arial Unicode MS" w:hint="eastAsia"/>
          <w:sz w:val="24"/>
          <w:szCs w:val="24"/>
        </w:rPr>
        <w:t>取自：</w:t>
      </w:r>
      <w:r w:rsidR="002D2021">
        <w:rPr>
          <w:sz w:val="24"/>
          <w:szCs w:val="24"/>
        </w:rPr>
        <w:t>https://zh.surveymonkey.com/mp/net-promoter-score/</w:t>
      </w:r>
    </w:p>
    <w:sectPr w:rsidR="006F5458">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5D01F" w14:textId="77777777" w:rsidR="002D2021" w:rsidRDefault="002D2021">
      <w:r>
        <w:separator/>
      </w:r>
    </w:p>
  </w:endnote>
  <w:endnote w:type="continuationSeparator" w:id="0">
    <w:p w14:paraId="7FD76F7D" w14:textId="77777777" w:rsidR="002D2021" w:rsidRDefault="002D2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新細明體">
    <w:charset w:val="88"/>
    <w:family w:val="auto"/>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AF9F" w14:textId="77777777" w:rsidR="006F5458" w:rsidRDefault="006F545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C452E" w14:textId="77777777" w:rsidR="002D2021" w:rsidRDefault="002D2021">
      <w:r>
        <w:separator/>
      </w:r>
    </w:p>
  </w:footnote>
  <w:footnote w:type="continuationSeparator" w:id="0">
    <w:p w14:paraId="1040D0E4" w14:textId="77777777" w:rsidR="002D2021" w:rsidRDefault="002D20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D2859" w14:textId="77777777" w:rsidR="006F5458" w:rsidRDefault="006F545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25E0F"/>
    <w:multiLevelType w:val="hybridMultilevel"/>
    <w:tmpl w:val="069C079C"/>
    <w:numStyleLink w:val="1"/>
  </w:abstractNum>
  <w:abstractNum w:abstractNumId="1">
    <w:nsid w:val="25224183"/>
    <w:multiLevelType w:val="hybridMultilevel"/>
    <w:tmpl w:val="069C079C"/>
    <w:styleLink w:val="1"/>
    <w:lvl w:ilvl="0" w:tplc="49885C1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6C3CDB48">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E5DA6C3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2C6A266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AEF0D24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84AF84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6786DB5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D9FE71E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41F6F7D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nsid w:val="2F5800AB"/>
    <w:multiLevelType w:val="hybridMultilevel"/>
    <w:tmpl w:val="B6DEEBD0"/>
    <w:styleLink w:val="a"/>
    <w:lvl w:ilvl="0" w:tplc="506CB9B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6E0CD5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7D47BB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126BAD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B8C04A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BD4C37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3C04DC8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6B6775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81E2276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44652BE7"/>
    <w:multiLevelType w:val="hybridMultilevel"/>
    <w:tmpl w:val="B6DEEBD0"/>
    <w:numStyleLink w:val="a"/>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58"/>
    <w:rsid w:val="002D2021"/>
    <w:rsid w:val="00562D9E"/>
    <w:rsid w:val="006F5458"/>
    <w:rsid w:val="00A453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2F607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Pr>
      <w:rFonts w:ascii="Helvetica" w:eastAsia="Arial Unicode MS" w:hAnsi="Helvetica" w:cs="Arial Unicode MS"/>
      <w:color w:val="000000"/>
      <w:sz w:val="22"/>
      <w:szCs w:val="22"/>
      <w:lang w:val="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5">
    <w:name w:val="Title"/>
    <w:next w:val="a0"/>
    <w:pPr>
      <w:keepNext/>
      <w:outlineLvl w:val="0"/>
    </w:pPr>
    <w:rPr>
      <w:rFonts w:ascii="Helvetica" w:eastAsia="Arial Unicode MS" w:hAnsi="Helvetica" w:cs="Arial Unicode MS"/>
      <w:b/>
      <w:bCs/>
      <w:color w:val="000000"/>
      <w:sz w:val="36"/>
      <w:szCs w:val="36"/>
      <w:lang w:val="zh-TW"/>
    </w:rPr>
  </w:style>
  <w:style w:type="numbering" w:customStyle="1" w:styleId="1">
    <w:name w:val="項目符號1"/>
    <w:pPr>
      <w:numPr>
        <w:numId w:val="1"/>
      </w:numPr>
    </w:pPr>
  </w:style>
  <w:style w:type="paragraph" w:customStyle="1" w:styleId="2">
    <w:name w:val="表格樣式 2"/>
    <w:rPr>
      <w:rFonts w:ascii="Helvetica" w:eastAsia="Helvetica" w:hAnsi="Helvetica" w:cs="Helvetica"/>
      <w:color w:val="000000"/>
    </w:rPr>
  </w:style>
  <w:style w:type="numbering" w:customStyle="1" w:styleId="a">
    <w:name w:val="編號"/>
    <w:pPr>
      <w:numPr>
        <w:numId w:val="3"/>
      </w:numPr>
    </w:pPr>
  </w:style>
  <w:style w:type="character" w:customStyle="1" w:styleId="Hyperlink0">
    <w:name w:val="Hyperlink.0"/>
    <w:basedOn w:val="a4"/>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hbr.org/2003/12/the-one-number-you-need-to-grow"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新細明體"/>
        <a:cs typeface="Helvetica"/>
      </a:majorFont>
      <a:minorFont>
        <a:latin typeface="Helvetica"/>
        <a:ea typeface="新細明體"/>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258</Words>
  <Characters>1477</Characters>
  <Application>Microsoft Macintosh Word</Application>
  <DocSecurity>0</DocSecurity>
  <Lines>12</Lines>
  <Paragraphs>3</Paragraphs>
  <ScaleCrop>false</ScaleCrop>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林佩穎</cp:lastModifiedBy>
  <cp:revision>3</cp:revision>
  <dcterms:created xsi:type="dcterms:W3CDTF">2015-12-28T05:25:00Z</dcterms:created>
  <dcterms:modified xsi:type="dcterms:W3CDTF">2015-12-28T05:26:00Z</dcterms:modified>
</cp:coreProperties>
</file>