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59" w:rsidRDefault="0052683D" w:rsidP="00456F59">
      <w:bookmarkStart w:id="0" w:name="_GoBack"/>
      <w:bookmarkEnd w:id="0"/>
      <w:r>
        <w:rPr>
          <w:rFonts w:hint="eastAsia"/>
        </w:rPr>
        <w:t>2</w:t>
      </w:r>
      <w:r>
        <w:t>020.04.21</w:t>
      </w:r>
      <w:r>
        <w:rPr>
          <w:rFonts w:hint="eastAsia"/>
        </w:rPr>
        <w:t>研究討論</w:t>
      </w:r>
    </w:p>
    <w:p w:rsidR="00BF37BE" w:rsidRDefault="006B189D" w:rsidP="00456F59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Google</w:t>
      </w:r>
      <w:r>
        <w:rPr>
          <w:rFonts w:hint="eastAsia"/>
        </w:rPr>
        <w:t>學術關於</w:t>
      </w:r>
      <w:r w:rsidR="00BF37BE">
        <w:rPr>
          <w:rFonts w:hint="eastAsia"/>
        </w:rPr>
        <w:t>合作型課程評估相關研究</w:t>
      </w:r>
    </w:p>
    <w:p w:rsidR="00BF37BE" w:rsidRDefault="00BF37BE" w:rsidP="00456F59"/>
    <w:p w:rsidR="00653132" w:rsidRDefault="00653132" w:rsidP="00456F59">
      <w:r w:rsidRPr="00653132">
        <w:rPr>
          <w:rFonts w:hint="eastAsia"/>
        </w:rPr>
        <w:t>洪明瑄</w:t>
      </w:r>
      <w:r w:rsidRPr="00653132">
        <w:rPr>
          <w:rFonts w:hint="eastAsia"/>
        </w:rPr>
        <w:t xml:space="preserve">, </w:t>
      </w:r>
      <w:r w:rsidRPr="00653132">
        <w:rPr>
          <w:rFonts w:hint="eastAsia"/>
        </w:rPr>
        <w:t>張佩芬</w:t>
      </w:r>
      <w:r w:rsidRPr="00653132">
        <w:rPr>
          <w:rFonts w:hint="eastAsia"/>
        </w:rPr>
        <w:t xml:space="preserve">, &amp; </w:t>
      </w:r>
      <w:r w:rsidRPr="00653132">
        <w:rPr>
          <w:rFonts w:hint="eastAsia"/>
        </w:rPr>
        <w:t>陳彥文</w:t>
      </w:r>
      <w:r w:rsidRPr="00653132">
        <w:rPr>
          <w:rFonts w:hint="eastAsia"/>
        </w:rPr>
        <w:t xml:space="preserve">. (2019). </w:t>
      </w:r>
      <w:r w:rsidRPr="00653132">
        <w:rPr>
          <w:rFonts w:hint="eastAsia"/>
        </w:rPr>
        <w:t>探討實作課程對學生合作型問題解決能力之影響</w:t>
      </w:r>
      <w:r w:rsidRPr="00653132">
        <w:rPr>
          <w:rFonts w:hint="eastAsia"/>
        </w:rPr>
        <w:t>-</w:t>
      </w:r>
      <w:r w:rsidRPr="00653132">
        <w:rPr>
          <w:rFonts w:hint="eastAsia"/>
        </w:rPr>
        <w:t>以創意與創業課程為例</w:t>
      </w:r>
      <w:r w:rsidRPr="00653132">
        <w:rPr>
          <w:rFonts w:hint="eastAsia"/>
        </w:rPr>
        <w:t xml:space="preserve">. </w:t>
      </w:r>
      <w:r w:rsidRPr="00653132">
        <w:rPr>
          <w:rFonts w:hint="eastAsia"/>
        </w:rPr>
        <w:t>工程</w:t>
      </w:r>
      <w:r w:rsidRPr="00653132">
        <w:rPr>
          <w:rFonts w:hint="eastAsia"/>
        </w:rPr>
        <w:t xml:space="preserve">, </w:t>
      </w:r>
      <w:r w:rsidRPr="00653132">
        <w:rPr>
          <w:rFonts w:hint="eastAsia"/>
        </w:rPr>
        <w:t>技術與科技教育學術研討會</w:t>
      </w:r>
      <w:r w:rsidRPr="00653132">
        <w:rPr>
          <w:rFonts w:hint="eastAsia"/>
        </w:rPr>
        <w:t>, 25-40.</w:t>
      </w:r>
    </w:p>
    <w:p w:rsidR="00BF37BE" w:rsidRDefault="00BF37BE" w:rsidP="00456F59">
      <w:pPr>
        <w:rPr>
          <w:rFonts w:hint="eastAsia"/>
        </w:rPr>
      </w:pPr>
      <w:r>
        <w:rPr>
          <w:rFonts w:hint="eastAsia"/>
        </w:rPr>
        <w:t>結合此文章參考文獻</w:t>
      </w:r>
      <w:r w:rsidR="001A2DAE">
        <w:rPr>
          <w:rFonts w:hint="eastAsia"/>
        </w:rPr>
        <w:t>整理</w:t>
      </w:r>
    </w:p>
    <w:p w:rsidR="00653132" w:rsidRPr="001A2DAE" w:rsidRDefault="00653132" w:rsidP="00456F59">
      <w:pPr>
        <w:rPr>
          <w:rFonts w:hint="eastAsia"/>
        </w:rPr>
      </w:pPr>
    </w:p>
    <w:p w:rsidR="0052683D" w:rsidRDefault="0052683D" w:rsidP="00456F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現有</w:t>
      </w:r>
      <w:r w:rsidR="00C57D14">
        <w:rPr>
          <w:rFonts w:hint="eastAsia"/>
        </w:rPr>
        <w:t>課程後的影響</w:t>
      </w:r>
      <w:r>
        <w:rPr>
          <w:rFonts w:hint="eastAsia"/>
        </w:rPr>
        <w:t>資料：</w:t>
      </w:r>
    </w:p>
    <w:p w:rsidR="0052683D" w:rsidRPr="00456F59" w:rsidRDefault="0052683D" w:rsidP="00456F5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56F59">
        <w:rPr>
          <w:rFonts w:hint="eastAsia"/>
          <w:b/>
          <w:bCs/>
        </w:rPr>
        <w:t>個人背景知識</w:t>
      </w:r>
      <w:r>
        <w:rPr>
          <w:rFonts w:hint="eastAsia"/>
        </w:rPr>
        <w:t>：專業</w:t>
      </w:r>
      <w:r>
        <w:rPr>
          <w:rFonts w:hint="eastAsia"/>
        </w:rPr>
        <w:t>/</w:t>
      </w:r>
      <w:r>
        <w:rPr>
          <w:rFonts w:hint="eastAsia"/>
        </w:rPr>
        <w:t>有無團隊合作經驗</w:t>
      </w:r>
    </w:p>
    <w:p w:rsidR="0052683D" w:rsidRDefault="0052683D" w:rsidP="00456F59">
      <w:pPr>
        <w:pStyle w:val="a3"/>
        <w:numPr>
          <w:ilvl w:val="0"/>
          <w:numId w:val="4"/>
        </w:numPr>
        <w:ind w:leftChars="0"/>
      </w:pPr>
      <w:r w:rsidRPr="00456F59">
        <w:rPr>
          <w:rFonts w:hint="eastAsia"/>
          <w:b/>
          <w:bCs/>
        </w:rPr>
        <w:t>個人認知與角色定位</w:t>
      </w:r>
      <w:r>
        <w:rPr>
          <w:rFonts w:hint="eastAsia"/>
        </w:rPr>
        <w:t>：考察兩個學科對課程的推薦值、重要表現程度、團隊合作能力</w:t>
      </w:r>
      <w:r>
        <w:rPr>
          <w:rFonts w:hint="eastAsia"/>
        </w:rPr>
        <w:t>/</w:t>
      </w:r>
      <w:r>
        <w:rPr>
          <w:rFonts w:hint="eastAsia"/>
        </w:rPr>
        <w:t>團隊合作中自我效能</w:t>
      </w:r>
    </w:p>
    <w:p w:rsidR="0052683D" w:rsidRDefault="0052683D" w:rsidP="00456F59">
      <w:pPr>
        <w:pStyle w:val="a3"/>
        <w:numPr>
          <w:ilvl w:val="0"/>
          <w:numId w:val="4"/>
        </w:numPr>
        <w:ind w:leftChars="0"/>
      </w:pPr>
      <w:r w:rsidRPr="00456F59">
        <w:rPr>
          <w:rFonts w:hint="eastAsia"/>
          <w:b/>
          <w:bCs/>
        </w:rPr>
        <w:t>團隊運作狀況：</w:t>
      </w:r>
      <w:r w:rsidRPr="0052683D">
        <w:rPr>
          <w:rFonts w:hint="eastAsia"/>
        </w:rPr>
        <w:t>經過團隊合作後對角色定位</w:t>
      </w:r>
      <w:r w:rsidRPr="0052683D">
        <w:rPr>
          <w:rFonts w:hint="eastAsia"/>
        </w:rPr>
        <w:t>與需求</w:t>
      </w:r>
      <w:r>
        <w:rPr>
          <w:rFonts w:hint="eastAsia"/>
        </w:rPr>
        <w:t>、</w:t>
      </w:r>
      <w:r w:rsidR="00C57D14">
        <w:rPr>
          <w:rFonts w:hint="eastAsia"/>
        </w:rPr>
        <w:t>影響</w:t>
      </w:r>
      <w:r w:rsidR="00C57D14">
        <w:rPr>
          <w:rFonts w:hint="eastAsia"/>
        </w:rPr>
        <w:t>/</w:t>
      </w:r>
      <w:r w:rsidR="00C57D14">
        <w:rPr>
          <w:rFonts w:hint="eastAsia"/>
        </w:rPr>
        <w:t>收穫與不足、效率問題</w:t>
      </w:r>
    </w:p>
    <w:p w:rsidR="00C57D14" w:rsidRDefault="00456F59" w:rsidP="00C57D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目前研究</w:t>
      </w:r>
      <w:r w:rsidR="00C57D14">
        <w:rPr>
          <w:rFonts w:hint="eastAsia"/>
        </w:rPr>
        <w:t>結果：</w:t>
      </w:r>
    </w:p>
    <w:p w:rsidR="00C57D14" w:rsidRDefault="00C57D14" w:rsidP="00456F59">
      <w:pPr>
        <w:pStyle w:val="a3"/>
        <w:numPr>
          <w:ilvl w:val="0"/>
          <w:numId w:val="5"/>
        </w:numPr>
        <w:ind w:leftChars="0"/>
      </w:pPr>
      <w:r w:rsidRPr="00456F59">
        <w:rPr>
          <w:rFonts w:hint="eastAsia"/>
          <w:b/>
          <w:bCs/>
        </w:rPr>
        <w:t>課程體現了團隊互動行為的統一性</w:t>
      </w:r>
      <w:r w:rsidRPr="00C57D14">
        <w:rPr>
          <w:rFonts w:hint="eastAsia"/>
        </w:rPr>
        <w:t>-</w:t>
      </w:r>
      <w:r w:rsidRPr="00C57D14">
        <w:t>----</w:t>
      </w:r>
      <w:r>
        <w:t>-</w:t>
      </w:r>
      <w:r>
        <w:rPr>
          <w:rFonts w:hint="eastAsia"/>
        </w:rPr>
        <w:t>在設計系開設的設計創新教育課程</w:t>
      </w:r>
      <w:r w:rsidRPr="00C57D14">
        <w:rPr>
          <w:rFonts w:hint="eastAsia"/>
        </w:rPr>
        <w:t>對於設計和商管背景的學生均產生正面的效果</w:t>
      </w:r>
      <w:r>
        <w:rPr>
          <w:rFonts w:hint="eastAsia"/>
        </w:rPr>
        <w:t>/</w:t>
      </w:r>
      <w:r>
        <w:rPr>
          <w:rFonts w:hint="eastAsia"/>
        </w:rPr>
        <w:t>同樣在跨領域團隊與純設計師團隊的</w:t>
      </w:r>
      <w:r w:rsidR="002242D1">
        <w:rPr>
          <w:rFonts w:hint="eastAsia"/>
        </w:rPr>
        <w:t>比較中</w:t>
      </w:r>
      <w:r w:rsidR="002242D1" w:rsidRPr="002242D1">
        <w:rPr>
          <w:rFonts w:hint="eastAsia"/>
        </w:rPr>
        <w:t>團隊合作中學生獲得了近乎均等的積極的學習效果。</w:t>
      </w:r>
    </w:p>
    <w:p w:rsidR="002242D1" w:rsidRPr="002242D1" w:rsidRDefault="002242D1" w:rsidP="00456F59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456F59">
        <w:rPr>
          <w:rFonts w:hint="eastAsia"/>
          <w:b/>
          <w:bCs/>
        </w:rPr>
        <w:t>不同背景的差異性：</w:t>
      </w:r>
      <w:r>
        <w:rPr>
          <w:rFonts w:hint="eastAsia"/>
        </w:rPr>
        <w:t>與傳統認識的差異：團隊角色</w:t>
      </w:r>
    </w:p>
    <w:p w:rsidR="002242D1" w:rsidRPr="00456F59" w:rsidRDefault="002242D1" w:rsidP="00456F59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456F59">
        <w:rPr>
          <w:rFonts w:hint="eastAsia"/>
          <w:b/>
          <w:bCs/>
        </w:rPr>
        <w:t>面臨的問題與挑戰：</w:t>
      </w:r>
      <w:r w:rsidRPr="002242D1">
        <w:rPr>
          <w:rFonts w:hint="eastAsia"/>
        </w:rPr>
        <w:t>效率（時間統籌安排）、溝通、協調</w:t>
      </w:r>
      <w:r>
        <w:rPr>
          <w:rFonts w:hint="eastAsia"/>
        </w:rPr>
        <w:t>。</w:t>
      </w:r>
      <w:r w:rsidRPr="002242D1">
        <w:rPr>
          <w:rFonts w:hint="eastAsia"/>
        </w:rPr>
        <w:t>在個人認知與角色定位方面兩者差異不大，但在自我效能感上單學科普遍高於跨領域團隊學生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結合口語資料的整理發現，</w:t>
      </w:r>
      <w:r w:rsidRPr="00456F59">
        <w:rPr>
          <w:rFonts w:hint="eastAsia"/>
          <w:b/>
          <w:bCs/>
        </w:rPr>
        <w:t>不同背景成員互動過程中面臨的挑戰溝通解決問題。</w:t>
      </w:r>
    </w:p>
    <w:p w:rsidR="00ED0302" w:rsidRPr="00ED0302" w:rsidRDefault="002242D1" w:rsidP="00456F59">
      <w:pPr>
        <w:pStyle w:val="a3"/>
        <w:numPr>
          <w:ilvl w:val="0"/>
          <w:numId w:val="5"/>
        </w:numPr>
        <w:ind w:leftChars="0"/>
      </w:pPr>
      <w:r w:rsidRPr="00456F59">
        <w:rPr>
          <w:rFonts w:hint="eastAsia"/>
          <w:b/>
          <w:bCs/>
        </w:rPr>
        <w:t>團隊合作對於訓練合作能力有很大幫助，跨領域團隊提出了更多的問題與不同看法，更廣泛且頻繁地使學生知識共享，另一方面也面臨很多挑戰，跨領域合作需要更高的的協作意識。</w:t>
      </w:r>
    </w:p>
    <w:p w:rsidR="00ED0302" w:rsidRDefault="00456F59" w:rsidP="00ED0302">
      <w:pPr>
        <w:pStyle w:val="a3"/>
        <w:numPr>
          <w:ilvl w:val="0"/>
          <w:numId w:val="15"/>
        </w:numPr>
        <w:ind w:leftChars="0"/>
      </w:pPr>
      <w:r w:rsidRPr="00456F59">
        <w:rPr>
          <w:rFonts w:hint="eastAsia"/>
        </w:rPr>
        <w:t>跨領域團隊在對於團隊合作的隊友的選擇需求上提出更多的條件</w:t>
      </w:r>
      <w:r w:rsidRPr="00456F59">
        <w:rPr>
          <w:rFonts w:hint="eastAsia"/>
        </w:rPr>
        <w:t>；</w:t>
      </w:r>
    </w:p>
    <w:p w:rsidR="00ED0302" w:rsidRDefault="00456F59" w:rsidP="00ED0302">
      <w:pPr>
        <w:pStyle w:val="a3"/>
        <w:numPr>
          <w:ilvl w:val="0"/>
          <w:numId w:val="15"/>
        </w:numPr>
        <w:ind w:leftChars="0"/>
      </w:pPr>
      <w:r w:rsidRPr="00456F59">
        <w:rPr>
          <w:rFonts w:hint="eastAsia"/>
        </w:rPr>
        <w:t>跨領域團隊提出了更多方面的收穫</w:t>
      </w:r>
      <w:r w:rsidRPr="00456F59">
        <w:rPr>
          <w:rFonts w:hint="eastAsia"/>
        </w:rPr>
        <w:t>；</w:t>
      </w:r>
    </w:p>
    <w:p w:rsidR="00456F59" w:rsidRDefault="00456F59" w:rsidP="00ED0302">
      <w:pPr>
        <w:pStyle w:val="a3"/>
        <w:numPr>
          <w:ilvl w:val="0"/>
          <w:numId w:val="15"/>
        </w:numPr>
        <w:ind w:leftChars="0"/>
      </w:pPr>
      <w:r w:rsidRPr="00456F59">
        <w:rPr>
          <w:rFonts w:hint="eastAsia"/>
        </w:rPr>
        <w:t>跨領域團隊互動性更強，</w:t>
      </w:r>
      <w:r w:rsidRPr="00456F59">
        <w:rPr>
          <w:rFonts w:hint="eastAsia"/>
        </w:rPr>
        <w:t>更有利於個人與團隊的融合共同協作而不是聚焦在分配、完成某項問題</w:t>
      </w:r>
      <w:r w:rsidRPr="00456F59">
        <w:rPr>
          <w:rFonts w:hint="eastAsia"/>
        </w:rPr>
        <w:t>。</w:t>
      </w:r>
    </w:p>
    <w:p w:rsidR="00456F59" w:rsidRDefault="00691C1A" w:rsidP="00456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未來研究補充：</w:t>
      </w:r>
    </w:p>
    <w:p w:rsidR="001A2DAE" w:rsidRDefault="001A2DAE" w:rsidP="001A2DA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研究方向：</w:t>
      </w:r>
      <w:r w:rsidRPr="00653132">
        <w:rPr>
          <w:rFonts w:hint="eastAsia"/>
        </w:rPr>
        <w:t>跨領域合作式團隊</w:t>
      </w:r>
      <w:r>
        <w:rPr>
          <w:rFonts w:hint="eastAsia"/>
        </w:rPr>
        <w:t>合作</w:t>
      </w:r>
      <w:r w:rsidRPr="00653132">
        <w:rPr>
          <w:rFonts w:hint="eastAsia"/>
        </w:rPr>
        <w:t>研究—以</w:t>
      </w:r>
      <w:r>
        <w:rPr>
          <w:rFonts w:hint="eastAsia"/>
        </w:rPr>
        <w:t>設計</w:t>
      </w:r>
      <w:r>
        <w:rPr>
          <w:rFonts w:hint="eastAsia"/>
        </w:rPr>
        <w:t>+</w:t>
      </w:r>
      <w:r>
        <w:rPr>
          <w:rFonts w:hint="eastAsia"/>
        </w:rPr>
        <w:t>商管</w:t>
      </w:r>
      <w:r w:rsidRPr="00653132">
        <w:rPr>
          <w:rFonts w:hint="eastAsia"/>
        </w:rPr>
        <w:t>系成員為例</w:t>
      </w:r>
    </w:p>
    <w:p w:rsidR="00691C1A" w:rsidRDefault="00691C1A" w:rsidP="00691C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過程分析</w:t>
      </w:r>
      <w:r>
        <w:rPr>
          <w:rFonts w:hint="eastAsia"/>
        </w:rPr>
        <w:t>+</w:t>
      </w:r>
      <w:r>
        <w:rPr>
          <w:rFonts w:hint="eastAsia"/>
        </w:rPr>
        <w:t>能力評估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雙劍合併</w:t>
      </w:r>
    </w:p>
    <w:p w:rsidR="00691C1A" w:rsidRDefault="00691C1A" w:rsidP="001A2DA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過程研究分析：</w:t>
      </w:r>
      <w:r>
        <w:rPr>
          <w:rFonts w:hint="eastAsia"/>
        </w:rPr>
        <w:t>互動行為觀察</w:t>
      </w:r>
      <w:r>
        <w:t>---</w:t>
      </w:r>
      <w:r>
        <w:rPr>
          <w:rFonts w:hint="eastAsia"/>
        </w:rPr>
        <w:t>三鑽石階段不同背景學生行為特點與差異。</w:t>
      </w:r>
    </w:p>
    <w:p w:rsidR="00C57D14" w:rsidRDefault="00691C1A" w:rsidP="001A2DA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初始階段預計獲得：跨領域團隊合作中</w:t>
      </w:r>
      <w:r w:rsidR="006B189D">
        <w:rPr>
          <w:rFonts w:hint="eastAsia"/>
        </w:rPr>
        <w:t>設計與商管學生的特點、差異與課程帶來的影響</w:t>
      </w:r>
    </w:p>
    <w:p w:rsidR="009B1E00" w:rsidRDefault="009B1E00" w:rsidP="001A2DA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合作型問題解決能力</w:t>
      </w:r>
      <w:r w:rsidRPr="009B1E00">
        <w:t>Collaborative Problem Solving</w:t>
      </w:r>
      <w:r>
        <w:rPr>
          <w:rFonts w:hint="eastAsia"/>
        </w:rPr>
        <w:t>」是跨領域團隊人才培養的核心能力。同時也是互動過程的核心包含</w:t>
      </w:r>
      <w:r w:rsidRPr="009B1E00">
        <w:rPr>
          <w:rFonts w:hint="eastAsia"/>
        </w:rPr>
        <w:t>手势、情感语调、注意力的波动和协调性</w:t>
      </w:r>
      <w:r>
        <w:rPr>
          <w:rFonts w:hint="eastAsia"/>
        </w:rPr>
        <w:t>等。</w:t>
      </w:r>
    </w:p>
    <w:p w:rsidR="00612757" w:rsidRDefault="009B1E00" w:rsidP="001A2DA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評量方法量化</w:t>
      </w:r>
      <w:r>
        <w:rPr>
          <w:rFonts w:hint="eastAsia"/>
        </w:rPr>
        <w:t>+</w:t>
      </w:r>
      <w:r>
        <w:rPr>
          <w:rFonts w:hint="eastAsia"/>
        </w:rPr>
        <w:t>質化</w:t>
      </w:r>
    </w:p>
    <w:p w:rsidR="00612757" w:rsidRDefault="00612757" w:rsidP="00ED030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評估框架設定：</w:t>
      </w:r>
      <w:r w:rsidR="00ED0302">
        <w:rPr>
          <w:rFonts w:hint="eastAsia"/>
        </w:rPr>
        <w:t>以過程形式評估</w:t>
      </w:r>
    </w:p>
    <w:p w:rsidR="00612757" w:rsidRDefault="00612757" w:rsidP="001A2DAE">
      <w:pPr>
        <w:ind w:firstLineChars="200" w:firstLine="480"/>
      </w:pPr>
      <w:r>
        <w:rPr>
          <w:rFonts w:hint="eastAsia"/>
        </w:rPr>
        <w:t>依據</w:t>
      </w:r>
      <w:r>
        <w:t>PISA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年針對合作性問題解決能力的評估，主要培養三種主要核心能力與三鑽石不同階段行程一個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矩陣指標框架</w:t>
      </w:r>
    </w:p>
    <w:p w:rsidR="00ED0302" w:rsidRDefault="00ED0302" w:rsidP="001A2DAE">
      <w:pPr>
        <w:ind w:firstLineChars="200" w:firstLine="480"/>
        <w:rPr>
          <w:rFonts w:hint="eastAsia"/>
        </w:rPr>
      </w:pPr>
    </w:p>
    <w:tbl>
      <w:tblPr>
        <w:tblStyle w:val="a4"/>
        <w:tblW w:w="8197" w:type="dxa"/>
        <w:tblLook w:val="04A0" w:firstRow="1" w:lastRow="0" w:firstColumn="1" w:lastColumn="0" w:noHBand="0" w:noVBand="1"/>
      </w:tblPr>
      <w:tblGrid>
        <w:gridCol w:w="3223"/>
        <w:gridCol w:w="1658"/>
        <w:gridCol w:w="1658"/>
        <w:gridCol w:w="1658"/>
      </w:tblGrid>
      <w:tr w:rsidR="00ED0302" w:rsidRPr="00612757" w:rsidTr="00612757">
        <w:tc>
          <w:tcPr>
            <w:tcW w:w="3223" w:type="dxa"/>
          </w:tcPr>
          <w:p w:rsidR="00ED0302" w:rsidRPr="00612757" w:rsidRDefault="00ED0302" w:rsidP="00ED0302">
            <w:pPr>
              <w:pStyle w:val="Web"/>
              <w:rPr>
                <w:rFonts w:hint="eastAsia"/>
                <w:sz w:val="20"/>
                <w:szCs w:val="20"/>
              </w:rPr>
            </w:pPr>
            <w:r w:rsidRPr="00612757">
              <w:rPr>
                <w:rFonts w:hint="eastAsia"/>
                <w:sz w:val="20"/>
                <w:szCs w:val="20"/>
              </w:rPr>
              <w:t>鑽石1段：</w:t>
            </w:r>
            <w:r w:rsidRPr="00612757">
              <w:rPr>
                <w:rFonts w:hint="eastAsia"/>
                <w:sz w:val="20"/>
                <w:szCs w:val="20"/>
              </w:rPr>
              <w:t xml:space="preserve">客戶需求整合 </w:t>
            </w:r>
          </w:p>
        </w:tc>
        <w:tc>
          <w:tcPr>
            <w:tcW w:w="1658" w:type="dxa"/>
            <w:vMerge w:val="restart"/>
          </w:tcPr>
          <w:p w:rsidR="00ED0302" w:rsidRPr="00612757" w:rsidRDefault="00ED0302" w:rsidP="00ED030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建立和維繫相互理解的能力</w:t>
            </w:r>
          </w:p>
        </w:tc>
        <w:tc>
          <w:tcPr>
            <w:tcW w:w="1658" w:type="dxa"/>
            <w:vMerge w:val="restart"/>
          </w:tcPr>
          <w:p w:rsidR="00ED0302" w:rsidRPr="00612757" w:rsidRDefault="00ED0302" w:rsidP="00ED030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採取適當行為來解決問題的能力</w:t>
            </w:r>
          </w:p>
        </w:tc>
        <w:tc>
          <w:tcPr>
            <w:tcW w:w="1658" w:type="dxa"/>
            <w:vMerge w:val="restart"/>
          </w:tcPr>
          <w:p w:rsidR="00ED0302" w:rsidRPr="00612757" w:rsidRDefault="00ED0302" w:rsidP="00ED030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建立和維持團隊合作的能力</w:t>
            </w:r>
          </w:p>
        </w:tc>
      </w:tr>
      <w:tr w:rsidR="00ED0302" w:rsidRPr="00612757" w:rsidTr="00612757">
        <w:tc>
          <w:tcPr>
            <w:tcW w:w="3223" w:type="dxa"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  <w:r w:rsidRPr="00612757">
              <w:rPr>
                <w:rFonts w:hint="eastAsia"/>
                <w:sz w:val="20"/>
                <w:szCs w:val="20"/>
              </w:rPr>
              <w:t>鑽石</w:t>
            </w:r>
            <w:r w:rsidRPr="00612757">
              <w:rPr>
                <w:rFonts w:hint="eastAsia"/>
                <w:sz w:val="20"/>
                <w:szCs w:val="20"/>
              </w:rPr>
              <w:t>2</w:t>
            </w:r>
            <w:r w:rsidRPr="00612757">
              <w:rPr>
                <w:rFonts w:hint="eastAsia"/>
                <w:sz w:val="20"/>
                <w:szCs w:val="20"/>
              </w:rPr>
              <w:t>段：概念</w:t>
            </w:r>
            <w:r>
              <w:rPr>
                <w:rFonts w:hint="eastAsia"/>
                <w:sz w:val="20"/>
                <w:szCs w:val="20"/>
              </w:rPr>
              <w:t>情</w:t>
            </w:r>
            <w:r w:rsidRPr="00612757">
              <w:rPr>
                <w:rFonts w:hint="eastAsia"/>
                <w:sz w:val="20"/>
                <w:szCs w:val="20"/>
              </w:rPr>
              <w:t>境故事發展</w:t>
            </w: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</w:tr>
      <w:tr w:rsidR="00ED0302" w:rsidRPr="00612757" w:rsidTr="00612757">
        <w:tc>
          <w:tcPr>
            <w:tcW w:w="3223" w:type="dxa"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  <w:r w:rsidRPr="00612757">
              <w:rPr>
                <w:rFonts w:hint="eastAsia"/>
                <w:sz w:val="20"/>
                <w:szCs w:val="20"/>
              </w:rPr>
              <w:t>鑽石</w:t>
            </w:r>
            <w:r w:rsidRPr="00612757">
              <w:rPr>
                <w:rFonts w:hint="eastAsia"/>
                <w:sz w:val="20"/>
                <w:szCs w:val="20"/>
              </w:rPr>
              <w:t>3</w:t>
            </w:r>
            <w:r w:rsidRPr="00612757">
              <w:rPr>
                <w:rFonts w:hint="eastAsia"/>
                <w:sz w:val="20"/>
                <w:szCs w:val="20"/>
              </w:rPr>
              <w:t>段：不同商業模式測試</w:t>
            </w: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658" w:type="dxa"/>
            <w:vMerge/>
          </w:tcPr>
          <w:p w:rsidR="00ED0302" w:rsidRPr="00612757" w:rsidRDefault="00ED0302" w:rsidP="00653132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9B1E00" w:rsidRDefault="009B1E00" w:rsidP="00653132"/>
    <w:p w:rsidR="00612757" w:rsidRDefault="00612757" w:rsidP="00ED030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從評估中找出設計、商管學生的特點與差異，提供更貼切的</w:t>
      </w:r>
      <w:r w:rsidRPr="00612757">
        <w:rPr>
          <w:rFonts w:hint="eastAsia"/>
        </w:rPr>
        <w:t>以人為本的設計思考的模式和設計創新教育課程</w:t>
      </w:r>
      <w:r>
        <w:rPr>
          <w:rFonts w:hint="eastAsia"/>
        </w:rPr>
        <w:t>指導建議。</w:t>
      </w:r>
    </w:p>
    <w:p w:rsidR="00612757" w:rsidRPr="00ED0302" w:rsidRDefault="008724C7" w:rsidP="00ED0302">
      <w:pPr>
        <w:pStyle w:val="a3"/>
        <w:numPr>
          <w:ilvl w:val="0"/>
          <w:numId w:val="10"/>
        </w:numPr>
        <w:ind w:leftChars="0"/>
        <w:rPr>
          <w:b/>
          <w:bCs/>
        </w:rPr>
      </w:pPr>
      <w:r>
        <w:rPr>
          <w:rFonts w:hint="eastAsia"/>
        </w:rPr>
        <w:t>深入設計過程研究設計</w:t>
      </w:r>
      <w:r>
        <w:rPr>
          <w:rFonts w:hint="eastAsia"/>
        </w:rPr>
        <w:t>+</w:t>
      </w:r>
      <w:r>
        <w:rPr>
          <w:rFonts w:hint="eastAsia"/>
        </w:rPr>
        <w:t>商管：團隊中的角色和關係、設計過程的規劃和與計畫相關的惡行動、信息的收集和共享、分析和理解設計問題的方法、開發和採用設計概念的方法、</w:t>
      </w:r>
      <w:r w:rsidRPr="00ED0302">
        <w:rPr>
          <w:rFonts w:hint="eastAsia"/>
          <w:b/>
          <w:bCs/>
        </w:rPr>
        <w:t>如何解決問題和避免衝突</w:t>
      </w:r>
    </w:p>
    <w:p w:rsidR="00FD5F16" w:rsidRDefault="00FD5F16" w:rsidP="00612757">
      <w:pPr>
        <w:rPr>
          <w:b/>
          <w:bCs/>
        </w:rPr>
      </w:pPr>
    </w:p>
    <w:p w:rsidR="00ED0302" w:rsidRDefault="00ED0302" w:rsidP="00ED0302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未來研究方向：</w:t>
      </w:r>
    </w:p>
    <w:p w:rsidR="00FD5F16" w:rsidRPr="00ED0302" w:rsidRDefault="00ED0302" w:rsidP="00ED03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假設</w:t>
      </w:r>
      <w:r w:rsidR="00FD5F16" w:rsidRPr="00ED0302">
        <w:rPr>
          <w:rFonts w:hint="eastAsia"/>
        </w:rPr>
        <w:t>數位平台介入團隊合作增進溝通績效</w:t>
      </w:r>
    </w:p>
    <w:p w:rsidR="00B83F1F" w:rsidRPr="00ED0302" w:rsidRDefault="00B83F1F" w:rsidP="00ED0302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Pr="00ED0302">
        <w:rPr>
          <w:rFonts w:hint="eastAsia"/>
        </w:rPr>
        <w:t>不同階段介入不同的數位平台輔助</w:t>
      </w:r>
      <w:r w:rsidR="00ED0302">
        <w:rPr>
          <w:rFonts w:hint="eastAsia"/>
        </w:rPr>
        <w:t>團隊合作</w:t>
      </w:r>
      <w:r w:rsidRPr="00ED0302">
        <w:rPr>
          <w:rFonts w:hint="eastAsia"/>
        </w:rPr>
        <w:t>交互行為</w:t>
      </w:r>
    </w:p>
    <w:p w:rsidR="00612757" w:rsidRDefault="00612757" w:rsidP="00653132">
      <w:pPr>
        <w:rPr>
          <w:rFonts w:hint="eastAsia"/>
        </w:rPr>
      </w:pPr>
    </w:p>
    <w:p w:rsidR="009B1E00" w:rsidRDefault="009B1E00" w:rsidP="00653132">
      <w:pPr>
        <w:rPr>
          <w:rFonts w:hint="eastAsia"/>
        </w:rPr>
      </w:pPr>
    </w:p>
    <w:p w:rsidR="009B1E00" w:rsidRPr="009B1E00" w:rsidRDefault="009B1E00" w:rsidP="00653132">
      <w:pPr>
        <w:rPr>
          <w:rFonts w:hint="eastAsia"/>
        </w:rPr>
      </w:pPr>
    </w:p>
    <w:p w:rsidR="00C57D14" w:rsidRDefault="00C57D14" w:rsidP="0052683D">
      <w:pPr>
        <w:pStyle w:val="a3"/>
        <w:ind w:leftChars="0"/>
      </w:pPr>
    </w:p>
    <w:p w:rsidR="00C57D14" w:rsidRPr="00C57D14" w:rsidRDefault="00C57D14" w:rsidP="0052683D">
      <w:pPr>
        <w:pStyle w:val="a3"/>
        <w:ind w:leftChars="0"/>
        <w:rPr>
          <w:rFonts w:hint="eastAsia"/>
        </w:rPr>
      </w:pPr>
    </w:p>
    <w:sectPr w:rsidR="00C57D14" w:rsidRPr="00C57D14" w:rsidSect="00F5639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07" w:rsidRDefault="00CC6107" w:rsidP="001A2DAE">
      <w:r>
        <w:separator/>
      </w:r>
    </w:p>
  </w:endnote>
  <w:endnote w:type="continuationSeparator" w:id="0">
    <w:p w:rsidR="00CC6107" w:rsidRDefault="00CC6107" w:rsidP="001A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07" w:rsidRDefault="00CC6107" w:rsidP="001A2DAE">
      <w:r>
        <w:separator/>
      </w:r>
    </w:p>
  </w:footnote>
  <w:footnote w:type="continuationSeparator" w:id="0">
    <w:p w:rsidR="00CC6107" w:rsidRDefault="00CC6107" w:rsidP="001A2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93C"/>
    <w:multiLevelType w:val="hybridMultilevel"/>
    <w:tmpl w:val="A7CCB5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2E0E02"/>
    <w:multiLevelType w:val="hybridMultilevel"/>
    <w:tmpl w:val="410609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37548E"/>
    <w:multiLevelType w:val="hybridMultilevel"/>
    <w:tmpl w:val="321A6B5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54C115A"/>
    <w:multiLevelType w:val="hybridMultilevel"/>
    <w:tmpl w:val="95B244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07411F"/>
    <w:multiLevelType w:val="hybridMultilevel"/>
    <w:tmpl w:val="F1C822A2"/>
    <w:lvl w:ilvl="0" w:tplc="105CE0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9B67868"/>
    <w:multiLevelType w:val="hybridMultilevel"/>
    <w:tmpl w:val="FC4A6A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DFC4FCA"/>
    <w:multiLevelType w:val="hybridMultilevel"/>
    <w:tmpl w:val="7D78ED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490CFD"/>
    <w:multiLevelType w:val="hybridMultilevel"/>
    <w:tmpl w:val="F77CF1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2B56C1A"/>
    <w:multiLevelType w:val="hybridMultilevel"/>
    <w:tmpl w:val="F91AFD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E35026E"/>
    <w:multiLevelType w:val="hybridMultilevel"/>
    <w:tmpl w:val="D06A16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A0E137D"/>
    <w:multiLevelType w:val="hybridMultilevel"/>
    <w:tmpl w:val="B568D8F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994BEB"/>
    <w:multiLevelType w:val="hybridMultilevel"/>
    <w:tmpl w:val="F9BC6D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C4E47E6"/>
    <w:multiLevelType w:val="hybridMultilevel"/>
    <w:tmpl w:val="E99815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8CE4CFD"/>
    <w:multiLevelType w:val="hybridMultilevel"/>
    <w:tmpl w:val="799842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FC2EEA"/>
    <w:multiLevelType w:val="hybridMultilevel"/>
    <w:tmpl w:val="05EA577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3D"/>
    <w:rsid w:val="00005850"/>
    <w:rsid w:val="000210B8"/>
    <w:rsid w:val="0004249D"/>
    <w:rsid w:val="000A2A6F"/>
    <w:rsid w:val="001612B1"/>
    <w:rsid w:val="001870FD"/>
    <w:rsid w:val="001A2DAE"/>
    <w:rsid w:val="001C63AE"/>
    <w:rsid w:val="00211314"/>
    <w:rsid w:val="0022009B"/>
    <w:rsid w:val="002242D1"/>
    <w:rsid w:val="00234CF9"/>
    <w:rsid w:val="002465A8"/>
    <w:rsid w:val="002667F9"/>
    <w:rsid w:val="00295876"/>
    <w:rsid w:val="002E0E9E"/>
    <w:rsid w:val="0030578E"/>
    <w:rsid w:val="003351F8"/>
    <w:rsid w:val="00365021"/>
    <w:rsid w:val="003D4440"/>
    <w:rsid w:val="003F504A"/>
    <w:rsid w:val="00456F59"/>
    <w:rsid w:val="004827DA"/>
    <w:rsid w:val="00485F9D"/>
    <w:rsid w:val="004E33D1"/>
    <w:rsid w:val="004F1BE3"/>
    <w:rsid w:val="004F4D08"/>
    <w:rsid w:val="004F7531"/>
    <w:rsid w:val="0052683D"/>
    <w:rsid w:val="00573287"/>
    <w:rsid w:val="005832C2"/>
    <w:rsid w:val="005A6F15"/>
    <w:rsid w:val="00612757"/>
    <w:rsid w:val="0063555F"/>
    <w:rsid w:val="00653132"/>
    <w:rsid w:val="006555D5"/>
    <w:rsid w:val="006904F1"/>
    <w:rsid w:val="00691C1A"/>
    <w:rsid w:val="006B189D"/>
    <w:rsid w:val="006C20CD"/>
    <w:rsid w:val="006C54A4"/>
    <w:rsid w:val="006D24DA"/>
    <w:rsid w:val="006F5FC2"/>
    <w:rsid w:val="00702DE5"/>
    <w:rsid w:val="007104AC"/>
    <w:rsid w:val="00726DDB"/>
    <w:rsid w:val="00757508"/>
    <w:rsid w:val="007825EE"/>
    <w:rsid w:val="007D3399"/>
    <w:rsid w:val="008724C7"/>
    <w:rsid w:val="008D06B5"/>
    <w:rsid w:val="008D43AB"/>
    <w:rsid w:val="00903D09"/>
    <w:rsid w:val="00927EAC"/>
    <w:rsid w:val="00951FF7"/>
    <w:rsid w:val="00956A9E"/>
    <w:rsid w:val="00977B54"/>
    <w:rsid w:val="00981443"/>
    <w:rsid w:val="00993163"/>
    <w:rsid w:val="009A2181"/>
    <w:rsid w:val="009B1E00"/>
    <w:rsid w:val="009C2176"/>
    <w:rsid w:val="009D2FAA"/>
    <w:rsid w:val="00A11DDC"/>
    <w:rsid w:val="00A213E7"/>
    <w:rsid w:val="00A33251"/>
    <w:rsid w:val="00B02431"/>
    <w:rsid w:val="00B15978"/>
    <w:rsid w:val="00B2396C"/>
    <w:rsid w:val="00B742C8"/>
    <w:rsid w:val="00B77709"/>
    <w:rsid w:val="00B83F1F"/>
    <w:rsid w:val="00BA0157"/>
    <w:rsid w:val="00BA0A40"/>
    <w:rsid w:val="00BD7CBD"/>
    <w:rsid w:val="00BF37BE"/>
    <w:rsid w:val="00C57D14"/>
    <w:rsid w:val="00C6775F"/>
    <w:rsid w:val="00CC6107"/>
    <w:rsid w:val="00D755CE"/>
    <w:rsid w:val="00D84C20"/>
    <w:rsid w:val="00ED0302"/>
    <w:rsid w:val="00F56397"/>
    <w:rsid w:val="00F766B6"/>
    <w:rsid w:val="00F85202"/>
    <w:rsid w:val="00F95602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13A3"/>
  <w15:chartTrackingRefBased/>
  <w15:docId w15:val="{3D86A73E-4B40-7B4A-8A39-8D20DC12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3D"/>
    <w:pPr>
      <w:ind w:leftChars="200" w:left="480"/>
    </w:pPr>
  </w:style>
  <w:style w:type="table" w:styleId="a4">
    <w:name w:val="Table Grid"/>
    <w:basedOn w:val="a1"/>
    <w:uiPriority w:val="39"/>
    <w:rsid w:val="009B1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27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1A2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A2DA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A2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A2D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95BAA-A4F1-AF4E-82EE-CBFE840F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vip101935</dc:creator>
  <cp:keywords/>
  <dc:description/>
  <cp:lastModifiedBy>vip101935</cp:lastModifiedBy>
  <cp:revision>2</cp:revision>
  <dcterms:created xsi:type="dcterms:W3CDTF">2020-04-21T15:15:00Z</dcterms:created>
  <dcterms:modified xsi:type="dcterms:W3CDTF">2020-04-22T04:12:00Z</dcterms:modified>
</cp:coreProperties>
</file>