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地缘政治追踪-国际地缘政治动态（20260401-20260408）</w:t>
      </w:r>
    </w:p>
    <w:p>
      <w:pPr>
        <w:jc w:val="center"/>
      </w:pPr>
      <w:r>
        <w:rPr>
          <w:b/>
          <w:sz w:val="20"/>
        </w:rPr>
        <w:t>目  录</w:t>
      </w:r>
    </w:p>
    <w:p>
      <w:r>
        <w:fldChar w:fldCharType="begin"/>
      </w:r>
      <w:r>
        <w:instrText xml:space="preserve"> TOC \o "2-3" \h \z \u </w:instrText>
      </w:r>
      <w:r>
        <w:fldChar w:fldCharType="separate"/>
      </w:r>
      <w:r>
        <w:rPr>
          <w:sz w:val="20"/>
        </w:rPr>
        <w:t>（请右键此处 → 更新域 → 更新整个目录）</w:t>
      </w:r>
      <w:r>
        <w:fldChar w:fldCharType="end"/>
      </w:r>
    </w:p>
    <w:p/>
    <w:p>
      <w:pPr>
        <w:pStyle w:val="3"/>
      </w:pPr>
      <w:r>
        <w:t>一、制裁与经济管制</w:t>
      </w:r>
    </w:p>
    <w:p>
      <w:pPr>
        <w:pStyle w:val="4"/>
      </w:pPr>
      <w:r>
        <w:t>（1）04-01|美国|OFAC连续调整SDN名单：移除委内瑞拉和俄罗斯制裁对象</w:t>
      </w:r>
    </w:p>
    <w:p>
      <w:pPr>
        <w:pStyle w:val="19"/>
      </w:pPr>
      <w:r>
        <w:t>OFAC在四月第一周对特别指定国民名单（SDN）进行两次调整，分别移除委内瑞拉和俄罗斯相关制裁对象。4月1日，委内瑞拉执行副总统德尔西·罗德里格斯·戈麦斯被从SDN名单中删除，此举与特朗普政府拘押马杜罗、对委石油封锁等系列强硬行动并行。4月3日，俄罗斯国民米哈伊尔·扎多尔诺夫被移除SDN名单。两次调整均未附公开说明，行政性名单更新是否反映更广泛的制裁政策方向调整有待后续观察。</w:t>
      </w:r>
    </w:p>
    <w:p>
      <w:pPr>
        <w:pStyle w:val="19"/>
      </w:pPr>
      <w:r>
        <w:t>资料来源：OFAC，https://ofac.treasury.gov/recent-actions/20260401</w:t>
      </w:r>
    </w:p>
    <w:p>
      <w:pPr>
        <w:pStyle w:val="3"/>
      </w:pPr>
      <w:r>
        <w:t>二、贸易与产业政策</w:t>
      </w:r>
    </w:p>
    <w:p>
      <w:pPr>
        <w:pStyle w:val="4"/>
      </w:pPr>
      <w:r>
        <w:t>（2）04-02|美国|特朗普签署行政令对专利药品征收最高100%关税</w:t>
      </w:r>
    </w:p>
    <w:p>
      <w:pPr>
        <w:pStyle w:val="19"/>
      </w:pPr>
      <w:r>
        <w:t>美国在「解放日」一周年将关税武器延伸至药品领域。特朗普签署行政令，对未与政府达成协议的品牌专利药征收最高100%关税，大型药企有120天、其余企业有180天谈判窗口。已签「最惠国定价」协议且在美建厂的企业适用0%税率，仅建厂未签协议者适用20%并四年内升至100%。白宫称17家主要药企已达成定价协议，13家已签字，包括辉瑞、礼来和百时美施贵宝。行政令援引国家安全条款，将进口药品定性为「对国家安全构成的威胁」。欧盟、日本、韩国、瑞士药品适用15%均一税率，英国适用10%并可在贸易协定下降至零。PhRMA警告关税「将增加成本并危及数十亿美元美国投资」。</w:t>
      </w:r>
    </w:p>
    <w:p>
      <w:pPr>
        <w:pStyle w:val="19"/>
      </w:pPr>
      <w:r>
        <w:t>资料来源：白宫 Fact Sheet，https://www.whitehouse.gov/fact-sheets/2026/04/fact-sheet-president-donald-j-trump-bolsters-national-security-and-strengthens-u-s-supply-chains-by-imposing-tariffs-on-patented-pharmaceutical-products/</w:t>
      </w:r>
    </w:p>
    <w:p>
      <w:pPr>
        <w:pStyle w:val="4"/>
      </w:pPr>
      <w:r>
        <w:t>（3）04-02|美国|特朗普重构Section 232金属关税：成品50%、衍生品15-25%</w:t>
      </w:r>
    </w:p>
    <w:p>
      <w:pPr>
        <w:pStyle w:val="19"/>
      </w:pPr>
      <w:r>
        <w:t>美国拆分钢铝铜关税为成品和衍生品两级税率，覆盖范围扩展至铜。特朗普签署公告调整Section 232关税结构：几乎全部由钢、铝或铜制成的商品适用50%税率，「实质性含有」上述金属的衍生品适用25%税率。衍生品清单涵盖钢制炊具、餐具、柴油机车、半挂卡车等品类。英国获差异化待遇：成品25%、衍生品15%，与欧盟、日本、韩国既有协议不受影响。金属不敏感型工业设备和电网设备适用15%特殊税率至2027年底，含金属量不超过15%的商品不再适用Section 232关税。新税率4月6日生效。特朗普终止此前逐步扩大衍生品覆盖范围的行政令程序，改由内阁官员滚动决定新增品类。</w:t>
      </w:r>
    </w:p>
    <w:p>
      <w:pPr>
        <w:pStyle w:val="19"/>
      </w:pPr>
      <w:r>
        <w:t>资料来源：白宫 Proclamation，https://www.whitehouse.gov/presidential-actions/2026/04/strengthening-actions-taken-to-adjust-imports-of-aluminum-steel-and-copper-into-the-united-states/</w:t>
      </w:r>
    </w:p>
    <w:p>
      <w:pPr>
        <w:pStyle w:val="4"/>
      </w:pPr>
      <w:r>
        <w:t>（4）04-07|欧盟|欧盟公布首个CBAM碳边境调节机制证书价格：75.36欧元/吨</w:t>
      </w:r>
    </w:p>
    <w:p>
      <w:pPr>
        <w:pStyle w:val="19"/>
      </w:pPr>
      <w:r>
        <w:t>欧盟委员会公布CBAM运营阶段首个季度证书价格，每吨CO₂定价75.36欧元。价格基于EU ETS（欧盟排放交易体系）排放配额拍卖加权均价计算，确保欧洲生产商与进口商面对等价碳成本，防止碳泄漏。2026年按季度公布价格（4月7日、7月6日、10月5日、1月4日），2027年起改为每周公布，标志机制进一步成熟。进口商需在2027年2月开始购买证书以覆盖2026年进口商品的碳排放，交易通过统一中央平台处理。</w:t>
      </w:r>
    </w:p>
    <w:p>
      <w:pPr>
        <w:pStyle w:val="19"/>
      </w:pPr>
      <w:r>
        <w:t>资料来源：European Commission，https://ec.europa.eu/commission/presscorner/detail/en/ip_26_1234</w:t>
      </w:r>
    </w:p>
    <w:p>
      <w:pPr>
        <w:pStyle w:val="3"/>
      </w:pPr>
      <w:r>
        <w:t>三、能源安全与资源角力</w:t>
      </w:r>
    </w:p>
    <w:p>
      <w:pPr>
        <w:pStyle w:val="4"/>
      </w:pPr>
      <w:r>
        <w:t>（5）04-01|欧盟|欧洲审计院发布关键原材料特别报告，评估能源转型供应安全</w:t>
      </w:r>
    </w:p>
    <w:p>
      <w:pPr>
        <w:pStyle w:val="19"/>
      </w:pPr>
      <w:r>
        <w:t>欧盟审计机构系统评估关键原材料对能源转型的供应风险。欧洲审计院发布第04/2026号特别报告，审查欧盟在锂、钴、稀土等关键原材料的供应安全状况及对外依赖程度。报告评估2023年《关键原材料法案》实施进展，重点关注矿产加工和精炼环节的域内能力建设。报告发布正值全球关键矿产供应链因大国技术竞争和贸易壁垒面临重组压力。</w:t>
      </w:r>
    </w:p>
    <w:p>
      <w:pPr>
        <w:pStyle w:val="19"/>
      </w:pPr>
      <w:r>
        <w:t>资料来源：European Court of Auditors，https://www.eca.europa.eu/en/publications/SR-2026-04</w:t>
      </w:r>
    </w:p>
    <w:p>
      <w:pPr>
        <w:pStyle w:val="4"/>
      </w:pPr>
      <w:r>
        <w:t>（6）04-05|多国|OPEC+同意5月增产20.6万桶/日，附霍尔木兹海峡开放条件</w:t>
      </w:r>
    </w:p>
    <w:p>
      <w:pPr>
        <w:pStyle w:val="19"/>
      </w:pPr>
      <w:r>
        <w:t>OPEC+在霍尔木兹海峡持续封锁背景下达成增产决议，但实际兑现取决于航运通道恢复。OPEC+成员国同意将5月石油生产配额上调20.6万桶/日，但明确增产以霍尔木兹海峡重新开放为前提。波斯湾沿岸产油国因伊朗冲突已累计减产约1000万桶/日，全球石油供应持续紧张。此前OPEC+曾在2025年4月至12月间累计上调配额约290万桶/日，随后暂停。市场将此次增产视为象征性举措，实际供应量取决于海峡通航时间表。</w:t>
      </w:r>
    </w:p>
    <w:p>
      <w:pPr>
        <w:pStyle w:val="19"/>
      </w:pPr>
      <w:r>
        <w:t>资料来源：Reuters，https://www.reuters.com/business/energy/opec-debates-theoretical-oil-output-hike-amid-iran-war-paral</w:t>
      </w:r>
    </w:p>
    <w:p>
      <w:pPr>
        <w:pStyle w:val="4"/>
      </w:pPr>
      <w:r>
        <w:t>（7）04-05|国际|CMI发布2026年关键矿产观察名单：钨升至前五，钴降级</w:t>
      </w:r>
    </w:p>
    <w:p>
      <w:pPr>
        <w:pStyle w:val="19"/>
      </w:pPr>
      <w:r>
        <w:t>关键矿产研究所（CMI）更新2026年观察名单，以供应集中度而非地质稀缺性重新排列矿种优先级。新增铼（Re）和铟（In），分别因航空航天与半导体领域的战略用途纳入名单。钨（W）因在国防、工业刀具和先进制造中的关键作用升入前五，全球供应高度集中且西方产能有限。钴（Co）从前五降级，尽管全球约70%产量仍集中在刚果（金），但供应本身的战略紧迫性弱于新入选矿种。CMI定义关键矿产的核心标准为供应集中度风险，而非地质稀缺性——一国或两国垄断生产且存在可靠性风险时即构成关键性。</w:t>
      </w:r>
    </w:p>
    <w:p>
      <w:pPr>
        <w:pStyle w:val="19"/>
      </w:pPr>
      <w:r>
        <w:t>资料来源：InvestorNews/CMI，https://investornews.com/market-opinion/critical-minerals-institute-unveils-2026-watchlist-rhenium-r</w:t>
      </w:r>
    </w:p>
    <w:p>
      <w:pPr>
        <w:pStyle w:val="4"/>
      </w:pPr>
      <w:r>
        <w:t>（8）04-07|美国|美国EIA评估：霍尔木兹关闭是短期能源预测的关键驱动因素</w:t>
      </w:r>
    </w:p>
    <w:p>
      <w:pPr>
        <w:pStyle w:val="19"/>
      </w:pPr>
      <w:r>
        <w:t>美国能源信息署（EIA）发布短期能源展望更新，将霍尔木兹海峡关闭列为预测核心变量。EIA指出霍尔木兹海峡关闭和相关生产中断是最新短期能源预测的关键驱动因素。4月8日EIA同步发布《2026年度能源展望》，系统性评估中东冲突对全球油气供应的中长期影响</w:t>
      </w:r>
    </w:p>
    <w:p>
      <w:pPr>
        <w:pStyle w:val="19"/>
      </w:pPr>
      <w:r>
        <w:t>资料来源：美国EIA，https://www.eia.gov/pressroom/releases/press586.php</w:t>
      </w:r>
    </w:p>
    <w:p>
      <w:pPr>
        <w:pStyle w:val="4"/>
      </w:pPr>
      <w:r>
        <w:t>（9）04-02|中国|中国外交部就霍尔木兹海峡危机连续表态</w:t>
      </w:r>
    </w:p>
    <w:p>
      <w:pPr>
        <w:pStyle w:val="19"/>
      </w:pPr>
      <w:r>
        <w:t>中国外交部在一周内两次就霍尔木兹海峡局势公开表态，将通航受阻定性为美以军事行动后果。4月2日毛宁回应特朗普建议各国"去霍尔木兹海峡抢石油"：通航受阻根源是美国和以色列对伊朗的非法军事行动，只有停火止战才能从根本上维护国际航道安全畅通。4月8日毛宁就伊朗拟对通过海峡的船只收取航运费表态：霍尔木兹海峡是重要能源贸易通道，维护这一地区安全稳定和畅通符合国际社会共同利益。中方将危机根源归咎于美以军事行动，与美方"航行自由"叙事形成明确对照</w:t>
      </w:r>
    </w:p>
    <w:p>
      <w:pPr>
        <w:pStyle w:val="19"/>
      </w:pPr>
      <w:r>
        <w:t>资料来源：外交部发言人办公室（环球时报转载4/2表态），https://mp.weixin.qq.com/s/entmuaeNvUxfRYx2bOW5fQ</w:t>
      </w:r>
    </w:p>
    <w:p>
      <w:pPr>
        <w:pStyle w:val="3"/>
      </w:pPr>
      <w:r>
        <w:t>四、技术竞争与规则制定</w:t>
      </w:r>
    </w:p>
    <w:p>
      <w:pPr>
        <w:pStyle w:val="4"/>
      </w:pPr>
      <w:r>
        <w:t>（10）04-01|美国|商务部修订对华/澳门先进计算商品出口许可审查政策</w:t>
      </w:r>
    </w:p>
    <w:p>
      <w:pPr>
        <w:pStyle w:val="19"/>
      </w:pPr>
      <w:r>
        <w:t>美国商务部调整对中国大陆和澳门先进计算商品的出口许可审查政策。具体修订内容涉及许可审查标准的更新，反映拜登政府时期AI芯片出口管制「三层架构」在特朗普政府下的政策延续与微调。Covington律所分析指出此次修订是在芯片安全法案国会推进和产业界「政策不一致」批评双重压力下的回应。</w:t>
      </w:r>
    </w:p>
    <w:p>
      <w:pPr>
        <w:pStyle w:val="19"/>
      </w:pPr>
      <w:r>
        <w:t>资料来源：美国商务部BIS，https://www.bis.doc.gov/press-release/department-commerce-revises-license-review-policy-semiconductors-exported-china</w:t>
      </w:r>
    </w:p>
    <w:p>
      <w:pPr>
        <w:pStyle w:val="4"/>
      </w:pPr>
      <w:r>
        <w:t>（11）04-01|美国|美国安森美宣布在华追加5000万美元投资，上海设大中华区总部</w:t>
      </w:r>
    </w:p>
    <w:p>
      <w:pPr>
        <w:pStyle w:val="19"/>
      </w:pPr>
      <w:r>
        <w:t>美国功率半导体厂商安森美逆全球脱钩趋势强化在华布局，宣布上海设大中华区总部。安森美3月31日在上海发布中国战略，宣布上海设为大中华区总部，将任命中国区总经理强化本地决策。未来三年将在中国追加约5000万美元投资，用于研发、制造协同及本土生态建设。CEO El-Khoury称"中国不仅是重要市场，更逐渐成为全球创新的重要源头"。安森美在华拥有3个制造基地、约4000名员工，过去五年产品物料清单本地化比例从低个位数提升至约50%</w:t>
      </w:r>
    </w:p>
    <w:p>
      <w:pPr>
        <w:pStyle w:val="19"/>
      </w:pPr>
      <w:r>
        <w:t>资料来源：财新，https://mp.weixin.qq.com/s/aQltbDMUgioSd0ZFwFAPcg</w:t>
      </w:r>
    </w:p>
    <w:p>
      <w:pPr>
        <w:pStyle w:val="4"/>
      </w:pPr>
      <w:r>
        <w:t>（12）04-07|中国|DeepSeek V4部署华为昇腾950 PR，万亿参数模型脱离CUDA</w:t>
      </w:r>
    </w:p>
    <w:p>
      <w:pPr>
        <w:pStyle w:val="19"/>
      </w:pPr>
      <w:r>
        <w:t>中国AI模型DeepSeek V4选择华为昇腾处理器为硬件底座，加速中国AI生态去NVIDIA化。DeepSeek V4采用MoE（混合专家）架构，总参数量达万亿级别，单次推理激活约370亿参数，规模较V3翻倍以上。V4原本可更早发布，但过去数月为适配华为和寒武纪芯片进行大量底层架构重写，刻意脱离NVIDIA CUDA生态。阿里巴巴、字节跳动、腾讯等头部企业据报已向华为下达数十万颗芯片订单，推动华为芯片价格上涨约20%。硬件方面，华为昇腾950 PR基于中芯国际（SMIC）7nm工艺和达芬奇架构，提供1 PFLOPS（FP8）算力、2 TB/s互联带宽，集成自研HiBL内存112GB以减少外部供应链依赖。</w:t>
      </w:r>
    </w:p>
    <w:p>
      <w:pPr>
        <w:pStyle w:val="19"/>
      </w:pPr>
      <w:r>
        <w:t>资料来源：TrendForce，https://www.trendforce.com/news/2026/04/07/news-decoding-deepseek-v4-how-huaweis-ascend-950-pr-is-po</w:t>
      </w:r>
    </w:p>
    <w:sectPr>
      <w:footerReference r:id="rId5" w:type="default"/>
      <w:footnotePr>
        <w:numFmt w:val="decimal"/>
        <w:numRestart w:val="eachSect"/>
      </w:footnotePr>
      <w:endnotePr>
        <w:numFmt w:val="decimal"/>
        <w:numRestart w:val="eachSect"/>
      </w:endnotePr>
      <w:pgSz w:w="11900" w:h="16840"/>
      <w:pgMar w:top="1440" w:right="1440" w:bottom="1440" w:left="1440" w:header="0" w:footer="11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auto"/>
    <w:pitch w:val="default"/>
    <w:sig w:usb0="E0000AFF" w:usb1="4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8BBE3">
    <w:pPr>
      <w:jc w:val="center"/>
    </w:pPr>
    <w:r>
      <w:fldChar w:fldCharType="begin"/>
    </w:r>
    <w:r>
      <w:instrText xml:space="preserve">PAGE \* MERGEFORMAT</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autoHyphenation/>
  <w:footnotePr>
    <w:numRestart w:val="eachSect"/>
    <w:footnote w:id="0"/>
    <w:footnote w:id="1"/>
  </w:footnotePr>
  <w:endnotePr>
    <w:numFmt w:val="decimal"/>
    <w:numRestart w:val="eachSect"/>
    <w:endnote w:id="0"/>
    <w:endnote w:id="1"/>
  </w:endnotePr>
  <w:compat>
    <w:useFELayout/>
    <w:compatSetting w:name="compatibilityMode" w:uri="http://schemas.microsoft.com/office/word" w:val="15"/>
    <w:compatSetting w:name="enableOpenTypeFeatures" w:uri="http://schemas.microsoft.com/office/word" w:val="1"/>
  </w:compat>
  <w:rsids>
    <w:rsidRoot w:val="00000000"/>
    <w:rsid w:val="FFCBAB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1" w:name="heading 5"/>
    <w:lsdException w:qFormat="1" w:uiPriority="1"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 w:semiHidden="0" w:name="Strong"/>
    <w:lsdException w:qFormat="1" w:unhideWhenUsed="0" w:uiPriority="2"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420" w:lineRule="atLeast"/>
      <w:jc w:val="both"/>
    </w:pPr>
    <w:rPr>
      <w:rFonts w:ascii="Times New Roman" w:hAnsi="Times New Roman" w:eastAsia="Times New Roman" w:cs="Times New Roman"/>
      <w:sz w:val="21"/>
      <w:szCs w:val="21"/>
      <w:u w:val="none"/>
      <w:vertAlign w:val="baseline"/>
      <w:lang w:val="zh-CN" w:eastAsia="zh-CN" w:bidi="zh-CN"/>
      <w14:ligatures w14:val="standardContextual"/>
    </w:rPr>
  </w:style>
  <w:style w:type="paragraph" w:styleId="2">
    <w:name w:val="heading 1"/>
    <w:basedOn w:val="1"/>
    <w:qFormat/>
    <w:uiPriority w:val="1"/>
    <w:pPr>
      <w:spacing w:line="720" w:lineRule="atLeast"/>
      <w:jc w:val="center"/>
    </w:pPr>
    <w:rPr>
      <w:rFonts w:ascii="Times New Roman" w:hAnsi="Times New Roman" w:eastAsia="Times New Roman" w:cs="Times New Roman"/>
      <w:b/>
      <w:sz w:val="36"/>
      <w:szCs w:val="36"/>
    </w:rPr>
  </w:style>
  <w:style w:type="paragraph" w:styleId="3">
    <w:name w:val="heading 2"/>
    <w:basedOn w:val="1"/>
    <w:qFormat/>
    <w:uiPriority w:val="1"/>
    <w:pPr>
      <w:spacing w:line="600" w:lineRule="atLeast"/>
      <w:jc w:val="left"/>
    </w:pPr>
    <w:rPr>
      <w:rFonts w:ascii="Times New Roman" w:hAnsi="Times New Roman" w:eastAsia="Times New Roman" w:cs="Times New Roman"/>
      <w:b/>
      <w:sz w:val="30"/>
      <w:szCs w:val="30"/>
    </w:rPr>
  </w:style>
  <w:style w:type="paragraph" w:styleId="4">
    <w:name w:val="heading 3"/>
    <w:basedOn w:val="1"/>
    <w:qFormat/>
    <w:uiPriority w:val="1"/>
    <w:pPr>
      <w:spacing w:line="560" w:lineRule="atLeast"/>
      <w:jc w:val="left"/>
    </w:pPr>
    <w:rPr>
      <w:rFonts w:ascii="Times New Roman" w:hAnsi="Times New Roman" w:eastAsia="Times New Roman" w:cs="Times New Roman"/>
      <w:b/>
      <w:sz w:val="28"/>
      <w:szCs w:val="28"/>
    </w:rPr>
  </w:style>
  <w:style w:type="paragraph" w:styleId="5">
    <w:name w:val="heading 4"/>
    <w:basedOn w:val="1"/>
    <w:qFormat/>
    <w:uiPriority w:val="1"/>
    <w:pPr>
      <w:spacing w:line="480" w:lineRule="atLeast"/>
      <w:ind w:firstLine="431"/>
      <w:jc w:val="left"/>
    </w:pPr>
    <w:rPr>
      <w:rFonts w:ascii="Times New Roman" w:hAnsi="Times New Roman" w:eastAsia="Times New Roman" w:cs="Times New Roman"/>
      <w:b/>
      <w:sz w:val="24"/>
      <w:szCs w:val="24"/>
    </w:rPr>
  </w:style>
  <w:style w:type="paragraph" w:styleId="6">
    <w:name w:val="heading 5"/>
    <w:basedOn w:val="1"/>
    <w:semiHidden/>
    <w:unhideWhenUsed/>
    <w:qFormat/>
    <w:uiPriority w:val="1"/>
    <w:pPr>
      <w:ind w:firstLine="431"/>
      <w:jc w:val="left"/>
    </w:pPr>
    <w:rPr>
      <w:rFonts w:ascii="Times New Roman" w:hAnsi="Times New Roman" w:eastAsia="Times New Roman" w:cs="Times New Roman"/>
      <w:b/>
      <w:i/>
    </w:rPr>
  </w:style>
  <w:style w:type="paragraph" w:styleId="7">
    <w:name w:val="heading 6"/>
    <w:basedOn w:val="1"/>
    <w:semiHidden/>
    <w:unhideWhenUsed/>
    <w:qFormat/>
    <w:uiPriority w:val="1"/>
    <w:pPr>
      <w:ind w:firstLine="431"/>
      <w:jc w:val="left"/>
    </w:pPr>
    <w:rPr>
      <w:rFonts w:ascii="Times New Roman" w:hAnsi="Times New Roman" w:eastAsia="Times New Roman" w:cs="Times New Roman"/>
      <w:i/>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toc 1"/>
    <w:basedOn w:val="1"/>
    <w:next w:val="1"/>
    <w:uiPriority w:val="0"/>
  </w:style>
  <w:style w:type="paragraph" w:styleId="10">
    <w:name w:val="toc 2"/>
    <w:basedOn w:val="1"/>
    <w:next w:val="1"/>
    <w:uiPriority w:val="0"/>
    <w:pPr>
      <w:ind w:left="420" w:leftChars="200"/>
    </w:pPr>
  </w:style>
  <w:style w:type="character" w:styleId="13">
    <w:name w:val="Strong"/>
    <w:qFormat/>
    <w:uiPriority w:val="2"/>
    <w:rPr>
      <w:rFonts w:ascii="Times New Roman" w:hAnsi="Times New Roman" w:eastAsia="Times New Roman" w:cs="Times New Roman"/>
      <w:b/>
    </w:rPr>
  </w:style>
  <w:style w:type="character" w:styleId="14">
    <w:name w:val="Emphasis"/>
    <w:qFormat/>
    <w:uiPriority w:val="2"/>
    <w:rPr>
      <w:rFonts w:ascii="Times New Roman" w:hAnsi="Times New Roman" w:eastAsia="Times New Roman" w:cs="Times New Roman"/>
      <w:i/>
    </w:rPr>
  </w:style>
  <w:style w:type="paragraph" w:customStyle="1" w:styleId="15">
    <w:name w:val="分隔"/>
    <w:basedOn w:val="1"/>
    <w:semiHidden/>
    <w:unhideWhenUsed/>
    <w:qFormat/>
    <w:uiPriority w:val="1"/>
  </w:style>
  <w:style w:type="paragraph" w:customStyle="1" w:styleId="16">
    <w:name w:val="带虚线的列表"/>
    <w:basedOn w:val="1"/>
    <w:qFormat/>
    <w:uiPriority w:val="1"/>
  </w:style>
  <w:style w:type="paragraph" w:customStyle="1" w:styleId="17">
    <w:name w:val="Codeblock"/>
    <w:basedOn w:val="1"/>
    <w:semiHidden/>
    <w:unhideWhenUsed/>
    <w:qFormat/>
    <w:uiPriority w:val="1"/>
    <w:pPr>
      <w:spacing w:line="400" w:lineRule="atLeast"/>
    </w:pPr>
    <w:rPr>
      <w:rFonts w:ascii="Courier New" w:hAnsi="Courier New" w:eastAsia="Courier New" w:cs="Courier New"/>
      <w:color w:val="000000"/>
      <w:sz w:val="20"/>
      <w:szCs w:val="20"/>
    </w:rPr>
  </w:style>
  <w:style w:type="paragraph" w:customStyle="1" w:styleId="18">
    <w:name w:val="原始源块"/>
    <w:basedOn w:val="1"/>
    <w:semiHidden/>
    <w:unhideWhenUsed/>
    <w:qFormat/>
    <w:uiPriority w:val="1"/>
  </w:style>
  <w:style w:type="paragraph" w:customStyle="1" w:styleId="19">
    <w:name w:val="Paragraph"/>
    <w:basedOn w:val="1"/>
    <w:qFormat/>
    <w:uiPriority w:val="1"/>
    <w:pPr>
      <w:ind w:firstLine="431"/>
    </w:pPr>
  </w:style>
  <w:style w:type="paragraph" w:customStyle="1" w:styleId="20">
    <w:name w:val="Blockquote"/>
    <w:basedOn w:val="1"/>
    <w:semiHidden/>
    <w:unhideWhenUsed/>
    <w:qFormat/>
    <w:uiPriority w:val="1"/>
    <w:rPr>
      <w:rFonts w:ascii="Times New Roman" w:hAnsi="Times New Roman" w:eastAsia="Times New Roman" w:cs="Times New Roman"/>
      <w:i/>
    </w:rPr>
  </w:style>
  <w:style w:type="paragraph" w:customStyle="1" w:styleId="21">
    <w:name w:val="注释块"/>
    <w:basedOn w:val="1"/>
    <w:semiHidden/>
    <w:unhideWhenUsed/>
    <w:qFormat/>
    <w:uiPriority w:val="1"/>
  </w:style>
  <w:style w:type="paragraph" w:customStyle="1" w:styleId="22">
    <w:name w:val="带数字的列表"/>
    <w:basedOn w:val="1"/>
    <w:qFormat/>
    <w:uiPriority w:val="1"/>
  </w:style>
  <w:style w:type="paragraph" w:customStyle="1" w:styleId="23">
    <w:name w:val="字幕"/>
    <w:basedOn w:val="1"/>
    <w:semiHidden/>
    <w:unhideWhenUsed/>
    <w:qFormat/>
    <w:uiPriority w:val="1"/>
    <w:pPr>
      <w:spacing w:line="360" w:lineRule="atLeast"/>
      <w:jc w:val="center"/>
    </w:pPr>
    <w:rPr>
      <w:sz w:val="18"/>
      <w:szCs w:val="18"/>
    </w:rPr>
  </w:style>
  <w:style w:type="character" w:customStyle="1" w:styleId="24">
    <w:name w:val="标签"/>
    <w:semiHidden/>
    <w:unhideWhenUsed/>
    <w:qFormat/>
    <w:uiPriority w:val="2"/>
  </w:style>
  <w:style w:type="character" w:customStyle="1" w:styleId="25">
    <w:name w:val="Mark"/>
    <w:semiHidden/>
    <w:unhideWhenUsed/>
    <w:qFormat/>
    <w:uiPriority w:val="2"/>
  </w:style>
  <w:style w:type="character" w:customStyle="1" w:styleId="26">
    <w:name w:val="注释"/>
    <w:semiHidden/>
    <w:unhideWhenUsed/>
    <w:qFormat/>
    <w:uiPriority w:val="2"/>
  </w:style>
  <w:style w:type="character" w:customStyle="1" w:styleId="27">
    <w:name w:val="Link"/>
    <w:qFormat/>
    <w:uiPriority w:val="2"/>
    <w:rPr>
      <w:color w:val="3875D7"/>
      <w:u w:val="single" w:color="3875D7"/>
    </w:rPr>
  </w:style>
  <w:style w:type="character" w:customStyle="1" w:styleId="28">
    <w:name w:val="修正"/>
    <w:semiHidden/>
    <w:unhideWhenUsed/>
    <w:qFormat/>
    <w:uiPriority w:val="2"/>
  </w:style>
  <w:style w:type="character" w:customStyle="1" w:styleId="29">
    <w:name w:val="Inline Code"/>
    <w:semiHidden/>
    <w:unhideWhenUsed/>
    <w:qFormat/>
    <w:uiPriority w:val="2"/>
    <w:rPr>
      <w:rFonts w:ascii="Courier New" w:hAnsi="Courier New" w:eastAsia="Courier New" w:cs="Courier New"/>
    </w:rPr>
  </w:style>
  <w:style w:type="character" w:customStyle="1" w:styleId="30">
    <w:name w:val="批注"/>
    <w:semiHidden/>
    <w:unhideWhenUsed/>
    <w:qFormat/>
    <w:uiPriority w:val="2"/>
  </w:style>
  <w:style w:type="character" w:customStyle="1" w:styleId="31">
    <w:name w:val="原始源"/>
    <w:semiHidden/>
    <w:unhideWhenUsed/>
    <w:qFormat/>
    <w:uiPriority w:val="2"/>
  </w:style>
  <w:style w:type="character" w:customStyle="1" w:styleId="32">
    <w:name w:val="Inline Cite"/>
    <w:semiHidden/>
    <w:unhideWhenUsed/>
    <w:qFormat/>
    <w:uiPriority w:val="2"/>
    <w:rPr>
      <w:rFonts w:ascii="Times New Roman" w:hAnsi="Times New Roman" w:eastAsia="Times New Roman" w:cs="Times New Roman"/>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2026-04-05T01:12:39Z</dcterms:created>
  <dc:creator>Data</dc:creator>
  <cp:lastModifiedBy>Z-Yingbo</cp:lastModifiedBy>
  <dcterms:modified xsi:type="dcterms:W3CDTF">2026-04-05T01:13:10Z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0C63FCCE50EDD19CA646D16960D67455_42</vt:lpwstr>
  </property>
</Properties>
</file>