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A4685">
      <w:pPr>
        <w:pStyle w:val="2"/>
        <w:outlineLvl w:val="0"/>
      </w:pPr>
      <w:bookmarkStart w:id="0" w:name="_Toc973282147"/>
      <w:r>
        <w:rPr>
          <w:rFonts w:ascii="Songti SC Regular" w:hAnsi="Songti SC Regular" w:eastAsia="Songti SC Regular" w:cs="Songti SC Regular"/>
        </w:rPr>
        <w:t>养老金资讯</w:t>
      </w:r>
      <w:r>
        <w:t>-</w:t>
      </w:r>
      <w:r>
        <w:rPr>
          <w:rFonts w:ascii="Songti SC Regular" w:hAnsi="Songti SC Regular" w:eastAsia="Songti SC Regular" w:cs="Songti SC Regular"/>
        </w:rPr>
        <w:t>国际养老金动态（</w:t>
      </w:r>
      <w:r>
        <w:t>20260328-20260402</w:t>
      </w:r>
      <w:r>
        <w:rPr>
          <w:rFonts w:ascii="Songti SC Regular" w:hAnsi="Songti SC Regular" w:eastAsia="Songti SC Regular" w:cs="Songti SC Regular"/>
        </w:rPr>
        <w:t>）</w:t>
      </w:r>
      <w:bookmarkEnd w:id="0"/>
    </w:p>
    <w:sdt>
      <w:sdtPr>
        <w:rPr>
          <w:rFonts w:ascii="宋体" w:hAnsi="宋体" w:eastAsia="宋体" w:cs="Times New Roman"/>
          <w:strike w:val="0"/>
          <w:sz w:val="21"/>
          <w:szCs w:val="21"/>
          <w:u w:val="none"/>
          <w:vertAlign w:val="baseline"/>
          <w:lang w:val="zh-CN" w:eastAsia="zh-CN" w:bidi="zh-CN"/>
          <w14:ligatures w14:val="standardContextual"/>
        </w:rPr>
        <w:id w:val="435412447"/>
        <w15:color w:val="DBDBDB"/>
        <w:docPartObj>
          <w:docPartGallery w:val="Table of Contents"/>
          <w:docPartUnique/>
        </w:docPartObj>
      </w:sdtPr>
      <w:sdtEndPr>
        <w:rPr>
          <w:rFonts w:ascii="Songti SC Regular" w:hAnsi="Songti SC Regular" w:eastAsia="Songti SC Regular" w:cs="Songti SC Regular"/>
          <w:strike w:val="0"/>
          <w:sz w:val="21"/>
          <w:szCs w:val="21"/>
          <w:u w:val="none"/>
          <w:vertAlign w:val="baseline"/>
          <w:lang w:val="zh-CN" w:eastAsia="zh-CN" w:bidi="zh-CN"/>
          <w14:ligatures w14:val="standardContextual"/>
        </w:rPr>
      </w:sdtEndPr>
      <w:sdtContent>
        <w:p w14:paraId="3AFB9A0C">
          <w:pPr>
            <w:spacing w:before="0" w:beforeLines="0" w:after="0" w:afterLines="0" w:line="240" w:lineRule="auto"/>
            <w:ind w:left="0" w:leftChars="0" w:right="0" w:rightChars="0" w:firstLine="0" w:firstLineChars="0"/>
            <w:jc w:val="center"/>
            <w:rPr>
              <w:rFonts w:ascii="宋体" w:hAnsi="宋体" w:eastAsia="宋体" w:cs="Times New Roman"/>
              <w:strike w:val="0"/>
              <w:sz w:val="21"/>
              <w:szCs w:val="21"/>
              <w:u w:val="none"/>
              <w:vertAlign w:val="baseline"/>
              <w:lang w:val="zh-CN" w:eastAsia="zh-CN" w:bidi="zh-CN"/>
              <w14:ligatures w14:val="standardContextual"/>
            </w:rPr>
          </w:pPr>
        </w:p>
        <w:p w14:paraId="5EA866FF">
          <w:pPr>
            <w:spacing w:before="0" w:beforeLines="0" w:after="0" w:afterLines="0" w:line="240" w:lineRule="auto"/>
            <w:ind w:left="0" w:leftChars="0" w:right="0" w:rightChars="0" w:firstLine="0" w:firstLineChars="0"/>
            <w:jc w:val="center"/>
            <w:rPr>
              <w:b/>
              <w:bCs/>
            </w:rPr>
          </w:pPr>
          <w:bookmarkStart w:id="16" w:name="_GoBack"/>
          <w:r>
            <w:rPr>
              <w:rFonts w:ascii="宋体" w:hAnsi="宋体" w:eastAsia="宋体"/>
              <w:b/>
              <w:bCs/>
              <w:sz w:val="21"/>
            </w:rPr>
            <w:t>目</w:t>
          </w:r>
          <w:r>
            <w:rPr>
              <w:rFonts w:hint="eastAsia" w:ascii="宋体" w:hAnsi="宋体" w:eastAsia="宋体"/>
              <w:b/>
              <w:bCs/>
              <w:sz w:val="21"/>
              <w:lang w:val="en-US" w:eastAsia="zh-CN"/>
            </w:rPr>
            <w:t xml:space="preserve"> </w:t>
          </w:r>
          <w:r>
            <w:rPr>
              <w:rFonts w:ascii="宋体" w:hAnsi="宋体" w:eastAsia="宋体"/>
              <w:b/>
              <w:bCs/>
              <w:sz w:val="21"/>
            </w:rPr>
            <w:t>录</w:t>
          </w:r>
        </w:p>
        <w:bookmarkEnd w:id="16"/>
        <w:p w14:paraId="4EB8F95A">
          <w:pPr>
            <w:pStyle w:val="9"/>
            <w:tabs>
              <w:tab w:val="right" w:leader="dot" w:pos="9020"/>
            </w:tabs>
            <w:ind w:left="420" w:leftChars="200" w:firstLine="0" w:firstLineChars="0"/>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TOC \o "1-3" \h \u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_Toc570105430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一、养老金政策与管理</w:t>
          </w:r>
          <w:r>
            <w:tab/>
          </w:r>
          <w:r>
            <w:fldChar w:fldCharType="begin"/>
          </w:r>
          <w:r>
            <w:instrText xml:space="preserve"> PAGEREF _Toc570105430 \h </w:instrText>
          </w:r>
          <w:r>
            <w:fldChar w:fldCharType="separate"/>
          </w:r>
          <w:r>
            <w:t>1</w:t>
          </w:r>
          <w:r>
            <w:fldChar w:fldCharType="end"/>
          </w:r>
          <w:r>
            <w:rPr>
              <w:rFonts w:ascii="Songti SC Regular" w:hAnsi="Songti SC Regular" w:eastAsia="Songti SC Regular" w:cs="Songti SC Regular"/>
            </w:rPr>
            <w:fldChar w:fldCharType="end"/>
          </w:r>
        </w:p>
        <w:p w14:paraId="071360AA">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_Toc1837412743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1</w:t>
          </w:r>
          <w:r>
            <w:rPr>
              <w:rFonts w:ascii="Songti SC Regular" w:hAnsi="Songti SC Regular" w:eastAsia="Songti SC Regular" w:cs="Songti SC Regular"/>
            </w:rPr>
            <w:t>）俄罗斯</w:t>
          </w:r>
          <w:r>
            <w:t>|</w:t>
          </w:r>
          <w:r>
            <w:rPr>
              <w:rFonts w:ascii="Songti SC Regular" w:hAnsi="Songti SC Regular" w:eastAsia="Songti SC Regular" w:cs="Songti SC Regular"/>
            </w:rPr>
            <w:t>俄罗斯</w:t>
          </w:r>
          <w:r>
            <w:t>4</w:t>
          </w:r>
          <w:r>
            <w:rPr>
              <w:rFonts w:ascii="Songti SC Regular" w:hAnsi="Songti SC Regular" w:eastAsia="Songti SC Regular" w:cs="Songti SC Regular"/>
            </w:rPr>
            <w:t>月上调国家养老金并同步提高护理补贴</w:t>
          </w:r>
          <w:r>
            <w:tab/>
          </w:r>
          <w:r>
            <w:fldChar w:fldCharType="begin"/>
          </w:r>
          <w:r>
            <w:instrText xml:space="preserve"> PAGEREF _Toc1837412743 \h </w:instrText>
          </w:r>
          <w:r>
            <w:fldChar w:fldCharType="separate"/>
          </w:r>
          <w:r>
            <w:t>1</w:t>
          </w:r>
          <w:r>
            <w:fldChar w:fldCharType="end"/>
          </w:r>
          <w:r>
            <w:rPr>
              <w:rFonts w:ascii="Songti SC Regular" w:hAnsi="Songti SC Regular" w:eastAsia="Songti SC Regular" w:cs="Songti SC Regular"/>
            </w:rPr>
            <w:fldChar w:fldCharType="end"/>
          </w:r>
        </w:p>
        <w:p w14:paraId="739417DB">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_Toc581127741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2</w:t>
          </w:r>
          <w:r>
            <w:rPr>
              <w:rFonts w:ascii="Songti SC Regular" w:hAnsi="Songti SC Regular" w:eastAsia="Songti SC Regular" w:cs="Songti SC Regular"/>
            </w:rPr>
            <w:t>）澳大利亚</w:t>
          </w:r>
          <w:r>
            <w:t>|</w:t>
          </w:r>
          <w:r>
            <w:rPr>
              <w:rFonts w:ascii="Songti SC Regular" w:hAnsi="Songti SC Regular" w:eastAsia="Songti SC Regular" w:cs="Songti SC Regular"/>
            </w:rPr>
            <w:t>澳大利亚放宽长寿风险产品资本规则以支持退休收入市场</w:t>
          </w:r>
          <w:r>
            <w:t>*</w:t>
          </w:r>
          <w:r>
            <w:tab/>
          </w:r>
          <w:r>
            <w:fldChar w:fldCharType="begin"/>
          </w:r>
          <w:r>
            <w:instrText xml:space="preserve"> PAGEREF _Toc581127741 \h </w:instrText>
          </w:r>
          <w:r>
            <w:fldChar w:fldCharType="separate"/>
          </w:r>
          <w:r>
            <w:t>2</w:t>
          </w:r>
          <w:r>
            <w:fldChar w:fldCharType="end"/>
          </w:r>
          <w:r>
            <w:rPr>
              <w:rFonts w:ascii="Songti SC Regular" w:hAnsi="Songti SC Regular" w:eastAsia="Songti SC Regular" w:cs="Songti SC Regular"/>
            </w:rPr>
            <w:fldChar w:fldCharType="end"/>
          </w:r>
        </w:p>
        <w:p w14:paraId="5F573310">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_Toc258316431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3</w:t>
          </w:r>
          <w:r>
            <w:rPr>
              <w:rFonts w:ascii="Songti SC Regular" w:hAnsi="Songti SC Regular" w:eastAsia="Songti SC Regular" w:cs="Songti SC Regular"/>
            </w:rPr>
            <w:t>）阿根廷</w:t>
          </w:r>
          <w:r>
            <w:t>|</w:t>
          </w:r>
          <w:r>
            <w:rPr>
              <w:rFonts w:ascii="Songti SC Regular" w:hAnsi="Songti SC Regular" w:eastAsia="Songti SC Regular" w:cs="Songti SC Regular"/>
            </w:rPr>
            <w:t>阿根廷</w:t>
          </w:r>
          <w:r>
            <w:t>4</w:t>
          </w:r>
          <w:r>
            <w:rPr>
              <w:rFonts w:ascii="Songti SC Regular" w:hAnsi="Songti SC Regular" w:eastAsia="Songti SC Regular" w:cs="Songti SC Regular"/>
            </w:rPr>
            <w:t>月上调养老金并续发一次性补贴</w:t>
          </w:r>
          <w:r>
            <w:tab/>
          </w:r>
          <w:r>
            <w:fldChar w:fldCharType="begin"/>
          </w:r>
          <w:r>
            <w:instrText xml:space="preserve"> PAGEREF _Toc258316431 \h </w:instrText>
          </w:r>
          <w:r>
            <w:fldChar w:fldCharType="separate"/>
          </w:r>
          <w:r>
            <w:t>2</w:t>
          </w:r>
          <w:r>
            <w:fldChar w:fldCharType="end"/>
          </w:r>
          <w:r>
            <w:rPr>
              <w:rFonts w:ascii="Songti SC Regular" w:hAnsi="Songti SC Regular" w:eastAsia="Songti SC Regular" w:cs="Songti SC Regular"/>
            </w:rPr>
            <w:fldChar w:fldCharType="end"/>
          </w:r>
        </w:p>
        <w:p w14:paraId="2A2FF7E9">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_Toc1459805230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4</w:t>
          </w:r>
          <w:r>
            <w:rPr>
              <w:rFonts w:ascii="Songti SC Regular" w:hAnsi="Songti SC Regular" w:eastAsia="Songti SC Regular" w:cs="Songti SC Regular"/>
            </w:rPr>
            <w:t>）意大利</w:t>
          </w:r>
          <w:r>
            <w:t>|</w:t>
          </w:r>
          <w:r>
            <w:rPr>
              <w:rFonts w:ascii="Songti SC Regular" w:hAnsi="Songti SC Regular" w:eastAsia="Songti SC Regular" w:cs="Songti SC Regular"/>
            </w:rPr>
            <w:t>意大利更新养老金代扣贷款第二季度利率门槛</w:t>
          </w:r>
          <w:r>
            <w:tab/>
          </w:r>
          <w:r>
            <w:fldChar w:fldCharType="begin"/>
          </w:r>
          <w:r>
            <w:instrText xml:space="preserve"> PAGEREF _Toc1459805230 \h </w:instrText>
          </w:r>
          <w:r>
            <w:fldChar w:fldCharType="separate"/>
          </w:r>
          <w:r>
            <w:t>2</w:t>
          </w:r>
          <w:r>
            <w:fldChar w:fldCharType="end"/>
          </w:r>
          <w:r>
            <w:rPr>
              <w:rFonts w:ascii="Songti SC Regular" w:hAnsi="Songti SC Regular" w:eastAsia="Songti SC Regular" w:cs="Songti SC Regular"/>
            </w:rPr>
            <w:fldChar w:fldCharType="end"/>
          </w:r>
        </w:p>
        <w:p w14:paraId="48F0D32A">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_Toc2093317282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5</w:t>
          </w:r>
          <w:r>
            <w:rPr>
              <w:rFonts w:ascii="Songti SC Regular" w:hAnsi="Songti SC Regular" w:eastAsia="Songti SC Regular" w:cs="Songti SC Regular"/>
            </w:rPr>
            <w:t>）日本</w:t>
          </w:r>
          <w:r>
            <w:t>|</w:t>
          </w:r>
          <w:r>
            <w:rPr>
              <w:rFonts w:ascii="Songti SC Regular" w:hAnsi="Songti SC Regular" w:eastAsia="Songti SC Regular" w:cs="Songti SC Regular"/>
            </w:rPr>
            <w:t>日本上调在职老龄年金减额门槛</w:t>
          </w:r>
          <w:r>
            <w:t>*</w:t>
          </w:r>
          <w:r>
            <w:tab/>
          </w:r>
          <w:r>
            <w:fldChar w:fldCharType="begin"/>
          </w:r>
          <w:r>
            <w:instrText xml:space="preserve"> PAGEREF _Toc2093317282 \h </w:instrText>
          </w:r>
          <w:r>
            <w:fldChar w:fldCharType="separate"/>
          </w:r>
          <w:r>
            <w:t>3</w:t>
          </w:r>
          <w:r>
            <w:fldChar w:fldCharType="end"/>
          </w:r>
          <w:r>
            <w:rPr>
              <w:rFonts w:ascii="Songti SC Regular" w:hAnsi="Songti SC Regular" w:eastAsia="Songti SC Regular" w:cs="Songti SC Regular"/>
            </w:rPr>
            <w:fldChar w:fldCharType="end"/>
          </w:r>
        </w:p>
        <w:p w14:paraId="7CE3DB53">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_Toc158969773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6</w:t>
          </w:r>
          <w:r>
            <w:rPr>
              <w:rFonts w:ascii="Songti SC Regular" w:hAnsi="Songti SC Regular" w:eastAsia="Songti SC Regular" w:cs="Songti SC Regular"/>
            </w:rPr>
            <w:t>）日本</w:t>
          </w:r>
          <w:r>
            <w:t>|</w:t>
          </w:r>
          <w:r>
            <w:rPr>
              <w:rFonts w:ascii="Songti SC Regular" w:hAnsi="Songti SC Regular" w:eastAsia="Songti SC Regular" w:cs="Songti SC Regular"/>
            </w:rPr>
            <w:t>日本</w:t>
          </w:r>
          <w:r>
            <w:t>2026</w:t>
          </w:r>
          <w:r>
            <w:rPr>
              <w:rFonts w:ascii="Songti SC Regular" w:hAnsi="Songti SC Regular" w:eastAsia="Songti SC Regular" w:cs="Songti SC Regular"/>
            </w:rPr>
            <w:t>年度国民年金与相关给付标准启动调整</w:t>
          </w:r>
          <w:r>
            <w:t>*</w:t>
          </w:r>
          <w:r>
            <w:tab/>
          </w:r>
          <w:r>
            <w:fldChar w:fldCharType="begin"/>
          </w:r>
          <w:r>
            <w:instrText xml:space="preserve"> PAGEREF _Toc158969773 \h </w:instrText>
          </w:r>
          <w:r>
            <w:fldChar w:fldCharType="separate"/>
          </w:r>
          <w:r>
            <w:t>3</w:t>
          </w:r>
          <w:r>
            <w:fldChar w:fldCharType="end"/>
          </w:r>
          <w:r>
            <w:rPr>
              <w:rFonts w:ascii="Songti SC Regular" w:hAnsi="Songti SC Regular" w:eastAsia="Songti SC Regular" w:cs="Songti SC Regular"/>
            </w:rPr>
            <w:fldChar w:fldCharType="end"/>
          </w:r>
        </w:p>
        <w:p w14:paraId="4B02EF08">
          <w:pPr>
            <w:pStyle w:val="10"/>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_Toc335317943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二、养老金投资</w:t>
          </w:r>
          <w:r>
            <w:tab/>
          </w:r>
          <w:r>
            <w:fldChar w:fldCharType="begin"/>
          </w:r>
          <w:r>
            <w:instrText xml:space="preserve"> PAGEREF _Toc335317943 \h </w:instrText>
          </w:r>
          <w:r>
            <w:fldChar w:fldCharType="separate"/>
          </w:r>
          <w:r>
            <w:t>3</w:t>
          </w:r>
          <w:r>
            <w:fldChar w:fldCharType="end"/>
          </w:r>
          <w:r>
            <w:rPr>
              <w:rFonts w:ascii="Songti SC Regular" w:hAnsi="Songti SC Regular" w:eastAsia="Songti SC Regular" w:cs="Songti SC Regular"/>
            </w:rPr>
            <w:fldChar w:fldCharType="end"/>
          </w:r>
        </w:p>
        <w:p w14:paraId="4C84943A">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_Toc691578273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7</w:t>
          </w:r>
          <w:r>
            <w:rPr>
              <w:rFonts w:ascii="Songti SC Regular" w:hAnsi="Songti SC Regular" w:eastAsia="Songti SC Regular" w:cs="Songti SC Regular"/>
            </w:rPr>
            <w:t>）英国</w:t>
          </w:r>
          <w:r>
            <w:t>|</w:t>
          </w:r>
          <w:r>
            <w:rPr>
              <w:rFonts w:ascii="Songti SC Regular" w:hAnsi="Songti SC Regular" w:eastAsia="Songti SC Regular" w:cs="Songti SC Regular"/>
            </w:rPr>
            <w:t>英国养老金资金承诺投向</w:t>
          </w:r>
          <w:r>
            <w:t>British Growth Partnership</w:t>
          </w:r>
          <w:r>
            <w:rPr>
              <w:rFonts w:ascii="Songti SC Regular" w:hAnsi="Songti SC Regular" w:eastAsia="Songti SC Regular" w:cs="Songti SC Regular"/>
            </w:rPr>
            <w:t>基金</w:t>
          </w:r>
          <w:r>
            <w:tab/>
          </w:r>
          <w:r>
            <w:fldChar w:fldCharType="begin"/>
          </w:r>
          <w:r>
            <w:instrText xml:space="preserve"> PAGEREF _Toc691578273 \h </w:instrText>
          </w:r>
          <w:r>
            <w:fldChar w:fldCharType="separate"/>
          </w:r>
          <w:r>
            <w:t>3</w:t>
          </w:r>
          <w:r>
            <w:fldChar w:fldCharType="end"/>
          </w:r>
          <w:r>
            <w:rPr>
              <w:rFonts w:ascii="Songti SC Regular" w:hAnsi="Songti SC Regular" w:eastAsia="Songti SC Regular" w:cs="Songti SC Regular"/>
            </w:rPr>
            <w:fldChar w:fldCharType="end"/>
          </w:r>
        </w:p>
        <w:p w14:paraId="69AC0D90">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_Toc1174536747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8</w:t>
          </w:r>
          <w:r>
            <w:rPr>
              <w:rFonts w:ascii="Songti SC Regular" w:hAnsi="Songti SC Regular" w:eastAsia="Songti SC Regular" w:cs="Songti SC Regular"/>
            </w:rPr>
            <w:t>）英国</w:t>
          </w:r>
          <w:r>
            <w:t>|</w:t>
          </w:r>
          <w:r>
            <w:rPr>
              <w:rFonts w:ascii="Songti SC Regular" w:hAnsi="Songti SC Regular" w:eastAsia="Songti SC Regular" w:cs="Songti SC Regular"/>
            </w:rPr>
            <w:t>大曼彻斯特养老金基金与贝莱德发起医疗设施投资合作</w:t>
          </w:r>
          <w:r>
            <w:tab/>
          </w:r>
          <w:r>
            <w:fldChar w:fldCharType="begin"/>
          </w:r>
          <w:r>
            <w:instrText xml:space="preserve"> PAGEREF _Toc1174536747 \h </w:instrText>
          </w:r>
          <w:r>
            <w:fldChar w:fldCharType="separate"/>
          </w:r>
          <w:r>
            <w:t>4</w:t>
          </w:r>
          <w:r>
            <w:fldChar w:fldCharType="end"/>
          </w:r>
          <w:r>
            <w:rPr>
              <w:rFonts w:ascii="Songti SC Regular" w:hAnsi="Songti SC Regular" w:eastAsia="Songti SC Regular" w:cs="Songti SC Regular"/>
            </w:rPr>
            <w:fldChar w:fldCharType="end"/>
          </w:r>
        </w:p>
        <w:p w14:paraId="547BDA54">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_Toc769423605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9</w:t>
          </w:r>
          <w:r>
            <w:rPr>
              <w:rFonts w:ascii="Songti SC Regular" w:hAnsi="Songti SC Regular" w:eastAsia="Songti SC Regular" w:cs="Songti SC Regular"/>
            </w:rPr>
            <w:t>）英国</w:t>
          </w:r>
          <w:r>
            <w:t>|</w:t>
          </w:r>
          <w:r>
            <w:rPr>
              <w:rFonts w:ascii="Songti SC Regular" w:hAnsi="Songti SC Regular" w:eastAsia="Songti SC Regular" w:cs="Songti SC Regular"/>
            </w:rPr>
            <w:t>标准人寿推出面向养老金默认账户的私募市场方案</w:t>
          </w:r>
          <w:r>
            <w:t>*</w:t>
          </w:r>
          <w:r>
            <w:tab/>
          </w:r>
          <w:r>
            <w:fldChar w:fldCharType="begin"/>
          </w:r>
          <w:r>
            <w:instrText xml:space="preserve"> PAGEREF _Toc769423605 \h </w:instrText>
          </w:r>
          <w:r>
            <w:fldChar w:fldCharType="separate"/>
          </w:r>
          <w:r>
            <w:t>4</w:t>
          </w:r>
          <w:r>
            <w:fldChar w:fldCharType="end"/>
          </w:r>
          <w:r>
            <w:rPr>
              <w:rFonts w:ascii="Songti SC Regular" w:hAnsi="Songti SC Regular" w:eastAsia="Songti SC Regular" w:cs="Songti SC Regular"/>
            </w:rPr>
            <w:fldChar w:fldCharType="end"/>
          </w:r>
        </w:p>
        <w:p w14:paraId="1C8281AD">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_Toc1703490648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10</w:t>
          </w:r>
          <w:r>
            <w:rPr>
              <w:rFonts w:ascii="Songti SC Regular" w:hAnsi="Songti SC Regular" w:eastAsia="Songti SC Regular" w:cs="Songti SC Regular"/>
            </w:rPr>
            <w:t>）英国</w:t>
          </w:r>
          <w:r>
            <w:t>|</w:t>
          </w:r>
          <w:r>
            <w:rPr>
              <w:rFonts w:ascii="Songti SC Regular" w:hAnsi="Songti SC Regular" w:eastAsia="Songti SC Regular" w:cs="Songti SC Regular"/>
            </w:rPr>
            <w:t>人民养老金调整气候投资框架以强调现实风险管理</w:t>
          </w:r>
          <w:r>
            <w:tab/>
          </w:r>
          <w:r>
            <w:fldChar w:fldCharType="begin"/>
          </w:r>
          <w:r>
            <w:instrText xml:space="preserve"> PAGEREF _Toc1703490648 \h </w:instrText>
          </w:r>
          <w:r>
            <w:fldChar w:fldCharType="separate"/>
          </w:r>
          <w:r>
            <w:t>4</w:t>
          </w:r>
          <w:r>
            <w:fldChar w:fldCharType="end"/>
          </w:r>
          <w:r>
            <w:rPr>
              <w:rFonts w:ascii="Songti SC Regular" w:hAnsi="Songti SC Regular" w:eastAsia="Songti SC Regular" w:cs="Songti SC Regular"/>
            </w:rPr>
            <w:fldChar w:fldCharType="end"/>
          </w:r>
        </w:p>
        <w:p w14:paraId="319368DC">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_Toc315339132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11</w:t>
          </w:r>
          <w:r>
            <w:rPr>
              <w:rFonts w:ascii="Songti SC Regular" w:hAnsi="Songti SC Regular" w:eastAsia="Songti SC Regular" w:cs="Songti SC Regular"/>
            </w:rPr>
            <w:t>）巴西</w:t>
          </w:r>
          <w:r>
            <w:t>|</w:t>
          </w:r>
          <w:r>
            <w:rPr>
              <w:rFonts w:ascii="Songti SC Regular" w:hAnsi="Songti SC Regular" w:eastAsia="Songti SC Regular" w:cs="Songti SC Regular"/>
            </w:rPr>
            <w:t>巴西补充养老金</w:t>
          </w:r>
          <w:r>
            <w:t>2025</w:t>
          </w:r>
          <w:r>
            <w:rPr>
              <w:rFonts w:ascii="Songti SC Regular" w:hAnsi="Songti SC Regular" w:eastAsia="Songti SC Regular" w:cs="Songti SC Regular"/>
            </w:rPr>
            <w:t>年平均收益率升至</w:t>
          </w:r>
          <w:r>
            <w:t>13.23%</w:t>
          </w:r>
          <w:r>
            <w:tab/>
          </w:r>
          <w:r>
            <w:fldChar w:fldCharType="begin"/>
          </w:r>
          <w:r>
            <w:instrText xml:space="preserve"> PAGEREF _Toc315339132 \h </w:instrText>
          </w:r>
          <w:r>
            <w:fldChar w:fldCharType="separate"/>
          </w:r>
          <w:r>
            <w:t>5</w:t>
          </w:r>
          <w:r>
            <w:fldChar w:fldCharType="end"/>
          </w:r>
          <w:r>
            <w:rPr>
              <w:rFonts w:ascii="Songti SC Regular" w:hAnsi="Songti SC Regular" w:eastAsia="Songti SC Regular" w:cs="Songti SC Regular"/>
            </w:rPr>
            <w:fldChar w:fldCharType="end"/>
          </w:r>
        </w:p>
        <w:p w14:paraId="4A9678E7">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_Toc2062634375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12</w:t>
          </w:r>
          <w:r>
            <w:rPr>
              <w:rFonts w:ascii="Songti SC Regular" w:hAnsi="Songti SC Regular" w:eastAsia="Songti SC Regular" w:cs="Songti SC Regular"/>
            </w:rPr>
            <w:t>）加拿大</w:t>
          </w:r>
          <w:r>
            <w:t>|</w:t>
          </w:r>
          <w:r>
            <w:rPr>
              <w:rFonts w:ascii="Songti SC Regular" w:hAnsi="Songti SC Regular" w:eastAsia="Songti SC Regular" w:cs="Songti SC Regular"/>
            </w:rPr>
            <w:t>阿尔伯塔省养老基金去年回报</w:t>
          </w:r>
          <w:r>
            <w:t>7.5%</w:t>
          </w:r>
          <w:r>
            <w:rPr>
              <w:rFonts w:ascii="Songti SC Regular" w:hAnsi="Songti SC Regular" w:eastAsia="Songti SC Regular" w:cs="Songti SC Regular"/>
            </w:rPr>
            <w:t>，股票成主要推手</w:t>
          </w:r>
          <w:r>
            <w:tab/>
          </w:r>
          <w:r>
            <w:fldChar w:fldCharType="begin"/>
          </w:r>
          <w:r>
            <w:instrText xml:space="preserve"> PAGEREF _Toc2062634375 \h </w:instrText>
          </w:r>
          <w:r>
            <w:fldChar w:fldCharType="separate"/>
          </w:r>
          <w:r>
            <w:t>5</w:t>
          </w:r>
          <w:r>
            <w:fldChar w:fldCharType="end"/>
          </w:r>
          <w:r>
            <w:rPr>
              <w:rFonts w:ascii="Songti SC Regular" w:hAnsi="Songti SC Regular" w:eastAsia="Songti SC Regular" w:cs="Songti SC Regular"/>
            </w:rPr>
            <w:fldChar w:fldCharType="end"/>
          </w:r>
        </w:p>
        <w:p w14:paraId="47446724">
          <w:pPr>
            <w:pStyle w:val="8"/>
            <w:tabs>
              <w:tab w:val="right" w:leader="dot" w:pos="9020"/>
            </w:tabs>
          </w:pPr>
          <w:r>
            <w:rPr>
              <w:rFonts w:ascii="Songti SC Regular" w:hAnsi="Songti SC Regular" w:eastAsia="Songti SC Regular" w:cs="Songti SC Regular"/>
            </w:rPr>
            <w:fldChar w:fldCharType="begin"/>
          </w:r>
          <w:r>
            <w:rPr>
              <w:rFonts w:ascii="Songti SC Regular" w:hAnsi="Songti SC Regular" w:eastAsia="Songti SC Regular" w:cs="Songti SC Regular"/>
            </w:rPr>
            <w:instrText xml:space="preserve"> HYPERLINK \l _Toc2014910751 </w:instrText>
          </w:r>
          <w:r>
            <w:rPr>
              <w:rFonts w:ascii="Songti SC Regular" w:hAnsi="Songti SC Regular" w:eastAsia="Songti SC Regular" w:cs="Songti SC Regular"/>
            </w:rPr>
            <w:fldChar w:fldCharType="separate"/>
          </w:r>
          <w:r>
            <w:rPr>
              <w:rFonts w:ascii="Songti SC Regular" w:hAnsi="Songti SC Regular" w:eastAsia="Songti SC Regular" w:cs="Songti SC Regular"/>
            </w:rPr>
            <w:t>（</w:t>
          </w:r>
          <w:r>
            <w:t>13</w:t>
          </w:r>
          <w:r>
            <w:rPr>
              <w:rFonts w:ascii="Songti SC Regular" w:hAnsi="Songti SC Regular" w:eastAsia="Songti SC Regular" w:cs="Songti SC Regular"/>
            </w:rPr>
            <w:t>）荷兰</w:t>
          </w:r>
          <w:r>
            <w:t>|</w:t>
          </w:r>
          <w:r>
            <w:rPr>
              <w:rFonts w:ascii="Songti SC Regular" w:hAnsi="Songti SC Regular" w:eastAsia="Songti SC Regular" w:cs="Songti SC Regular"/>
            </w:rPr>
            <w:t>荷兰养老基金</w:t>
          </w:r>
          <w:r>
            <w:t>2025</w:t>
          </w:r>
          <w:r>
            <w:rPr>
              <w:rFonts w:ascii="Songti SC Regular" w:hAnsi="Songti SC Regular" w:eastAsia="Songti SC Regular" w:cs="Songti SC Regular"/>
            </w:rPr>
            <w:t>年增配欧洲债券、减持美国资产</w:t>
          </w:r>
          <w:r>
            <w:tab/>
          </w:r>
          <w:r>
            <w:fldChar w:fldCharType="begin"/>
          </w:r>
          <w:r>
            <w:instrText xml:space="preserve"> PAGEREF _Toc2014910751 \h </w:instrText>
          </w:r>
          <w:r>
            <w:fldChar w:fldCharType="separate"/>
          </w:r>
          <w:r>
            <w:t>5</w:t>
          </w:r>
          <w:r>
            <w:fldChar w:fldCharType="end"/>
          </w:r>
          <w:r>
            <w:rPr>
              <w:rFonts w:ascii="Songti SC Regular" w:hAnsi="Songti SC Regular" w:eastAsia="Songti SC Regular" w:cs="Songti SC Regular"/>
            </w:rPr>
            <w:fldChar w:fldCharType="end"/>
          </w:r>
        </w:p>
        <w:p w14:paraId="304F4CEB">
          <w:pPr>
            <w:outlineLvl w:val="9"/>
            <w:rPr>
              <w:rFonts w:ascii="Songti SC Regular" w:hAnsi="Songti SC Regular" w:eastAsia="Songti SC Regular" w:cs="Songti SC Regular"/>
              <w:strike w:val="0"/>
              <w:sz w:val="21"/>
              <w:szCs w:val="21"/>
              <w:u w:val="none"/>
              <w:vertAlign w:val="baseline"/>
              <w:lang w:val="zh-CN" w:eastAsia="zh-CN" w:bidi="zh-CN"/>
              <w14:ligatures w14:val="standardContextual"/>
            </w:rPr>
          </w:pPr>
          <w:r>
            <w:rPr>
              <w:rFonts w:ascii="Songti SC Regular" w:hAnsi="Songti SC Regular" w:eastAsia="Songti SC Regular" w:cs="Songti SC Regular"/>
            </w:rPr>
            <w:fldChar w:fldCharType="end"/>
          </w:r>
        </w:p>
      </w:sdtContent>
    </w:sdt>
    <w:p w14:paraId="2C5B06C8">
      <w:pPr>
        <w:outlineLvl w:val="9"/>
        <w:rPr>
          <w:rFonts w:ascii="Songti SC Regular" w:hAnsi="Songti SC Regular" w:eastAsia="Songti SC Regular" w:cs="Songti SC Regular"/>
          <w:strike w:val="0"/>
          <w:sz w:val="21"/>
          <w:szCs w:val="21"/>
          <w:u w:val="none"/>
          <w:vertAlign w:val="baseline"/>
          <w:lang w:val="zh-CN" w:eastAsia="zh-CN" w:bidi="zh-CN"/>
          <w14:ligatures w14:val="standardContextual"/>
        </w:rPr>
      </w:pPr>
    </w:p>
    <w:p w14:paraId="36DB3F73">
      <w:pPr>
        <w:pStyle w:val="3"/>
        <w:outlineLvl w:val="1"/>
      </w:pPr>
      <w:bookmarkStart w:id="1" w:name="_Toc570105430"/>
      <w:r>
        <w:rPr>
          <w:rFonts w:ascii="Songti SC Regular" w:hAnsi="Songti SC Regular" w:eastAsia="Songti SC Regular" w:cs="Songti SC Regular"/>
        </w:rPr>
        <w:t>一、养老金政策与管理</w:t>
      </w:r>
      <w:bookmarkEnd w:id="1"/>
    </w:p>
    <w:p w14:paraId="31A52D14">
      <w:pPr>
        <w:pStyle w:val="4"/>
        <w:outlineLvl w:val="2"/>
      </w:pPr>
      <w:bookmarkStart w:id="2" w:name="_Toc1837412743"/>
      <w:r>
        <w:rPr>
          <w:rFonts w:ascii="Songti SC Regular" w:hAnsi="Songti SC Regular" w:eastAsia="Songti SC Regular" w:cs="Songti SC Regular"/>
        </w:rPr>
        <w:t>（</w:t>
      </w:r>
      <w:r>
        <w:t>1</w:t>
      </w:r>
      <w:r>
        <w:rPr>
          <w:rFonts w:ascii="Songti SC Regular" w:hAnsi="Songti SC Regular" w:eastAsia="Songti SC Regular" w:cs="Songti SC Regular"/>
        </w:rPr>
        <w:t>）俄罗斯</w:t>
      </w:r>
      <w:r>
        <w:t>|</w:t>
      </w:r>
      <w:r>
        <w:rPr>
          <w:rFonts w:ascii="Songti SC Regular" w:hAnsi="Songti SC Regular" w:eastAsia="Songti SC Regular" w:cs="Songti SC Regular"/>
        </w:rPr>
        <w:t>俄罗斯</w:t>
      </w:r>
      <w:r>
        <w:t>4</w:t>
      </w:r>
      <w:r>
        <w:rPr>
          <w:rFonts w:ascii="Songti SC Regular" w:hAnsi="Songti SC Regular" w:eastAsia="Songti SC Regular" w:cs="Songti SC Regular"/>
        </w:rPr>
        <w:t>月上调国家养老金并同步提高护理补贴</w:t>
      </w:r>
      <w:bookmarkEnd w:id="2"/>
    </w:p>
    <w:p w14:paraId="40BCA6CD">
      <w:pPr>
        <w:pStyle w:val="19"/>
      </w:pPr>
      <w:r>
        <w:rPr>
          <w:rFonts w:ascii="Songti SC Regular" w:hAnsi="Songti SC Regular" w:eastAsia="Songti SC Regular" w:cs="Songti SC Regular"/>
        </w:rPr>
        <w:t>俄罗斯社会基金</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日表示，已按年度机制完成国家保障类养老金指数化调整，整体增幅为</w:t>
      </w:r>
      <w:r>
        <w:t>6.8%</w:t>
      </w:r>
      <w:r>
        <w:rPr>
          <w:rFonts w:ascii="Songti SC Regular" w:hAnsi="Songti SC Regular" w:eastAsia="Songti SC Regular" w:cs="Songti SC Regular"/>
        </w:rPr>
        <w:t>，依据是上一年度退休人员最低生活保障标准的变化。此次上调预计覆盖约</w:t>
      </w:r>
      <w:r>
        <w:t>400</w:t>
      </w:r>
      <w:r>
        <w:rPr>
          <w:rFonts w:ascii="Songti SC Regular" w:hAnsi="Songti SC Regular" w:eastAsia="Songti SC Regular" w:cs="Songti SC Regular"/>
        </w:rPr>
        <w:t>万人，其中约</w:t>
      </w:r>
      <w:r>
        <w:t>350</w:t>
      </w:r>
      <w:r>
        <w:rPr>
          <w:rFonts w:ascii="Songti SC Regular" w:hAnsi="Songti SC Regular" w:eastAsia="Songti SC Regular" w:cs="Songti SC Regular"/>
        </w:rPr>
        <w:t>万人为社会养老金领取者，主要包括残疾人、残疾儿童以及失去父母的儿童；列宁格勒、塞瓦斯托波尔和斯大林格勒围困幸存者等特定群体也在提高范围内。基金同时宣布，自</w:t>
      </w:r>
      <w:r>
        <w:t>4</w:t>
      </w:r>
      <w:r>
        <w:rPr>
          <w:rFonts w:ascii="Songti SC Regular" w:hAnsi="Songti SC Regular" w:eastAsia="Songti SC Regular" w:cs="Songti SC Regular"/>
        </w:rPr>
        <w:t>月起，</w:t>
      </w:r>
      <w:r>
        <w:t>80</w:t>
      </w:r>
      <w:r>
        <w:rPr>
          <w:rFonts w:ascii="Songti SC Regular" w:hAnsi="Songti SC Regular" w:eastAsia="Songti SC Regular" w:cs="Songti SC Regular"/>
        </w:rPr>
        <w:t>岁及以上老人以及一级残疾人的护理补贴一并提高，相关增发和加发均由系统自动办理，无需个人另行申请。俄方强调，本次调整不会改变既有发放日程，新的待遇水平将按正常时间在</w:t>
      </w:r>
      <w:r>
        <w:t>4</w:t>
      </w:r>
      <w:r>
        <w:rPr>
          <w:rFonts w:ascii="Songti SC Regular" w:hAnsi="Songti SC Regular" w:eastAsia="Songti SC Regular" w:cs="Songti SC Regular"/>
        </w:rPr>
        <w:t>月发放到位。整体看，这次上调延续了俄罗斯每年</w:t>
      </w:r>
      <w:r>
        <w:t>4</w:t>
      </w:r>
      <w:r>
        <w:rPr>
          <w:rFonts w:ascii="Songti SC Regular" w:hAnsi="Songti SC Regular" w:eastAsia="Songti SC Regular" w:cs="Songti SC Regular"/>
        </w:rPr>
        <w:t>月对国家保障类养老金进行指数化处理的做法，重点仍是通过自动增发机制缓解高龄和弱势群体的生活压力。</w:t>
      </w:r>
    </w:p>
    <w:p w14:paraId="6CE6291D">
      <w:pPr>
        <w:pStyle w:val="19"/>
      </w:pPr>
      <w:r>
        <w:rPr>
          <w:rFonts w:ascii="Songti SC Regular" w:hAnsi="Songti SC Regular" w:eastAsia="Songti SC Regular" w:cs="Songti SC Regular"/>
        </w:rPr>
        <w:t>资料来源：俄罗斯社会基金，</w:t>
      </w:r>
      <w:r>
        <w:t>2026-04-01</w:t>
      </w:r>
    </w:p>
    <w:p w14:paraId="0EBC30DE">
      <w:pPr>
        <w:pStyle w:val="4"/>
        <w:outlineLvl w:val="2"/>
      </w:pPr>
      <w:bookmarkStart w:id="3" w:name="_Toc581127741"/>
      <w:r>
        <w:rPr>
          <w:rFonts w:ascii="Songti SC Regular" w:hAnsi="Songti SC Regular" w:eastAsia="Songti SC Regular" w:cs="Songti SC Regular"/>
        </w:rPr>
        <w:t>（</w:t>
      </w:r>
      <w:r>
        <w:t>2</w:t>
      </w:r>
      <w:r>
        <w:rPr>
          <w:rFonts w:ascii="Songti SC Regular" w:hAnsi="Songti SC Regular" w:eastAsia="Songti SC Regular" w:cs="Songti SC Regular"/>
        </w:rPr>
        <w:t>）澳大利亚</w:t>
      </w:r>
      <w:r>
        <w:t>|</w:t>
      </w:r>
      <w:r>
        <w:rPr>
          <w:rFonts w:ascii="Songti SC Regular" w:hAnsi="Songti SC Regular" w:eastAsia="Songti SC Regular" w:cs="Songti SC Regular"/>
        </w:rPr>
        <w:t>澳大利亚放宽长寿风险产品资本规则以支持退休收入市场</w:t>
      </w:r>
      <w:r>
        <w:t>*</w:t>
      </w:r>
      <w:bookmarkEnd w:id="3"/>
    </w:p>
    <w:p w14:paraId="40441305">
      <w:pPr>
        <w:pStyle w:val="19"/>
      </w:pPr>
      <w:r>
        <w:rPr>
          <w:rFonts w:ascii="Songti SC Regular" w:hAnsi="Songti SC Regular" w:eastAsia="Songti SC Regular" w:cs="Songti SC Regular"/>
        </w:rPr>
        <w:t>澳大利亚审慎监管局（</w:t>
      </w:r>
      <w:r>
        <w:t>Australian Prudential Regulation Authority, APRA</w:t>
      </w:r>
      <w:r>
        <w:rPr>
          <w:rFonts w:ascii="Songti SC Regular" w:hAnsi="Songti SC Regular" w:eastAsia="Songti SC Regular" w:cs="Songti SC Regular"/>
        </w:rPr>
        <w:t>）</w:t>
      </w:r>
      <w:r>
        <w:t>3</w:t>
      </w:r>
      <w:r>
        <w:rPr>
          <w:rFonts w:ascii="Songti SC Regular" w:hAnsi="Songti SC Regular" w:eastAsia="Songti SC Regular" w:cs="Songti SC Regular"/>
        </w:rPr>
        <w:t>月</w:t>
      </w:r>
      <w:r>
        <w:t>31</w:t>
      </w:r>
      <w:r>
        <w:rPr>
          <w:rFonts w:ascii="Songti SC Regular" w:hAnsi="Songti SC Regular" w:eastAsia="Songti SC Regular" w:cs="Songti SC Regular"/>
        </w:rPr>
        <w:t>日宣布，已最终敲定针对长寿风险产品资本计提规则的修订，涵盖年金等退休收入产品，目标是在维持审慎监管底线的同时，增强相关市场供给。此次改革的核心，是允许保险机构在测算长寿产品资本要求时，引入</w:t>
      </w:r>
      <w:r>
        <w:t>“</w:t>
      </w:r>
      <w:r>
        <w:rPr>
          <w:rFonts w:ascii="Songti SC Regular" w:hAnsi="Songti SC Regular" w:eastAsia="Songti SC Regular" w:cs="Songti SC Regular"/>
        </w:rPr>
        <w:t>高级非流动性溢价</w:t>
      </w:r>
      <w:r>
        <w:t>”</w:t>
      </w:r>
      <w:r>
        <w:rPr>
          <w:rFonts w:ascii="Songti SC Regular" w:hAnsi="Songti SC Regular" w:eastAsia="Songti SC Regular" w:cs="Songti SC Regular"/>
        </w:rPr>
        <w:t>选项，以更好反映这类负债期限长、现金流稳定的特征，从而提高资本使用效率，减少原有框架中不必要的顺周期性。为防止放松资本约束演变为风险积累，</w:t>
      </w:r>
      <w:r>
        <w:t>APRA</w:t>
      </w:r>
      <w:r>
        <w:rPr>
          <w:rFonts w:ascii="Songti SC Regular" w:hAnsi="Songti SC Regular" w:eastAsia="Songti SC Regular" w:cs="Songti SC Regular"/>
        </w:rPr>
        <w:t>同时配套引入了新的治理、报告和资产组合管理要求，适用于采用这一方法的投资组合。监管层表示，此举旨在减少不必要的制度束缚，鼓励保险机构开发更可持续、价格更具竞争力的退休收入产品，帮助居民在退休后获得更稳定的现金流安排。新规将于</w:t>
      </w:r>
      <w:r>
        <w:t>2026</w:t>
      </w:r>
      <w:r>
        <w:rPr>
          <w:rFonts w:ascii="Songti SC Regular" w:hAnsi="Songti SC Regular" w:eastAsia="Songti SC Regular" w:cs="Songti SC Regular"/>
        </w:rPr>
        <w:t>年</w:t>
      </w:r>
      <w:r>
        <w:t>7</w:t>
      </w:r>
      <w:r>
        <w:rPr>
          <w:rFonts w:ascii="Songti SC Regular" w:hAnsi="Songti SC Regular" w:eastAsia="Songti SC Regular" w:cs="Songti SC Regular"/>
        </w:rPr>
        <w:t>月</w:t>
      </w:r>
      <w:r>
        <w:t>1</w:t>
      </w:r>
      <w:r>
        <w:rPr>
          <w:rFonts w:ascii="Songti SC Regular" w:hAnsi="Songti SC Regular" w:eastAsia="Songti SC Regular" w:cs="Songti SC Regular"/>
        </w:rPr>
        <w:t>日起生效，显示澳大利亚正通过优化资本监管推动年金与退休收入市场发展。</w:t>
      </w:r>
    </w:p>
    <w:p w14:paraId="71442330">
      <w:pPr>
        <w:pStyle w:val="19"/>
      </w:pPr>
      <w:r>
        <w:rPr>
          <w:rFonts w:ascii="Songti SC Regular" w:hAnsi="Songti SC Regular" w:eastAsia="Songti SC Regular" w:cs="Songti SC Regular"/>
        </w:rPr>
        <w:t>资料来源：澳大利亚审慎监管局（</w:t>
      </w:r>
      <w:r>
        <w:t>Australian Prudential Regulation Authority, APRA</w:t>
      </w:r>
      <w:r>
        <w:rPr>
          <w:rFonts w:ascii="Songti SC Regular" w:hAnsi="Songti SC Regular" w:eastAsia="Songti SC Regular" w:cs="Songti SC Regular"/>
        </w:rPr>
        <w:t>），</w:t>
      </w:r>
      <w:r>
        <w:t>2026-03-31</w:t>
      </w:r>
    </w:p>
    <w:p w14:paraId="76E27561">
      <w:pPr>
        <w:pStyle w:val="4"/>
        <w:outlineLvl w:val="2"/>
      </w:pPr>
      <w:bookmarkStart w:id="4" w:name="_Toc258316431"/>
      <w:r>
        <w:rPr>
          <w:rFonts w:ascii="Songti SC Regular" w:hAnsi="Songti SC Regular" w:eastAsia="Songti SC Regular" w:cs="Songti SC Regular"/>
        </w:rPr>
        <w:t>（</w:t>
      </w:r>
      <w:r>
        <w:t>3</w:t>
      </w:r>
      <w:r>
        <w:rPr>
          <w:rFonts w:ascii="Songti SC Regular" w:hAnsi="Songti SC Regular" w:eastAsia="Songti SC Regular" w:cs="Songti SC Regular"/>
        </w:rPr>
        <w:t>）阿根廷</w:t>
      </w:r>
      <w:r>
        <w:t>|</w:t>
      </w:r>
      <w:r>
        <w:rPr>
          <w:rFonts w:ascii="Songti SC Regular" w:hAnsi="Songti SC Regular" w:eastAsia="Songti SC Regular" w:cs="Songti SC Regular"/>
        </w:rPr>
        <w:t>阿根廷</w:t>
      </w:r>
      <w:r>
        <w:t>4</w:t>
      </w:r>
      <w:r>
        <w:rPr>
          <w:rFonts w:ascii="Songti SC Regular" w:hAnsi="Songti SC Regular" w:eastAsia="Songti SC Regular" w:cs="Songti SC Regular"/>
        </w:rPr>
        <w:t>月上调养老金并续发一次性补贴</w:t>
      </w:r>
      <w:bookmarkEnd w:id="4"/>
    </w:p>
    <w:p w14:paraId="5C5E04C2">
      <w:pPr>
        <w:pStyle w:val="19"/>
      </w:pPr>
      <w:r>
        <w:rPr>
          <w:rFonts w:ascii="Songti SC Regular" w:hAnsi="Songti SC Regular" w:eastAsia="Songti SC Regular" w:cs="Songti SC Regular"/>
        </w:rPr>
        <w:t>阿根廷国家社会保障局</w:t>
      </w:r>
      <w:r>
        <w:t>3</w:t>
      </w:r>
      <w:r>
        <w:rPr>
          <w:rFonts w:ascii="Songti SC Regular" w:hAnsi="Songti SC Regular" w:eastAsia="Songti SC Regular" w:cs="Songti SC Regular"/>
        </w:rPr>
        <w:t>月</w:t>
      </w:r>
      <w:r>
        <w:t>30</w:t>
      </w:r>
      <w:r>
        <w:rPr>
          <w:rFonts w:ascii="Songti SC Regular" w:hAnsi="Songti SC Regular" w:eastAsia="Songti SC Regular" w:cs="Songti SC Regular"/>
        </w:rPr>
        <w:t>日表示，按现行养老金调整机制，</w:t>
      </w:r>
      <w:r>
        <w:t>2026</w:t>
      </w:r>
      <w:r>
        <w:rPr>
          <w:rFonts w:ascii="Songti SC Regular" w:hAnsi="Songti SC Regular" w:eastAsia="Songti SC Regular" w:cs="Songti SC Regular"/>
        </w:rPr>
        <w:t>年</w:t>
      </w:r>
      <w:r>
        <w:t>4</w:t>
      </w:r>
      <w:r>
        <w:rPr>
          <w:rFonts w:ascii="Songti SC Regular" w:hAnsi="Songti SC Regular" w:eastAsia="Songti SC Regular" w:cs="Songti SC Regular"/>
        </w:rPr>
        <w:t>月退休金、养老金及相关家庭补助将上调</w:t>
      </w:r>
      <w:r>
        <w:t>2.90%</w:t>
      </w:r>
      <w:r>
        <w:rPr>
          <w:rFonts w:ascii="Songti SC Regular" w:hAnsi="Songti SC Regular" w:eastAsia="Songti SC Regular" w:cs="Songti SC Regular"/>
        </w:rPr>
        <w:t>，调整依据是国家统计与普查研究所公布的</w:t>
      </w:r>
      <w:r>
        <w:t>2</w:t>
      </w:r>
      <w:r>
        <w:rPr>
          <w:rFonts w:ascii="Songti SC Regular" w:hAnsi="Songti SC Regular" w:eastAsia="Songti SC Regular" w:cs="Songti SC Regular"/>
        </w:rPr>
        <w:t>月消费者价格指数。与此同时，领取最低养老金者将继续获得</w:t>
      </w:r>
      <w:r>
        <w:t>7</w:t>
      </w:r>
      <w:r>
        <w:rPr>
          <w:rFonts w:ascii="Songti SC Regular" w:hAnsi="Songti SC Regular" w:eastAsia="Songti SC Regular" w:cs="Songti SC Regular"/>
        </w:rPr>
        <w:t>万阿根廷比索（约合</w:t>
      </w:r>
      <w:r>
        <w:t>50</w:t>
      </w:r>
      <w:r>
        <w:rPr>
          <w:rFonts w:ascii="Songti SC Regular" w:hAnsi="Songti SC Regular" w:eastAsia="Songti SC Regular" w:cs="Songti SC Regular"/>
        </w:rPr>
        <w:t>美元）的一次性补贴，最低养老金加补贴后合计为</w:t>
      </w:r>
      <w:r>
        <w:t>45.03</w:t>
      </w:r>
      <w:r>
        <w:rPr>
          <w:rFonts w:ascii="Songti SC Regular" w:hAnsi="Songti SC Regular" w:eastAsia="Songti SC Regular" w:cs="Songti SC Regular"/>
        </w:rPr>
        <w:t>万阿根廷比索（约合</w:t>
      </w:r>
      <w:r>
        <w:t>324</w:t>
      </w:r>
      <w:r>
        <w:rPr>
          <w:rFonts w:ascii="Songti SC Regular" w:hAnsi="Songti SC Regular" w:eastAsia="Songti SC Regular" w:cs="Songti SC Regular"/>
        </w:rPr>
        <w:t>美元）；高于最低养老金者，则按差额方式领取补贴，直至待遇总额达到同一上限。文件同时列明，老年人普惠养老金和部分非缴费型养老金也将随之上调并叠加补贴。整体看，这一安排延续了阿根廷近两年</w:t>
      </w:r>
      <w:r>
        <w:t>“</w:t>
      </w:r>
      <w:r>
        <w:rPr>
          <w:rFonts w:ascii="Songti SC Regular" w:hAnsi="Songti SC Regular" w:eastAsia="Songti SC Regular" w:cs="Songti SC Regular"/>
        </w:rPr>
        <w:t>按月随通胀调整待遇、再用固定补贴托底低收入退休群体</w:t>
      </w:r>
      <w:r>
        <w:t>”</w:t>
      </w:r>
      <w:r>
        <w:rPr>
          <w:rFonts w:ascii="Songti SC Regular" w:hAnsi="Songti SC Regular" w:eastAsia="Songti SC Regular" w:cs="Songti SC Regular"/>
        </w:rPr>
        <w:t>的做法，以在高通胀环境下减轻老年人实际购买力下降压力。</w:t>
      </w:r>
    </w:p>
    <w:p w14:paraId="5F45504E">
      <w:pPr>
        <w:pStyle w:val="19"/>
      </w:pPr>
      <w:r>
        <w:rPr>
          <w:rFonts w:ascii="Songti SC Regular" w:hAnsi="Songti SC Regular" w:eastAsia="Songti SC Regular" w:cs="Songti SC Regular"/>
        </w:rPr>
        <w:t>资料来源：阿根廷国家社会保障局，</w:t>
      </w:r>
      <w:r>
        <w:t>2026-03-30</w:t>
      </w:r>
    </w:p>
    <w:p w14:paraId="151471D6">
      <w:pPr>
        <w:pStyle w:val="4"/>
        <w:outlineLvl w:val="2"/>
      </w:pPr>
      <w:bookmarkStart w:id="5" w:name="_Toc1459805230"/>
      <w:r>
        <w:rPr>
          <w:rFonts w:ascii="Songti SC Regular" w:hAnsi="Songti SC Regular" w:eastAsia="Songti SC Regular" w:cs="Songti SC Regular"/>
        </w:rPr>
        <w:t>（</w:t>
      </w:r>
      <w:r>
        <w:t>4</w:t>
      </w:r>
      <w:r>
        <w:rPr>
          <w:rFonts w:ascii="Songti SC Regular" w:hAnsi="Songti SC Regular" w:eastAsia="Songti SC Regular" w:cs="Songti SC Regular"/>
        </w:rPr>
        <w:t>）意大利</w:t>
      </w:r>
      <w:r>
        <w:t>|</w:t>
      </w:r>
      <w:r>
        <w:rPr>
          <w:rFonts w:ascii="Songti SC Regular" w:hAnsi="Songti SC Regular" w:eastAsia="Songti SC Regular" w:cs="Songti SC Regular"/>
        </w:rPr>
        <w:t>意大利更新养老金代扣贷款第二季度利率门槛</w:t>
      </w:r>
      <w:bookmarkEnd w:id="5"/>
    </w:p>
    <w:p w14:paraId="5012D724">
      <w:pPr>
        <w:pStyle w:val="19"/>
      </w:pPr>
      <w:r>
        <w:rPr>
          <w:rFonts w:ascii="Songti SC Regular" w:hAnsi="Songti SC Regular" w:eastAsia="Songti SC Regular" w:cs="Songti SC Regular"/>
        </w:rPr>
        <w:t>意大利国家社会保障局</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日发布第</w:t>
      </w:r>
      <w:r>
        <w:t>1168</w:t>
      </w:r>
      <w:r>
        <w:rPr>
          <w:rFonts w:ascii="Songti SC Regular" w:hAnsi="Songti SC Regular" w:eastAsia="Songti SC Regular" w:cs="Songti SC Regular"/>
        </w:rPr>
        <w:t>号消息，明确</w:t>
      </w:r>
      <w:r>
        <w:t>2026</w:t>
      </w:r>
      <w:r>
        <w:rPr>
          <w:rFonts w:ascii="Songti SC Regular" w:hAnsi="Songti SC Regular" w:eastAsia="Songti SC Regular" w:cs="Songti SC Regular"/>
        </w:rPr>
        <w:t>年第二季度适用于养老金</w:t>
      </w:r>
      <w:r>
        <w:t>“</w:t>
      </w:r>
      <w:r>
        <w:rPr>
          <w:rFonts w:ascii="Songti SC Regular" w:hAnsi="Songti SC Regular" w:eastAsia="Songti SC Regular" w:cs="Songti SC Regular"/>
        </w:rPr>
        <w:t>五分之一转让贷款</w:t>
      </w:r>
      <w:r>
        <w:t>”</w:t>
      </w:r>
      <w:r>
        <w:rPr>
          <w:rFonts w:ascii="Songti SC Regular" w:hAnsi="Songti SC Regular" w:eastAsia="Songti SC Regular" w:cs="Songti SC Regular"/>
        </w:rPr>
        <w:t>的利率参数和审查门槛。根据财政部国库司确定的区间，</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日至</w:t>
      </w:r>
      <w:r>
        <w:t>6</w:t>
      </w:r>
      <w:r>
        <w:rPr>
          <w:rFonts w:ascii="Songti SC Regular" w:hAnsi="Songti SC Regular" w:eastAsia="Songti SC Regular" w:cs="Songti SC Regular"/>
        </w:rPr>
        <w:t>月</w:t>
      </w:r>
      <w:r>
        <w:t>30</w:t>
      </w:r>
      <w:r>
        <w:rPr>
          <w:rFonts w:ascii="Songti SC Regular" w:hAnsi="Songti SC Regular" w:eastAsia="Songti SC Regular" w:cs="Songti SC Regular"/>
        </w:rPr>
        <w:t>日期间，银行和金融中介在办理以养老金按月代扣偿还的贷款时，须按照贷款金额和借款人在还款期末年龄适用新的综合年化成本率上限；</w:t>
      </w:r>
      <w:r>
        <w:t>79</w:t>
      </w:r>
      <w:r>
        <w:rPr>
          <w:rFonts w:ascii="Songti SC Regular" w:hAnsi="Songti SC Regular" w:eastAsia="Songti SC Regular" w:cs="Songti SC Regular"/>
        </w:rPr>
        <w:t>岁以上群体则直接适用反高利贷法下的门槛。</w:t>
      </w:r>
      <w:r>
        <w:t>INPS</w:t>
      </w:r>
      <w:r>
        <w:rPr>
          <w:rFonts w:ascii="Songti SC Regular" w:hAnsi="Songti SC Regular" w:eastAsia="Songti SC Regular" w:cs="Songti SC Regular"/>
        </w:rPr>
        <w:t>同时说明，其</w:t>
      </w:r>
      <w:r>
        <w:t>“Quote Quinto”</w:t>
      </w:r>
      <w:r>
        <w:rPr>
          <w:rFonts w:ascii="Songti SC Regular" w:hAnsi="Songti SC Regular" w:eastAsia="Songti SC Regular" w:cs="Songti SC Regular"/>
        </w:rPr>
        <w:t>电子业务系统已同步启用阻断式校验，凡申报利率超过对应阈值的方案，系统将不予受理。此举意味着，意大利不仅更新了养老金领取者消费信贷的价格上限，也通过技术校验把监管要求嵌入办理流程之中，从而加强对高成本贷款通过养老金代扣渠道进入市场的约束。</w:t>
      </w:r>
    </w:p>
    <w:p w14:paraId="01EF6744">
      <w:pPr>
        <w:pStyle w:val="19"/>
      </w:pPr>
      <w:r>
        <w:rPr>
          <w:rFonts w:ascii="Songti SC Regular" w:hAnsi="Songti SC Regular" w:eastAsia="Songti SC Regular" w:cs="Songti SC Regular"/>
        </w:rPr>
        <w:t>资料来源：意大利国家社会保障局（</w:t>
      </w:r>
      <w:r>
        <w:t>Istituto Nazionale della Previdenza Sociale, INPS</w:t>
      </w:r>
      <w:r>
        <w:rPr>
          <w:rFonts w:ascii="Songti SC Regular" w:hAnsi="Songti SC Regular" w:eastAsia="Songti SC Regular" w:cs="Songti SC Regular"/>
        </w:rPr>
        <w:t>），</w:t>
      </w:r>
      <w:r>
        <w:t>2026-04-01</w:t>
      </w:r>
    </w:p>
    <w:p w14:paraId="72C7F171">
      <w:pPr>
        <w:pStyle w:val="4"/>
        <w:outlineLvl w:val="2"/>
      </w:pPr>
      <w:bookmarkStart w:id="6" w:name="_Toc2093317282"/>
      <w:r>
        <w:rPr>
          <w:rFonts w:ascii="Songti SC Regular" w:hAnsi="Songti SC Regular" w:eastAsia="Songti SC Regular" w:cs="Songti SC Regular"/>
        </w:rPr>
        <w:t>（</w:t>
      </w:r>
      <w:r>
        <w:t>5</w:t>
      </w:r>
      <w:r>
        <w:rPr>
          <w:rFonts w:ascii="Songti SC Regular" w:hAnsi="Songti SC Regular" w:eastAsia="Songti SC Regular" w:cs="Songti SC Regular"/>
        </w:rPr>
        <w:t>）日本</w:t>
      </w:r>
      <w:r>
        <w:t>|</w:t>
      </w:r>
      <w:r>
        <w:rPr>
          <w:rFonts w:ascii="Songti SC Regular" w:hAnsi="Songti SC Regular" w:eastAsia="Songti SC Regular" w:cs="Songti SC Regular"/>
        </w:rPr>
        <w:t>日本上调在职老龄年金减额门槛</w:t>
      </w:r>
      <w:r>
        <w:t>*</w:t>
      </w:r>
      <w:bookmarkEnd w:id="6"/>
    </w:p>
    <w:p w14:paraId="79A1D01C">
      <w:pPr>
        <w:pStyle w:val="19"/>
      </w:pPr>
      <w:r>
        <w:rPr>
          <w:rFonts w:ascii="Songti SC Regular" w:hAnsi="Songti SC Regular" w:eastAsia="Songti SC Regular" w:cs="Songti SC Regular"/>
        </w:rPr>
        <w:t>日本年金机构</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日发布说明称，依据</w:t>
      </w:r>
      <w:r>
        <w:t>2025</w:t>
      </w:r>
      <w:r>
        <w:rPr>
          <w:rFonts w:ascii="Songti SC Regular" w:hAnsi="Songti SC Regular" w:eastAsia="Songti SC Regular" w:cs="Songti SC Regular"/>
        </w:rPr>
        <w:t>年养老金制度改革法，自</w:t>
      </w:r>
      <w:r>
        <w:t>2026</w:t>
      </w:r>
      <w:r>
        <w:rPr>
          <w:rFonts w:ascii="Songti SC Regular" w:hAnsi="Songti SC Regular" w:eastAsia="Songti SC Regular" w:cs="Songti SC Regular"/>
        </w:rPr>
        <w:t>年</w:t>
      </w:r>
      <w:r>
        <w:t>4</w:t>
      </w:r>
      <w:r>
        <w:rPr>
          <w:rFonts w:ascii="Songti SC Regular" w:hAnsi="Songti SC Regular" w:eastAsia="Songti SC Regular" w:cs="Songti SC Regular"/>
        </w:rPr>
        <w:t>月起，日本在职老龄年金制度中</w:t>
      </w:r>
      <w:r>
        <w:t>“</w:t>
      </w:r>
      <w:r>
        <w:rPr>
          <w:rFonts w:ascii="Songti SC Regular" w:hAnsi="Songti SC Regular" w:eastAsia="Songti SC Regular" w:cs="Songti SC Regular"/>
        </w:rPr>
        <w:t>养老金减额基准</w:t>
      </w:r>
      <w:r>
        <w:t>”</w:t>
      </w:r>
      <w:r>
        <w:rPr>
          <w:rFonts w:ascii="Songti SC Regular" w:hAnsi="Songti SC Regular" w:eastAsia="Songti SC Regular" w:cs="Songti SC Regular"/>
        </w:rPr>
        <w:t>将由每月</w:t>
      </w:r>
      <w:r>
        <w:t>51</w:t>
      </w:r>
      <w:r>
        <w:rPr>
          <w:rFonts w:ascii="Songti SC Regular" w:hAnsi="Songti SC Regular" w:eastAsia="Songti SC Regular" w:cs="Songti SC Regular"/>
        </w:rPr>
        <w:t>万日元（约合</w:t>
      </w:r>
      <w:r>
        <w:t>3194</w:t>
      </w:r>
      <w:r>
        <w:rPr>
          <w:rFonts w:ascii="Songti SC Regular" w:hAnsi="Songti SC Regular" w:eastAsia="Songti SC Regular" w:cs="Songti SC Regular"/>
        </w:rPr>
        <w:t>美元）上调至</w:t>
      </w:r>
      <w:r>
        <w:t>65</w:t>
      </w:r>
      <w:r>
        <w:rPr>
          <w:rFonts w:ascii="Songti SC Regular" w:hAnsi="Songti SC Regular" w:eastAsia="Songti SC Regular" w:cs="Songti SC Regular"/>
        </w:rPr>
        <w:t>万日元（约合</w:t>
      </w:r>
      <w:r>
        <w:t>4071</w:t>
      </w:r>
      <w:r>
        <w:rPr>
          <w:rFonts w:ascii="Songti SC Regular" w:hAnsi="Songti SC Regular" w:eastAsia="Songti SC Regular" w:cs="Songti SC Regular"/>
        </w:rPr>
        <w:t>美元）。这里的基准，是指工资与老龄厚生年金合计后开始触发养老金减额的门槛。官方表示，此次调整的背景是平均寿命和健康寿命延长，政策意在支持有继续工作意愿的老年人更便利地就业和兼职。按新规，今后领取老龄厚生年金且继续工作的老年人，只有在工资与养老金合计达到更高水平时，才会进入减额区间。这次公告主要聚焦门槛上调本身，未进一步披露受影响人数及财政影响等数据。</w:t>
      </w:r>
    </w:p>
    <w:p w14:paraId="3B05792D">
      <w:pPr>
        <w:pStyle w:val="19"/>
      </w:pPr>
      <w:r>
        <w:rPr>
          <w:rFonts w:ascii="Songti SC Regular" w:hAnsi="Songti SC Regular" w:eastAsia="Songti SC Regular" w:cs="Songti SC Regular"/>
        </w:rPr>
        <w:t>资料来源：日本年金机构，</w:t>
      </w:r>
      <w:r>
        <w:t>2026-04-01</w:t>
      </w:r>
    </w:p>
    <w:p w14:paraId="55C75C92">
      <w:pPr>
        <w:pStyle w:val="4"/>
        <w:outlineLvl w:val="2"/>
      </w:pPr>
      <w:bookmarkStart w:id="7" w:name="_Toc158969773"/>
      <w:r>
        <w:rPr>
          <w:rFonts w:ascii="Songti SC Regular" w:hAnsi="Songti SC Regular" w:eastAsia="Songti SC Regular" w:cs="Songti SC Regular"/>
        </w:rPr>
        <w:t>（</w:t>
      </w:r>
      <w:r>
        <w:t>6</w:t>
      </w:r>
      <w:r>
        <w:rPr>
          <w:rFonts w:ascii="Songti SC Regular" w:hAnsi="Songti SC Regular" w:eastAsia="Songti SC Regular" w:cs="Songti SC Regular"/>
        </w:rPr>
        <w:t>）日本</w:t>
      </w:r>
      <w:r>
        <w:t>|</w:t>
      </w:r>
      <w:r>
        <w:rPr>
          <w:rFonts w:ascii="Songti SC Regular" w:hAnsi="Songti SC Regular" w:eastAsia="Songti SC Regular" w:cs="Songti SC Regular"/>
        </w:rPr>
        <w:t>日本</w:t>
      </w:r>
      <w:r>
        <w:t>2026</w:t>
      </w:r>
      <w:r>
        <w:rPr>
          <w:rFonts w:ascii="Songti SC Regular" w:hAnsi="Songti SC Regular" w:eastAsia="Songti SC Regular" w:cs="Songti SC Regular"/>
        </w:rPr>
        <w:t>年度国民年金与相关给付标准启动调整</w:t>
      </w:r>
      <w:r>
        <w:t>*</w:t>
      </w:r>
      <w:bookmarkEnd w:id="7"/>
    </w:p>
    <w:p w14:paraId="3EABA273">
      <w:pPr>
        <w:pStyle w:val="19"/>
      </w:pPr>
      <w:r>
        <w:rPr>
          <w:rFonts w:ascii="Songti SC Regular" w:hAnsi="Songti SC Regular" w:eastAsia="Songti SC Regular" w:cs="Songti SC Regular"/>
        </w:rPr>
        <w:t>日本厚生劳动省年金局和日本年金机构</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日联合发文，宣布多项与</w:t>
      </w:r>
      <w:r>
        <w:t>2026</w:t>
      </w:r>
      <w:r>
        <w:rPr>
          <w:rFonts w:ascii="Songti SC Regular" w:hAnsi="Songti SC Regular" w:eastAsia="Songti SC Regular" w:cs="Songti SC Regular"/>
        </w:rPr>
        <w:t>年度养老金和相关给付有关的政令、省令修订自当日起施行。文件显示，</w:t>
      </w:r>
      <w:r>
        <w:t>2026</w:t>
      </w:r>
      <w:r>
        <w:rPr>
          <w:rFonts w:ascii="Songti SC Regular" w:hAnsi="Songti SC Regular" w:eastAsia="Songti SC Regular" w:cs="Songti SC Regular"/>
        </w:rPr>
        <w:t>年度国民年金给付改定率将以</w:t>
      </w:r>
      <w:r>
        <w:t>2025</w:t>
      </w:r>
      <w:r>
        <w:rPr>
          <w:rFonts w:ascii="Songti SC Regular" w:hAnsi="Songti SC Regular" w:eastAsia="Songti SC Regular" w:cs="Songti SC Regular"/>
        </w:rPr>
        <w:t>年度测算的名义到手工资变动率</w:t>
      </w:r>
      <w:r>
        <w:t>2.1%</w:t>
      </w:r>
      <w:r>
        <w:rPr>
          <w:rFonts w:ascii="Songti SC Regular" w:hAnsi="Songti SC Regular" w:eastAsia="Songti SC Regular" w:cs="Songti SC Regular"/>
        </w:rPr>
        <w:t>为基础，并在扣除</w:t>
      </w:r>
      <w:r>
        <w:t>0.2%</w:t>
      </w:r>
      <w:r>
        <w:rPr>
          <w:rFonts w:ascii="Songti SC Regular" w:hAnsi="Songti SC Regular" w:eastAsia="Songti SC Regular" w:cs="Songti SC Regular"/>
        </w:rPr>
        <w:t>的宏观经济滑坡调整后实施；厚生年金再评价率同样以</w:t>
      </w:r>
      <w:r>
        <w:t>2.1%</w:t>
      </w:r>
      <w:r>
        <w:rPr>
          <w:rFonts w:ascii="Songti SC Regular" w:hAnsi="Songti SC Regular" w:eastAsia="Songti SC Regular" w:cs="Songti SC Regular"/>
        </w:rPr>
        <w:t>为基础，并扣除</w:t>
      </w:r>
      <w:r>
        <w:t>0.1%</w:t>
      </w:r>
      <w:r>
        <w:rPr>
          <w:rFonts w:ascii="Songti SC Regular" w:hAnsi="Songti SC Regular" w:eastAsia="Songti SC Regular" w:cs="Songti SC Regular"/>
        </w:rPr>
        <w:t>的宏观经济滑坡因素后调整。与此同时，年金生活者支援给付金和面向特定障碍者的特别障碍给付金，则按</w:t>
      </w:r>
      <w:r>
        <w:t>2025</w:t>
      </w:r>
      <w:r>
        <w:rPr>
          <w:rFonts w:ascii="Songti SC Regular" w:hAnsi="Songti SC Regular" w:eastAsia="Songti SC Regular" w:cs="Songti SC Regular"/>
        </w:rPr>
        <w:t>年全国消费者物价指数同比上涨</w:t>
      </w:r>
      <w:r>
        <w:t>3.2%</w:t>
      </w:r>
      <w:r>
        <w:rPr>
          <w:rFonts w:ascii="Songti SC Regular" w:hAnsi="Songti SC Regular" w:eastAsia="Songti SC Regular" w:cs="Songti SC Regular"/>
        </w:rPr>
        <w:t>的水平改定。文件还提到，</w:t>
      </w:r>
      <w:r>
        <w:t>2026</w:t>
      </w:r>
      <w:r>
        <w:rPr>
          <w:rFonts w:ascii="Songti SC Regular" w:hAnsi="Songti SC Regular" w:eastAsia="Songti SC Regular" w:cs="Songti SC Regular"/>
        </w:rPr>
        <w:t>年度补缴国民年金保险费时适用的加算率，以及特例补缴情形下的附加比率，将依据</w:t>
      </w:r>
      <w:r>
        <w:t>2025</w:t>
      </w:r>
      <w:r>
        <w:rPr>
          <w:rFonts w:ascii="Songti SC Regular" w:hAnsi="Songti SC Regular" w:eastAsia="Songti SC Regular" w:cs="Songti SC Regular"/>
        </w:rPr>
        <w:t>年各月发行</w:t>
      </w:r>
      <w:r>
        <w:t>10</w:t>
      </w:r>
      <w:r>
        <w:rPr>
          <w:rFonts w:ascii="Songti SC Regular" w:hAnsi="Songti SC Regular" w:eastAsia="Songti SC Regular" w:cs="Songti SC Regular"/>
        </w:rPr>
        <w:t>年期国债票面利率平均值加</w:t>
      </w:r>
      <w:r>
        <w:t>1.5%</w:t>
      </w:r>
      <w:r>
        <w:rPr>
          <w:rFonts w:ascii="Songti SC Regular" w:hAnsi="Songti SC Regular" w:eastAsia="Songti SC Regular" w:cs="Songti SC Regular"/>
        </w:rPr>
        <w:t>的标准作出调整。整体看，日本</w:t>
      </w:r>
      <w:r>
        <w:t>2026</w:t>
      </w:r>
      <w:r>
        <w:rPr>
          <w:rFonts w:ascii="Songti SC Regular" w:hAnsi="Songti SC Regular" w:eastAsia="Songti SC Regular" w:cs="Songti SC Regular"/>
        </w:rPr>
        <w:t>年度养老社保安排并非单一上调养老金金额，而是围绕基础养老金、厚生年金、低收入老人补助、残障相关给付及补缴成本，按工资、物价和利率三类指标分别调整。</w:t>
      </w:r>
    </w:p>
    <w:p w14:paraId="60584C88">
      <w:pPr>
        <w:pStyle w:val="19"/>
      </w:pPr>
      <w:r>
        <w:rPr>
          <w:rFonts w:ascii="Songti SC Regular" w:hAnsi="Songti SC Regular" w:eastAsia="Songti SC Regular" w:cs="Songti SC Regular"/>
        </w:rPr>
        <w:t>资料来源：日本厚生劳动省年金局、日本年金机构，</w:t>
      </w:r>
      <w:r>
        <w:t>2026-04-01</w:t>
      </w:r>
    </w:p>
    <w:p w14:paraId="1E6CB028">
      <w:pPr>
        <w:pStyle w:val="3"/>
        <w:outlineLvl w:val="1"/>
      </w:pPr>
      <w:bookmarkStart w:id="8" w:name="_Toc335317943"/>
      <w:r>
        <w:rPr>
          <w:rFonts w:ascii="Songti SC Regular" w:hAnsi="Songti SC Regular" w:eastAsia="Songti SC Regular" w:cs="Songti SC Regular"/>
        </w:rPr>
        <w:t>二、养老金投资</w:t>
      </w:r>
      <w:bookmarkEnd w:id="8"/>
    </w:p>
    <w:p w14:paraId="6B0601ED">
      <w:pPr>
        <w:pStyle w:val="4"/>
        <w:outlineLvl w:val="2"/>
      </w:pPr>
      <w:bookmarkStart w:id="9" w:name="_Toc691578273"/>
      <w:r>
        <w:rPr>
          <w:rFonts w:ascii="Songti SC Regular" w:hAnsi="Songti SC Regular" w:eastAsia="Songti SC Regular" w:cs="Songti SC Regular"/>
        </w:rPr>
        <w:t>（</w:t>
      </w:r>
      <w:r>
        <w:t>7</w:t>
      </w:r>
      <w:r>
        <w:rPr>
          <w:rFonts w:ascii="Songti SC Regular" w:hAnsi="Songti SC Regular" w:eastAsia="Songti SC Regular" w:cs="Songti SC Regular"/>
        </w:rPr>
        <w:t>）英国</w:t>
      </w:r>
      <w:r>
        <w:t>|</w:t>
      </w:r>
      <w:r>
        <w:rPr>
          <w:rFonts w:ascii="Songti SC Regular" w:hAnsi="Songti SC Regular" w:eastAsia="Songti SC Regular" w:cs="Songti SC Regular"/>
        </w:rPr>
        <w:t>英国养老金资金承诺投向</w:t>
      </w:r>
      <w:r>
        <w:t>British Growth Partnership</w:t>
      </w:r>
      <w:r>
        <w:rPr>
          <w:rFonts w:ascii="Songti SC Regular" w:hAnsi="Songti SC Regular" w:eastAsia="Songti SC Regular" w:cs="Songti SC Regular"/>
        </w:rPr>
        <w:t>基金</w:t>
      </w:r>
      <w:bookmarkEnd w:id="9"/>
    </w:p>
    <w:p w14:paraId="02ECEA96">
      <w:pPr>
        <w:pStyle w:val="19"/>
      </w:pPr>
      <w:r>
        <w:rPr>
          <w:rFonts w:ascii="Songti SC Regular" w:hAnsi="Songti SC Regular" w:eastAsia="Songti SC Regular" w:cs="Songti SC Regular"/>
        </w:rPr>
        <w:t>英国《</w:t>
      </w:r>
      <w:r>
        <w:t>Professional Pensions</w:t>
      </w:r>
      <w:r>
        <w:rPr>
          <w:rFonts w:ascii="Songti SC Regular" w:hAnsi="Songti SC Regular" w:eastAsia="Songti SC Regular" w:cs="Songti SC Regular"/>
        </w:rPr>
        <w:t>》</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日报道，英国商业银行旗下</w:t>
      </w:r>
      <w:r>
        <w:t>British Growth Partnership Fund I</w:t>
      </w:r>
      <w:r>
        <w:rPr>
          <w:rFonts w:ascii="Songti SC Regular" w:hAnsi="Songti SC Regular" w:eastAsia="Songti SC Regular" w:cs="Songti SC Regular"/>
        </w:rPr>
        <w:t>已完成首轮</w:t>
      </w:r>
      <w:r>
        <w:t>2</w:t>
      </w:r>
      <w:r>
        <w:rPr>
          <w:rFonts w:ascii="Songti SC Regular" w:hAnsi="Songti SC Regular" w:eastAsia="Songti SC Regular" w:cs="Songti SC Regular"/>
        </w:rPr>
        <w:t>亿英镑募集，并获得英国养老金资金承诺，将把资本导向风险投资领域。该基金最早由财政大臣</w:t>
      </w:r>
      <w:r>
        <w:t>Rachel Reeves</w:t>
      </w:r>
      <w:r>
        <w:rPr>
          <w:rFonts w:ascii="Songti SC Regular" w:hAnsi="Songti SC Regular" w:eastAsia="Songti SC Regular" w:cs="Songti SC Regular"/>
        </w:rPr>
        <w:t>在</w:t>
      </w:r>
      <w:r>
        <w:t>2024</w:t>
      </w:r>
      <w:r>
        <w:rPr>
          <w:rFonts w:ascii="Songti SC Regular" w:hAnsi="Songti SC Regular" w:eastAsia="Songti SC Regular" w:cs="Songti SC Regular"/>
        </w:rPr>
        <w:t>年国际投资峰会上提出，旨在回应养老金长期难以进入本土创新资本市场的结构性障碍，也是</w:t>
      </w:r>
      <w:r>
        <w:t>“Mansion House</w:t>
      </w:r>
      <w:r>
        <w:rPr>
          <w:rFonts w:ascii="Songti SC Regular" w:hAnsi="Songti SC Regular" w:eastAsia="Songti SC Regular" w:cs="Songti SC Regular"/>
        </w:rPr>
        <w:t>改革</w:t>
      </w:r>
      <w:r>
        <w:t>”</w:t>
      </w:r>
      <w:r>
        <w:rPr>
          <w:rFonts w:ascii="Songti SC Regular" w:hAnsi="Songti SC Regular" w:eastAsia="Songti SC Regular" w:cs="Songti SC Regular"/>
        </w:rPr>
        <w:t>推动养老金支持英国增长的重要投资工具之一。报道援引英国商业银行表述称，首关完成被视为撬动养老金配置创投资产的关键里程碑，有助于把长期养老资金引向本土高成长企业。就信号意义而言，这一进展表明英国正尝试通过专门载体把养老金资产更系统地引入私募和创投资产，在提升成员长期回报预期的同时，服务国内产业融资与资本市场培育目标。</w:t>
      </w:r>
    </w:p>
    <w:p w14:paraId="76D81C99">
      <w:pPr>
        <w:pStyle w:val="19"/>
      </w:pPr>
      <w:r>
        <w:rPr>
          <w:rFonts w:ascii="Songti SC Regular" w:hAnsi="Songti SC Regular" w:eastAsia="Songti SC Regular" w:cs="Songti SC Regular"/>
        </w:rPr>
        <w:t>资料来源：英国《专业养老金》（</w:t>
      </w:r>
      <w:r>
        <w:t>Professional Pensions</w:t>
      </w:r>
      <w:r>
        <w:rPr>
          <w:rFonts w:ascii="Songti SC Regular" w:hAnsi="Songti SC Regular" w:eastAsia="Songti SC Regular" w:cs="Songti SC Regular"/>
        </w:rPr>
        <w:t>），</w:t>
      </w:r>
      <w:r>
        <w:t>2026-04-01</w:t>
      </w:r>
    </w:p>
    <w:p w14:paraId="2C468984">
      <w:pPr>
        <w:pStyle w:val="4"/>
        <w:outlineLvl w:val="2"/>
      </w:pPr>
      <w:bookmarkStart w:id="10" w:name="_Toc1174536747"/>
      <w:r>
        <w:rPr>
          <w:rFonts w:ascii="Songti SC Regular" w:hAnsi="Songti SC Regular" w:eastAsia="Songti SC Regular" w:cs="Songti SC Regular"/>
        </w:rPr>
        <w:t>（</w:t>
      </w:r>
      <w:r>
        <w:t>8</w:t>
      </w:r>
      <w:r>
        <w:rPr>
          <w:rFonts w:ascii="Songti SC Regular" w:hAnsi="Songti SC Regular" w:eastAsia="Songti SC Regular" w:cs="Songti SC Regular"/>
        </w:rPr>
        <w:t>）英国</w:t>
      </w:r>
      <w:r>
        <w:t>|</w:t>
      </w:r>
      <w:r>
        <w:rPr>
          <w:rFonts w:ascii="Songti SC Regular" w:hAnsi="Songti SC Regular" w:eastAsia="Songti SC Regular" w:cs="Songti SC Regular"/>
        </w:rPr>
        <w:t>大曼彻斯特养老金基金与贝莱德发起医疗设施投资合作</w:t>
      </w:r>
      <w:bookmarkEnd w:id="10"/>
    </w:p>
    <w:p w14:paraId="520DBF7F">
      <w:pPr>
        <w:pStyle w:val="19"/>
      </w:pPr>
      <w:r>
        <w:rPr>
          <w:rFonts w:ascii="Songti SC Regular" w:hAnsi="Songti SC Regular" w:eastAsia="Songti SC Regular" w:cs="Songti SC Regular"/>
        </w:rPr>
        <w:t>英国《</w:t>
      </w:r>
      <w:r>
        <w:t>Professional Pensions</w:t>
      </w:r>
      <w:r>
        <w:rPr>
          <w:rFonts w:ascii="Songti SC Regular" w:hAnsi="Songti SC Regular" w:eastAsia="Songti SC Regular" w:cs="Songti SC Regular"/>
        </w:rPr>
        <w:t>》</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日报道，大曼彻斯特养老金基金（</w:t>
      </w:r>
      <w:r>
        <w:t>GMPF</w:t>
      </w:r>
      <w:r>
        <w:rPr>
          <w:rFonts w:ascii="Songti SC Regular" w:hAnsi="Songti SC Regular" w:eastAsia="Songti SC Regular" w:cs="Songti SC Regular"/>
        </w:rPr>
        <w:t>）与贝莱德已启动面向英国基层医疗设施的投资合作。根据披露，该合作以</w:t>
      </w:r>
      <w:r>
        <w:t>GMPF</w:t>
      </w:r>
      <w:r>
        <w:rPr>
          <w:rFonts w:ascii="Songti SC Regular" w:hAnsi="Songti SC Regular" w:eastAsia="Songti SC Regular" w:cs="Songti SC Regular"/>
        </w:rPr>
        <w:t>这一本地政府养老金计划与贝莱德的联合平台为基础，目标是在</w:t>
      </w:r>
      <w:r>
        <w:t>2030</w:t>
      </w:r>
      <w:r>
        <w:rPr>
          <w:rFonts w:ascii="Songti SC Regular" w:hAnsi="Songti SC Regular" w:eastAsia="Songti SC Regular" w:cs="Songti SC Regular"/>
        </w:rPr>
        <w:t>年前形成最高约</w:t>
      </w:r>
      <w:r>
        <w:t>10</w:t>
      </w:r>
      <w:r>
        <w:rPr>
          <w:rFonts w:ascii="Songti SC Regular" w:hAnsi="Songti SC Regular" w:eastAsia="Songti SC Regular" w:cs="Songti SC Regular"/>
        </w:rPr>
        <w:t>亿英镑的医疗设施资产组合，并吸引第三方资本共同参与。资金将主要用于英国基层医疗相关资产的收购、开发、升级与扩建。就养老金配置逻辑看，这类项目兼具长期现金流、社会基础设施属性和抗周期需求特征，较符合大型养老金资金对稳定收益和长期匹配的要求。该合作也显示，英国地方养老金正在把配置范围进一步延伸至医疗与社会基础设施，通过与大型资管机构合作放大资产筛选、执行和管理能力，以提升长期投资承载力。</w:t>
      </w:r>
    </w:p>
    <w:p w14:paraId="6FAC948E">
      <w:pPr>
        <w:pStyle w:val="19"/>
      </w:pPr>
      <w:r>
        <w:rPr>
          <w:rFonts w:ascii="Songti SC Regular" w:hAnsi="Songti SC Regular" w:eastAsia="Songti SC Regular" w:cs="Songti SC Regular"/>
        </w:rPr>
        <w:t>资料来源：英国《专业养老金》（</w:t>
      </w:r>
      <w:r>
        <w:t>Professional Pensions</w:t>
      </w:r>
      <w:r>
        <w:rPr>
          <w:rFonts w:ascii="Songti SC Regular" w:hAnsi="Songti SC Regular" w:eastAsia="Songti SC Regular" w:cs="Songti SC Regular"/>
        </w:rPr>
        <w:t>），</w:t>
      </w:r>
      <w:r>
        <w:t>2026-04-01</w:t>
      </w:r>
    </w:p>
    <w:p w14:paraId="1F9B6EC5">
      <w:pPr>
        <w:pStyle w:val="4"/>
        <w:outlineLvl w:val="2"/>
      </w:pPr>
      <w:bookmarkStart w:id="11" w:name="_Toc769423605"/>
      <w:r>
        <w:rPr>
          <w:rFonts w:ascii="Songti SC Regular" w:hAnsi="Songti SC Regular" w:eastAsia="Songti SC Regular" w:cs="Songti SC Regular"/>
        </w:rPr>
        <w:t>（</w:t>
      </w:r>
      <w:r>
        <w:t>9</w:t>
      </w:r>
      <w:r>
        <w:rPr>
          <w:rFonts w:ascii="Songti SC Regular" w:hAnsi="Songti SC Regular" w:eastAsia="Songti SC Regular" w:cs="Songti SC Regular"/>
        </w:rPr>
        <w:t>）英国</w:t>
      </w:r>
      <w:r>
        <w:t>|</w:t>
      </w:r>
      <w:r>
        <w:rPr>
          <w:rFonts w:ascii="Songti SC Regular" w:hAnsi="Songti SC Regular" w:eastAsia="Songti SC Regular" w:cs="Songti SC Regular"/>
        </w:rPr>
        <w:t>标准人寿推出面向养老金默认账户的私募市场方案</w:t>
      </w:r>
      <w:r>
        <w:t>*</w:t>
      </w:r>
      <w:bookmarkEnd w:id="11"/>
    </w:p>
    <w:p w14:paraId="6AA7FEF1">
      <w:pPr>
        <w:pStyle w:val="19"/>
      </w:pPr>
      <w:r>
        <w:rPr>
          <w:rFonts w:ascii="Songti SC Regular" w:hAnsi="Songti SC Regular" w:eastAsia="Songti SC Regular" w:cs="Songti SC Regular"/>
        </w:rPr>
        <w:t>英国《</w:t>
      </w:r>
      <w:r>
        <w:t>Pensions Age</w:t>
      </w:r>
      <w:r>
        <w:rPr>
          <w:rFonts w:ascii="Songti SC Regular" w:hAnsi="Songti SC Regular" w:eastAsia="Songti SC Regular" w:cs="Songti SC Regular"/>
        </w:rPr>
        <w:t>》</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日报道，标准人寿推出新的养老金默认投资方案</w:t>
      </w:r>
      <w:r>
        <w:t>“Future Opportunities”</w:t>
      </w:r>
      <w:r>
        <w:rPr>
          <w:rFonts w:ascii="Songti SC Regular" w:hAnsi="Songti SC Regular" w:eastAsia="Songti SC Regular" w:cs="Songti SC Regular"/>
        </w:rPr>
        <w:t>，把私募市场作为长期核心配置方向之一，面向信托制产品中的确定缴费型主信托和自有信托计划开放。公司称，该方案是在原有可持续多资产策略基础上的升级，目标是在长期内把私募市场配置比例逐步提升至约</w:t>
      </w:r>
      <w:r>
        <w:t>25%</w:t>
      </w:r>
      <w:r>
        <w:rPr>
          <w:rFonts w:ascii="Songti SC Regular" w:hAnsi="Songti SC Regular" w:eastAsia="Songti SC Regular" w:cs="Songti SC Regular"/>
        </w:rPr>
        <w:t>，以增强回报潜力并改善分散化效果。为支持这一转型，标准人寿将借助</w:t>
      </w:r>
      <w:r>
        <w:t>Phoenix Group</w:t>
      </w:r>
      <w:r>
        <w:rPr>
          <w:rFonts w:ascii="Songti SC Regular" w:hAnsi="Songti SC Regular" w:eastAsia="Songti SC Regular" w:cs="Songti SC Regular"/>
        </w:rPr>
        <w:t>与施罗德于</w:t>
      </w:r>
      <w:r>
        <w:t>2024</w:t>
      </w:r>
      <w:r>
        <w:rPr>
          <w:rFonts w:ascii="Songti SC Regular" w:hAnsi="Songti SC Regular" w:eastAsia="Songti SC Regular" w:cs="Songti SC Regular"/>
        </w:rPr>
        <w:t>年设立的</w:t>
      </w:r>
      <w:r>
        <w:t>Future Growth Capital</w:t>
      </w:r>
      <w:r>
        <w:rPr>
          <w:rFonts w:ascii="Songti SC Regular" w:hAnsi="Songti SC Regular" w:eastAsia="Songti SC Regular" w:cs="Songti SC Regular"/>
        </w:rPr>
        <w:t>，负责私募市场资产配置、管理人遴选和组合管理；同时引入围绕资产质量、投放节奏、成员结果和费用透明度的审查机制。整体来看，这一动作反映出英国养老金默认投资产品正尝试更系统地引入私募资产，把</w:t>
      </w:r>
      <w:r>
        <w:t>“</w:t>
      </w:r>
      <w:r>
        <w:rPr>
          <w:rFonts w:ascii="Songti SC Regular" w:hAnsi="Songti SC Regular" w:eastAsia="Songti SC Regular" w:cs="Songti SC Regular"/>
        </w:rPr>
        <w:t>更高长期收益</w:t>
      </w:r>
      <w:r>
        <w:t>”</w:t>
      </w:r>
      <w:r>
        <w:rPr>
          <w:rFonts w:ascii="Songti SC Regular" w:hAnsi="Songti SC Regular" w:eastAsia="Songti SC Regular" w:cs="Songti SC Regular"/>
        </w:rPr>
        <w:t>与</w:t>
      </w:r>
      <w:r>
        <w:t>“</w:t>
      </w:r>
      <w:r>
        <w:rPr>
          <w:rFonts w:ascii="Songti SC Regular" w:hAnsi="Songti SC Regular" w:eastAsia="Songti SC Regular" w:cs="Songti SC Regular"/>
        </w:rPr>
        <w:t>费用和流动性约束</w:t>
      </w:r>
      <w:r>
        <w:t>”</w:t>
      </w:r>
      <w:r>
        <w:rPr>
          <w:rFonts w:ascii="Songti SC Regular" w:hAnsi="Songti SC Regular" w:eastAsia="Songti SC Regular" w:cs="Songti SC Regular"/>
        </w:rPr>
        <w:t>一并纳入产品设计。</w:t>
      </w:r>
    </w:p>
    <w:p w14:paraId="145DF826">
      <w:pPr>
        <w:pStyle w:val="19"/>
      </w:pPr>
      <w:r>
        <w:rPr>
          <w:rFonts w:ascii="Songti SC Regular" w:hAnsi="Songti SC Regular" w:eastAsia="Songti SC Regular" w:cs="Songti SC Regular"/>
        </w:rPr>
        <w:t>资料来源：英国《养老金时代》（</w:t>
      </w:r>
      <w:r>
        <w:t>Pensions Age</w:t>
      </w:r>
      <w:r>
        <w:rPr>
          <w:rFonts w:ascii="Songti SC Regular" w:hAnsi="Songti SC Regular" w:eastAsia="Songti SC Regular" w:cs="Songti SC Regular"/>
        </w:rPr>
        <w:t>），</w:t>
      </w:r>
      <w:r>
        <w:t>2026-04-01</w:t>
      </w:r>
    </w:p>
    <w:p w14:paraId="1A70336D">
      <w:pPr>
        <w:pStyle w:val="4"/>
        <w:outlineLvl w:val="2"/>
      </w:pPr>
      <w:bookmarkStart w:id="12" w:name="_Toc1703490648"/>
      <w:r>
        <w:rPr>
          <w:rFonts w:ascii="Songti SC Regular" w:hAnsi="Songti SC Regular" w:eastAsia="Songti SC Regular" w:cs="Songti SC Regular"/>
        </w:rPr>
        <w:t>（</w:t>
      </w:r>
      <w:r>
        <w:t>10</w:t>
      </w:r>
      <w:r>
        <w:rPr>
          <w:rFonts w:ascii="Songti SC Regular" w:hAnsi="Songti SC Regular" w:eastAsia="Songti SC Regular" w:cs="Songti SC Regular"/>
        </w:rPr>
        <w:t>）英国</w:t>
      </w:r>
      <w:r>
        <w:t>|</w:t>
      </w:r>
      <w:r>
        <w:rPr>
          <w:rFonts w:ascii="Songti SC Regular" w:hAnsi="Songti SC Regular" w:eastAsia="Songti SC Regular" w:cs="Songti SC Regular"/>
        </w:rPr>
        <w:t>人民养老金调整气候投资框架以强调现实风险管理</w:t>
      </w:r>
      <w:bookmarkEnd w:id="12"/>
    </w:p>
    <w:p w14:paraId="3925EED2">
      <w:pPr>
        <w:pStyle w:val="19"/>
      </w:pPr>
      <w:r>
        <w:rPr>
          <w:rFonts w:ascii="Songti SC Regular" w:hAnsi="Songti SC Regular" w:eastAsia="Songti SC Regular" w:cs="Songti SC Regular"/>
        </w:rPr>
        <w:t>英国《</w:t>
      </w:r>
      <w:r>
        <w:t>Pensions Age</w:t>
      </w:r>
      <w:r>
        <w:rPr>
          <w:rFonts w:ascii="Songti SC Regular" w:hAnsi="Songti SC Regular" w:eastAsia="Songti SC Regular" w:cs="Songti SC Regular"/>
        </w:rPr>
        <w:t>》</w:t>
      </w:r>
      <w:r>
        <w:t>4</w:t>
      </w:r>
      <w:r>
        <w:rPr>
          <w:rFonts w:ascii="Songti SC Regular" w:hAnsi="Songti SC Regular" w:eastAsia="Songti SC Regular" w:cs="Songti SC Regular"/>
        </w:rPr>
        <w:t>月</w:t>
      </w:r>
      <w:r>
        <w:t>1</w:t>
      </w:r>
      <w:r>
        <w:rPr>
          <w:rFonts w:ascii="Songti SC Regular" w:hAnsi="Songti SC Regular" w:eastAsia="Songti SC Regular" w:cs="Songti SC Regular"/>
        </w:rPr>
        <w:t>日报道，人民养老金（</w:t>
      </w:r>
      <w:r>
        <w:t>People’s Pension</w:t>
      </w:r>
      <w:r>
        <w:rPr>
          <w:rFonts w:ascii="Songti SC Regular" w:hAnsi="Songti SC Regular" w:eastAsia="Songti SC Regular" w:cs="Songti SC Regular"/>
        </w:rPr>
        <w:t>）已更新其气候投资框架，改以更贴近现实经济和资产定价条件的方式处理气候风险。新框架继续保留与《巴黎协定》一致的净零目标方向，但不再把单一、自上而下的</w:t>
      </w:r>
      <w:r>
        <w:t>1.5</w:t>
      </w:r>
      <w:r>
        <w:rPr>
          <w:rFonts w:ascii="Songti SC Regular" w:hAnsi="Songti SC Regular" w:eastAsia="Songti SC Regular" w:cs="Songti SC Regular"/>
        </w:rPr>
        <w:t>摄氏度组合目标作为刚性投资约束，而是改为按市场、行业和资产类别逐项评估，强调气候转型风险对资产估值和成员长期回报的实际影响。该计划表示，若继续维持与现实政策和排放路径脱节的统一减碳目标，反而可能增加投资风险而难以带来实质收益，因此未来会更重视估值纪律、个案化目标设定，以及对高碳行业</w:t>
      </w:r>
      <w:r>
        <w:t>“</w:t>
      </w:r>
      <w:r>
        <w:rPr>
          <w:rFonts w:ascii="Songti SC Regular" w:hAnsi="Songti SC Regular" w:eastAsia="Songti SC Regular" w:cs="Songti SC Regular"/>
        </w:rPr>
        <w:t>转型领先者</w:t>
      </w:r>
      <w:r>
        <w:t>”</w:t>
      </w:r>
      <w:r>
        <w:rPr>
          <w:rFonts w:ascii="Songti SC Regular" w:hAnsi="Songti SC Regular" w:eastAsia="Songti SC Regular" w:cs="Songti SC Regular"/>
        </w:rPr>
        <w:t>的选择性投资。同时，方案把重点继续放在受托责任和积极所有权上，说明英国大型养老金机构正在把气候策略从口号式目标管理转向更细化的风险控制与长期回报平衡。</w:t>
      </w:r>
    </w:p>
    <w:p w14:paraId="35B1F140">
      <w:pPr>
        <w:pStyle w:val="19"/>
      </w:pPr>
      <w:r>
        <w:rPr>
          <w:rFonts w:ascii="Songti SC Regular" w:hAnsi="Songti SC Regular" w:eastAsia="Songti SC Regular" w:cs="Songti SC Regular"/>
        </w:rPr>
        <w:t>资料来源：英国《养老金时代》（</w:t>
      </w:r>
      <w:r>
        <w:t>Pensions Age</w:t>
      </w:r>
      <w:r>
        <w:rPr>
          <w:rFonts w:ascii="Songti SC Regular" w:hAnsi="Songti SC Regular" w:eastAsia="Songti SC Regular" w:cs="Songti SC Regular"/>
        </w:rPr>
        <w:t>），</w:t>
      </w:r>
      <w:r>
        <w:t>2026-04-01</w:t>
      </w:r>
    </w:p>
    <w:p w14:paraId="46B4A200">
      <w:pPr>
        <w:pStyle w:val="4"/>
        <w:outlineLvl w:val="2"/>
      </w:pPr>
      <w:bookmarkStart w:id="13" w:name="_Toc315339132"/>
      <w:r>
        <w:rPr>
          <w:rFonts w:ascii="Songti SC Regular" w:hAnsi="Songti SC Regular" w:eastAsia="Songti SC Regular" w:cs="Songti SC Regular"/>
        </w:rPr>
        <w:t>（</w:t>
      </w:r>
      <w:r>
        <w:t>11</w:t>
      </w:r>
      <w:r>
        <w:rPr>
          <w:rFonts w:ascii="Songti SC Regular" w:hAnsi="Songti SC Regular" w:eastAsia="Songti SC Regular" w:cs="Songti SC Regular"/>
        </w:rPr>
        <w:t>）巴西</w:t>
      </w:r>
      <w:r>
        <w:t>|</w:t>
      </w:r>
      <w:r>
        <w:rPr>
          <w:rFonts w:ascii="Songti SC Regular" w:hAnsi="Songti SC Regular" w:eastAsia="Songti SC Regular" w:cs="Songti SC Regular"/>
        </w:rPr>
        <w:t>巴西补充养老金</w:t>
      </w:r>
      <w:r>
        <w:t>2025</w:t>
      </w:r>
      <w:r>
        <w:rPr>
          <w:rFonts w:ascii="Songti SC Regular" w:hAnsi="Songti SC Regular" w:eastAsia="Songti SC Regular" w:cs="Songti SC Regular"/>
        </w:rPr>
        <w:t>年平均收益率升至</w:t>
      </w:r>
      <w:r>
        <w:t>13.23%</w:t>
      </w:r>
      <w:bookmarkEnd w:id="13"/>
    </w:p>
    <w:p w14:paraId="1156B1F8">
      <w:pPr>
        <w:pStyle w:val="19"/>
      </w:pPr>
      <w:r>
        <w:rPr>
          <w:rFonts w:ascii="Songti SC Regular" w:hAnsi="Songti SC Regular" w:eastAsia="Songti SC Regular" w:cs="Songti SC Regular"/>
        </w:rPr>
        <w:t>巴西国家补充养老金监督局</w:t>
      </w:r>
      <w:r>
        <w:t>3</w:t>
      </w:r>
      <w:r>
        <w:rPr>
          <w:rFonts w:ascii="Songti SC Regular" w:hAnsi="Songti SC Regular" w:eastAsia="Songti SC Regular" w:cs="Songti SC Regular"/>
        </w:rPr>
        <w:t>月</w:t>
      </w:r>
      <w:r>
        <w:t>30</w:t>
      </w:r>
      <w:r>
        <w:rPr>
          <w:rFonts w:ascii="Songti SC Regular" w:hAnsi="Songti SC Regular" w:eastAsia="Songti SC Regular" w:cs="Songti SC Regular"/>
        </w:rPr>
        <w:t>日发布</w:t>
      </w:r>
      <w:r>
        <w:t>2025</w:t>
      </w:r>
      <w:r>
        <w:rPr>
          <w:rFonts w:ascii="Songti SC Regular" w:hAnsi="Songti SC Regular" w:eastAsia="Songti SC Regular" w:cs="Songti SC Regular"/>
        </w:rPr>
        <w:t>年管理报告称，巴西封闭式补充养老金体系</w:t>
      </w:r>
      <w:r>
        <w:t>2025</w:t>
      </w:r>
      <w:r>
        <w:rPr>
          <w:rFonts w:ascii="Songti SC Regular" w:hAnsi="Songti SC Regular" w:eastAsia="Songti SC Regular" w:cs="Songti SC Regular"/>
        </w:rPr>
        <w:t>年平均年化收益率为</w:t>
      </w:r>
      <w:r>
        <w:t>13.23%</w:t>
      </w:r>
      <w:r>
        <w:rPr>
          <w:rFonts w:ascii="Songti SC Regular" w:hAnsi="Songti SC Regular" w:eastAsia="Songti SC Regular" w:cs="Songti SC Regular"/>
        </w:rPr>
        <w:t>，其中确定缴费型计划平均收益率达</w:t>
      </w:r>
      <w:r>
        <w:t>14.20%</w:t>
      </w:r>
      <w:r>
        <w:rPr>
          <w:rFonts w:ascii="Songti SC Regular" w:hAnsi="Songti SC Regular" w:eastAsia="Songti SC Regular" w:cs="Songti SC Regular"/>
        </w:rPr>
        <w:t>，在各类计划中表现最好；全系统当年实现盈余</w:t>
      </w:r>
      <w:r>
        <w:t>170</w:t>
      </w:r>
      <w:r>
        <w:rPr>
          <w:rFonts w:ascii="Songti SC Regular" w:hAnsi="Songti SC Regular" w:eastAsia="Songti SC Regular" w:cs="Songti SC Regular"/>
        </w:rPr>
        <w:t>亿雷亚尔（约合</w:t>
      </w:r>
      <w:r>
        <w:t>32.9</w:t>
      </w:r>
      <w:r>
        <w:rPr>
          <w:rFonts w:ascii="Songti SC Regular" w:hAnsi="Songti SC Regular" w:eastAsia="Songti SC Regular" w:cs="Songti SC Regular"/>
        </w:rPr>
        <w:t>亿美元），为</w:t>
      </w:r>
      <w:r>
        <w:t>2013</w:t>
      </w:r>
      <w:r>
        <w:rPr>
          <w:rFonts w:ascii="Songti SC Regular" w:hAnsi="Songti SC Regular" w:eastAsia="Songti SC Regular" w:cs="Songti SC Regular"/>
        </w:rPr>
        <w:t>年以来最好水平。分项看，</w:t>
      </w:r>
      <w:r>
        <w:t>424</w:t>
      </w:r>
      <w:r>
        <w:rPr>
          <w:rFonts w:ascii="Songti SC Regular" w:hAnsi="Songti SC Regular" w:eastAsia="Songti SC Regular" w:cs="Songti SC Regular"/>
        </w:rPr>
        <w:t>个计划合计录得</w:t>
      </w:r>
      <w:r>
        <w:t>390</w:t>
      </w:r>
      <w:r>
        <w:rPr>
          <w:rFonts w:ascii="Songti SC Regular" w:hAnsi="Songti SC Regular" w:eastAsia="Songti SC Regular" w:cs="Songti SC Regular"/>
        </w:rPr>
        <w:t>亿雷亚尔精算盈余，</w:t>
      </w:r>
      <w:r>
        <w:t>154</w:t>
      </w:r>
      <w:r>
        <w:rPr>
          <w:rFonts w:ascii="Songti SC Regular" w:hAnsi="Songti SC Regular" w:eastAsia="Songti SC Regular" w:cs="Songti SC Regular"/>
        </w:rPr>
        <w:t>个计划合计出现</w:t>
      </w:r>
      <w:r>
        <w:t>220</w:t>
      </w:r>
      <w:r>
        <w:rPr>
          <w:rFonts w:ascii="Songti SC Regular" w:hAnsi="Songti SC Regular" w:eastAsia="Songti SC Regular" w:cs="Songti SC Regular"/>
        </w:rPr>
        <w:t>亿雷亚尔赤字，两相抵消后形成系统净盈余。监管部门同时强调，封闭式补充养老机构的目标并非单纯追求盈余或避免亏损，而是通过投资组合取得适当回报，维持精算平衡，确保中长期支付能力。报告还透露，下一阶段监管议程将继续优先完善偿付能力框架，并推进处罚制度更新，以强化参与人保障、提升风险监管有效性和计划可持续性。</w:t>
      </w:r>
    </w:p>
    <w:p w14:paraId="7A908A74">
      <w:pPr>
        <w:pStyle w:val="19"/>
      </w:pPr>
      <w:r>
        <w:rPr>
          <w:rFonts w:ascii="Songti SC Regular" w:hAnsi="Songti SC Regular" w:eastAsia="Songti SC Regular" w:cs="Songti SC Regular"/>
        </w:rPr>
        <w:t>资料来源：巴西国家补充养老金监督局，</w:t>
      </w:r>
      <w:r>
        <w:t>2026-03-30</w:t>
      </w:r>
    </w:p>
    <w:p w14:paraId="4E57B039">
      <w:pPr>
        <w:pStyle w:val="4"/>
        <w:outlineLvl w:val="2"/>
      </w:pPr>
      <w:bookmarkStart w:id="14" w:name="_Toc2062634375"/>
      <w:r>
        <w:rPr>
          <w:rFonts w:ascii="Songti SC Regular" w:hAnsi="Songti SC Regular" w:eastAsia="Songti SC Regular" w:cs="Songti SC Regular"/>
        </w:rPr>
        <w:t>（</w:t>
      </w:r>
      <w:r>
        <w:t>12</w:t>
      </w:r>
      <w:r>
        <w:rPr>
          <w:rFonts w:ascii="Songti SC Regular" w:hAnsi="Songti SC Regular" w:eastAsia="Songti SC Regular" w:cs="Songti SC Regular"/>
        </w:rPr>
        <w:t>）加拿大</w:t>
      </w:r>
      <w:r>
        <w:t>|</w:t>
      </w:r>
      <w:r>
        <w:rPr>
          <w:rFonts w:ascii="Songti SC Regular" w:hAnsi="Songti SC Regular" w:eastAsia="Songti SC Regular" w:cs="Songti SC Regular"/>
        </w:rPr>
        <w:t>阿尔伯塔省养老基金去年回报</w:t>
      </w:r>
      <w:r>
        <w:t>7.5%</w:t>
      </w:r>
      <w:r>
        <w:rPr>
          <w:rFonts w:ascii="Songti SC Regular" w:hAnsi="Songti SC Regular" w:eastAsia="Songti SC Regular" w:cs="Songti SC Regular"/>
        </w:rPr>
        <w:t>，股票成主要推手</w:t>
      </w:r>
      <w:bookmarkEnd w:id="14"/>
    </w:p>
    <w:p w14:paraId="385F2157">
      <w:pPr>
        <w:pStyle w:val="19"/>
      </w:pPr>
      <w:r>
        <w:rPr>
          <w:rFonts w:ascii="Songti SC Regular" w:hAnsi="Songti SC Regular" w:eastAsia="Songti SC Regular" w:cs="Songti SC Regular"/>
        </w:rPr>
        <w:t>加拿大阿尔伯塔投资管理公司（</w:t>
      </w:r>
      <w:r>
        <w:t>Alberta Investment Management Corporation, AIMCo</w:t>
      </w:r>
      <w:r>
        <w:rPr>
          <w:rFonts w:ascii="Songti SC Regular" w:hAnsi="Songti SC Regular" w:eastAsia="Songti SC Regular" w:cs="Songti SC Regular"/>
        </w:rPr>
        <w:t>）公布，</w:t>
      </w:r>
      <w:r>
        <w:t>2025</w:t>
      </w:r>
      <w:r>
        <w:rPr>
          <w:rFonts w:ascii="Songti SC Regular" w:hAnsi="Songti SC Regular" w:eastAsia="Songti SC Regular" w:cs="Songti SC Regular"/>
        </w:rPr>
        <w:t>年其总基金回报率为</w:t>
      </w:r>
      <w:r>
        <w:t>7.5%</w:t>
      </w:r>
      <w:r>
        <w:rPr>
          <w:rFonts w:ascii="Songti SC Regular" w:hAnsi="Songti SC Regular" w:eastAsia="Songti SC Regular" w:cs="Songti SC Regular"/>
        </w:rPr>
        <w:t>，但仍较基准低</w:t>
      </w:r>
      <w:r>
        <w:t>2.7</w:t>
      </w:r>
      <w:r>
        <w:rPr>
          <w:rFonts w:ascii="Songti SC Regular" w:hAnsi="Songti SC Regular" w:eastAsia="Songti SC Regular" w:cs="Songti SC Regular"/>
        </w:rPr>
        <w:t>个百分点；在股市上涨带动下，股票投资回报达</w:t>
      </w:r>
      <w:r>
        <w:t>19.4%</w:t>
      </w:r>
      <w:r>
        <w:rPr>
          <w:rFonts w:ascii="Songti SC Regular" w:hAnsi="Songti SC Regular" w:eastAsia="Songti SC Regular" w:cs="Songti SC Regular"/>
        </w:rPr>
        <w:t>，成为最主要的收益来源，而私募股权仅回报约</w:t>
      </w:r>
      <w:r>
        <w:t>3%</w:t>
      </w:r>
      <w:r>
        <w:rPr>
          <w:rFonts w:ascii="Songti SC Regular" w:hAnsi="Songti SC Regular" w:eastAsia="Songti SC Regular" w:cs="Songti SC Regular"/>
        </w:rPr>
        <w:t>，房地产则下跌</w:t>
      </w:r>
      <w:r>
        <w:t>2.2%</w:t>
      </w:r>
      <w:r>
        <w:rPr>
          <w:rFonts w:ascii="Songti SC Regular" w:hAnsi="Songti SC Regular" w:eastAsia="Songti SC Regular" w:cs="Songti SC Regular"/>
        </w:rPr>
        <w:t>，为连续第三年录得亏损。</w:t>
      </w:r>
      <w:r>
        <w:t>AIMCo</w:t>
      </w:r>
      <w:r>
        <w:rPr>
          <w:rFonts w:ascii="Songti SC Regular" w:hAnsi="Songti SC Regular" w:eastAsia="Songti SC Regular" w:cs="Songti SC Regular"/>
        </w:rPr>
        <w:t>管理资产增至</w:t>
      </w:r>
      <w:r>
        <w:t>1947</w:t>
      </w:r>
      <w:r>
        <w:rPr>
          <w:rFonts w:ascii="Songti SC Regular" w:hAnsi="Songti SC Regular" w:eastAsia="Songti SC Regular" w:cs="Songti SC Regular"/>
        </w:rPr>
        <w:t>亿加元（约合</w:t>
      </w:r>
      <w:r>
        <w:t>1400</w:t>
      </w:r>
      <w:r>
        <w:rPr>
          <w:rFonts w:ascii="Songti SC Regular" w:hAnsi="Songti SC Regular" w:eastAsia="Songti SC Regular" w:cs="Songti SC Regular"/>
        </w:rPr>
        <w:t>亿美元），服务对象包括阿尔伯塔省公共养老金及其他政府、捐赠和保险资金。该机构表示，尽管私募资产表现承压，相关资产仍具长期分散化价值。展望今年，</w:t>
      </w:r>
      <w:r>
        <w:t>AIMCo</w:t>
      </w:r>
      <w:r>
        <w:rPr>
          <w:rFonts w:ascii="Songti SC Regular" w:hAnsi="Songti SC Regular" w:eastAsia="Songti SC Regular" w:cs="Songti SC Regular"/>
        </w:rPr>
        <w:t>将继续在欧洲布局私人信贷，并重点增配</w:t>
      </w:r>
      <w:r>
        <w:t>“</w:t>
      </w:r>
      <w:r>
        <w:rPr>
          <w:rFonts w:ascii="Songti SC Regular" w:hAnsi="Songti SC Regular" w:eastAsia="Songti SC Regular" w:cs="Songti SC Regular"/>
        </w:rPr>
        <w:t>高质量、高级担保</w:t>
      </w:r>
      <w:r>
        <w:t>”</w:t>
      </w:r>
      <w:r>
        <w:rPr>
          <w:rFonts w:ascii="Songti SC Regular" w:hAnsi="Songti SC Regular" w:eastAsia="Songti SC Regular" w:cs="Songti SC Regular"/>
        </w:rPr>
        <w:t>资产，同时关注加拿大和美国的基础设施投资机会。整体看，其策略并未出现重大转向，但会进一步加强流动性与风险管理。</w:t>
      </w:r>
    </w:p>
    <w:p w14:paraId="62839BCF">
      <w:pPr>
        <w:pStyle w:val="19"/>
      </w:pPr>
      <w:r>
        <w:rPr>
          <w:rFonts w:ascii="Songti SC Regular" w:hAnsi="Songti SC Regular" w:eastAsia="Songti SC Regular" w:cs="Songti SC Regular"/>
        </w:rPr>
        <w:t>资料来源：彭博社（</w:t>
      </w:r>
      <w:r>
        <w:t>Bloomberg</w:t>
      </w:r>
      <w:r>
        <w:rPr>
          <w:rFonts w:ascii="Songti SC Regular" w:hAnsi="Songti SC Regular" w:eastAsia="Songti SC Regular" w:cs="Songti SC Regular"/>
        </w:rPr>
        <w:t>），</w:t>
      </w:r>
      <w:r>
        <w:t>2026-03-31</w:t>
      </w:r>
    </w:p>
    <w:p w14:paraId="39724FC8">
      <w:pPr>
        <w:pStyle w:val="4"/>
        <w:outlineLvl w:val="2"/>
      </w:pPr>
      <w:bookmarkStart w:id="15" w:name="_Toc2014910751"/>
      <w:r>
        <w:rPr>
          <w:rFonts w:ascii="Songti SC Regular" w:hAnsi="Songti SC Regular" w:eastAsia="Songti SC Regular" w:cs="Songti SC Regular"/>
        </w:rPr>
        <w:t>（</w:t>
      </w:r>
      <w:r>
        <w:t>13</w:t>
      </w:r>
      <w:r>
        <w:rPr>
          <w:rFonts w:ascii="Songti SC Regular" w:hAnsi="Songti SC Regular" w:eastAsia="Songti SC Regular" w:cs="Songti SC Regular"/>
        </w:rPr>
        <w:t>）荷兰</w:t>
      </w:r>
      <w:r>
        <w:t>|</w:t>
      </w:r>
      <w:r>
        <w:rPr>
          <w:rFonts w:ascii="Songti SC Regular" w:hAnsi="Songti SC Regular" w:eastAsia="Songti SC Regular" w:cs="Songti SC Regular"/>
        </w:rPr>
        <w:t>荷兰养老基金</w:t>
      </w:r>
      <w:r>
        <w:t>2025</w:t>
      </w:r>
      <w:r>
        <w:rPr>
          <w:rFonts w:ascii="Songti SC Regular" w:hAnsi="Songti SC Regular" w:eastAsia="Songti SC Regular" w:cs="Songti SC Regular"/>
        </w:rPr>
        <w:t>年增配欧洲债券、减持美国资产</w:t>
      </w:r>
      <w:bookmarkEnd w:id="15"/>
    </w:p>
    <w:p w14:paraId="10DE02C8">
      <w:pPr>
        <w:pStyle w:val="19"/>
      </w:pPr>
      <w:r>
        <w:rPr>
          <w:rFonts w:ascii="Songti SC Regular" w:hAnsi="Songti SC Regular" w:eastAsia="Songti SC Regular" w:cs="Songti SC Regular"/>
        </w:rPr>
        <w:t>荷兰中央银行</w:t>
      </w:r>
      <w:r>
        <w:t>3</w:t>
      </w:r>
      <w:r>
        <w:rPr>
          <w:rFonts w:ascii="Songti SC Regular" w:hAnsi="Songti SC Regular" w:eastAsia="Songti SC Regular" w:cs="Songti SC Regular"/>
        </w:rPr>
        <w:t>月</w:t>
      </w:r>
      <w:r>
        <w:t>31</w:t>
      </w:r>
      <w:r>
        <w:rPr>
          <w:rFonts w:ascii="Songti SC Regular" w:hAnsi="Songti SC Regular" w:eastAsia="Songti SC Regular" w:cs="Songti SC Regular"/>
        </w:rPr>
        <w:t>日发布统计称，</w:t>
      </w:r>
      <w:r>
        <w:t>2025</w:t>
      </w:r>
      <w:r>
        <w:rPr>
          <w:rFonts w:ascii="Songti SC Regular" w:hAnsi="Songti SC Regular" w:eastAsia="Songti SC Regular" w:cs="Songti SC Regular"/>
        </w:rPr>
        <w:t>年荷兰养老金基金明显调整地域与资产配置：全年净卖出美国证券</w:t>
      </w:r>
      <w:r>
        <w:t>300</w:t>
      </w:r>
      <w:r>
        <w:rPr>
          <w:rFonts w:ascii="Songti SC Regular" w:hAnsi="Songti SC Regular" w:eastAsia="Songti SC Regular" w:cs="Songti SC Regular"/>
        </w:rPr>
        <w:t>亿欧元（约合</w:t>
      </w:r>
      <w:r>
        <w:t>348</w:t>
      </w:r>
      <w:r>
        <w:rPr>
          <w:rFonts w:ascii="Songti SC Regular" w:hAnsi="Songti SC Regular" w:eastAsia="Songti SC Regular" w:cs="Songti SC Regular"/>
        </w:rPr>
        <w:t>亿美元），其中包括美国主权和公司债</w:t>
      </w:r>
      <w:r>
        <w:t>180</w:t>
      </w:r>
      <w:r>
        <w:rPr>
          <w:rFonts w:ascii="Songti SC Regular" w:hAnsi="Songti SC Regular" w:eastAsia="Songti SC Regular" w:cs="Songti SC Regular"/>
        </w:rPr>
        <w:t>亿欧元、股票</w:t>
      </w:r>
      <w:r>
        <w:t>120</w:t>
      </w:r>
      <w:r>
        <w:rPr>
          <w:rFonts w:ascii="Songti SC Regular" w:hAnsi="Songti SC Regular" w:eastAsia="Songti SC Regular" w:cs="Songti SC Regular"/>
        </w:rPr>
        <w:t>亿欧元；与此同时，基金虽卖出欧洲股票</w:t>
      </w:r>
      <w:r>
        <w:t>50</w:t>
      </w:r>
      <w:r>
        <w:rPr>
          <w:rFonts w:ascii="Songti SC Regular" w:hAnsi="Songti SC Regular" w:eastAsia="Songti SC Regular" w:cs="Songti SC Regular"/>
        </w:rPr>
        <w:t>亿欧元，但买入欧洲债券</w:t>
      </w:r>
      <w:r>
        <w:t>270</w:t>
      </w:r>
      <w:r>
        <w:rPr>
          <w:rFonts w:ascii="Songti SC Regular" w:hAnsi="Songti SC Regular" w:eastAsia="Songti SC Regular" w:cs="Songti SC Regular"/>
        </w:rPr>
        <w:t>亿欧元，合计对欧洲证券净增配约</w:t>
      </w:r>
      <w:r>
        <w:t>230</w:t>
      </w:r>
      <w:r>
        <w:rPr>
          <w:rFonts w:ascii="Songti SC Regular" w:hAnsi="Songti SC Regular" w:eastAsia="Songti SC Regular" w:cs="Songti SC Regular"/>
        </w:rPr>
        <w:t>亿欧元，重点偏向德国和西班牙国债，并减少法国国债持仓；对欧洲公司债则净买入</w:t>
      </w:r>
      <w:r>
        <w:t>70</w:t>
      </w:r>
      <w:r>
        <w:rPr>
          <w:rFonts w:ascii="Songti SC Regular" w:hAnsi="Songti SC Regular" w:eastAsia="Songti SC Regular" w:cs="Songti SC Regular"/>
        </w:rPr>
        <w:t>亿欧元，较偏好法国和荷兰企业及金融机构。统计还显示，养老金基金去年合计减持全球股票</w:t>
      </w:r>
      <w:r>
        <w:t>360</w:t>
      </w:r>
      <w:r>
        <w:rPr>
          <w:rFonts w:ascii="Songti SC Regular" w:hAnsi="Songti SC Regular" w:eastAsia="Songti SC Regular" w:cs="Songti SC Regular"/>
        </w:rPr>
        <w:t>亿欧元，部分原因是近年股价上涨、债券价格回落后，股债比例偏离既定区间，机构需通过卖股再平衡组合。整体看，荷兰养老金资金在</w:t>
      </w:r>
      <w:r>
        <w:t>2025</w:t>
      </w:r>
      <w:r>
        <w:rPr>
          <w:rFonts w:ascii="Songti SC Regular" w:hAnsi="Songti SC Regular" w:eastAsia="Songti SC Regular" w:cs="Songti SC Regular"/>
        </w:rPr>
        <w:t>年一面回撤美国敞口，一面增持欧洲债券，更强调区域再配置和组合风险控制。</w:t>
      </w:r>
    </w:p>
    <w:p w14:paraId="4055250A">
      <w:pPr>
        <w:pStyle w:val="19"/>
      </w:pPr>
      <w:r>
        <w:rPr>
          <w:rFonts w:ascii="Songti SC Regular" w:hAnsi="Songti SC Regular" w:eastAsia="Songti SC Regular" w:cs="Songti SC Regular"/>
        </w:rPr>
        <w:t>资料来源：荷兰中央银行，</w:t>
      </w:r>
      <w:r>
        <w:t>2026-03-31</w:t>
      </w:r>
    </w:p>
    <w:sectPr>
      <w:footerReference r:id="rId5" w:type="default"/>
      <w:footnotePr>
        <w:numFmt w:val="decimal"/>
        <w:numRestart w:val="eachSect"/>
      </w:footnotePr>
      <w:endnotePr>
        <w:numFmt w:val="decimal"/>
        <w:numRestart w:val="eachSect"/>
      </w:endnotePr>
      <w:pgSz w:w="11900" w:h="16840"/>
      <w:pgMar w:top="1440" w:right="1440" w:bottom="1440" w:left="1440" w:header="0" w:footer="11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auto"/>
    <w:pitch w:val="default"/>
    <w:sig w:usb0="E0000AFF" w:usb1="40007843" w:usb2="00000001" w:usb3="00000000" w:csb0="400001BF" w:csb1="DFF70000"/>
  </w:font>
  <w:font w:name="Songti SC Regular">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8BBE3">
    <w:pPr>
      <w:jc w:val="center"/>
    </w:pPr>
    <w:r>
      <w:fldChar w:fldCharType="begin"/>
    </w:r>
    <w:r>
      <w:instrText xml:space="preserve">PAGE \* MERGEFORMAT</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autoHyphenation/>
  <w:footnotePr>
    <w:numRestart w:val="eachSect"/>
    <w:footnote w:id="0"/>
    <w:footnote w:id="1"/>
  </w:footnotePr>
  <w:endnotePr>
    <w:numFmt w:val="decimal"/>
    <w:numRestart w:val="eachSect"/>
    <w:endnote w:id="0"/>
    <w:endnote w:id="1"/>
  </w:endnotePr>
  <w:compat>
    <w:useFELayout/>
    <w:compatSetting w:name="compatibilityMode" w:uri="http://schemas.microsoft.com/office/word" w:val="15"/>
    <w:compatSetting w:name="enableOpenTypeFeatures" w:uri="http://schemas.microsoft.com/office/word" w:val="1"/>
  </w:compat>
  <w:rsids>
    <w:rsidRoot w:val="00000000"/>
    <w:rsid w:val="FFCBAB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1" w:name="heading 5"/>
    <w:lsdException w:qFormat="1" w:uiPriority="1"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 w:semiHidden="0" w:name="Strong"/>
    <w:lsdException w:qFormat="1" w:unhideWhenUsed="0" w:uiPriority="2"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420" w:lineRule="atLeast"/>
      <w:jc w:val="both"/>
    </w:pPr>
    <w:rPr>
      <w:rFonts w:ascii="Times New Roman" w:hAnsi="Times New Roman" w:eastAsia="Times New Roman" w:cs="Times New Roman"/>
      <w:sz w:val="21"/>
      <w:szCs w:val="21"/>
      <w:u w:val="none"/>
      <w:vertAlign w:val="baseline"/>
      <w:lang w:val="zh-CN" w:eastAsia="zh-CN" w:bidi="zh-CN"/>
      <w14:ligatures w14:val="standardContextual"/>
    </w:rPr>
  </w:style>
  <w:style w:type="paragraph" w:styleId="2">
    <w:name w:val="heading 1"/>
    <w:basedOn w:val="1"/>
    <w:qFormat/>
    <w:uiPriority w:val="1"/>
    <w:pPr>
      <w:spacing w:line="720" w:lineRule="atLeast"/>
      <w:jc w:val="center"/>
    </w:pPr>
    <w:rPr>
      <w:rFonts w:ascii="Times New Roman" w:hAnsi="Times New Roman" w:eastAsia="Times New Roman" w:cs="Times New Roman"/>
      <w:b/>
      <w:sz w:val="36"/>
      <w:szCs w:val="36"/>
    </w:rPr>
  </w:style>
  <w:style w:type="paragraph" w:styleId="3">
    <w:name w:val="heading 2"/>
    <w:basedOn w:val="1"/>
    <w:qFormat/>
    <w:uiPriority w:val="1"/>
    <w:pPr>
      <w:spacing w:line="600" w:lineRule="atLeast"/>
      <w:jc w:val="left"/>
    </w:pPr>
    <w:rPr>
      <w:rFonts w:ascii="Times New Roman" w:hAnsi="Times New Roman" w:eastAsia="Times New Roman" w:cs="Times New Roman"/>
      <w:b/>
      <w:sz w:val="30"/>
      <w:szCs w:val="30"/>
    </w:rPr>
  </w:style>
  <w:style w:type="paragraph" w:styleId="4">
    <w:name w:val="heading 3"/>
    <w:basedOn w:val="1"/>
    <w:qFormat/>
    <w:uiPriority w:val="1"/>
    <w:pPr>
      <w:spacing w:line="560" w:lineRule="atLeast"/>
      <w:jc w:val="left"/>
    </w:pPr>
    <w:rPr>
      <w:rFonts w:ascii="Times New Roman" w:hAnsi="Times New Roman" w:eastAsia="Times New Roman" w:cs="Times New Roman"/>
      <w:b/>
      <w:sz w:val="28"/>
      <w:szCs w:val="28"/>
    </w:rPr>
  </w:style>
  <w:style w:type="paragraph" w:styleId="5">
    <w:name w:val="heading 4"/>
    <w:basedOn w:val="1"/>
    <w:qFormat/>
    <w:uiPriority w:val="1"/>
    <w:pPr>
      <w:spacing w:line="480" w:lineRule="atLeast"/>
      <w:ind w:firstLine="431"/>
      <w:jc w:val="left"/>
    </w:pPr>
    <w:rPr>
      <w:rFonts w:ascii="Times New Roman" w:hAnsi="Times New Roman" w:eastAsia="Times New Roman" w:cs="Times New Roman"/>
      <w:b/>
      <w:sz w:val="24"/>
      <w:szCs w:val="24"/>
    </w:rPr>
  </w:style>
  <w:style w:type="paragraph" w:styleId="6">
    <w:name w:val="heading 5"/>
    <w:basedOn w:val="1"/>
    <w:semiHidden/>
    <w:unhideWhenUsed/>
    <w:qFormat/>
    <w:uiPriority w:val="1"/>
    <w:pPr>
      <w:ind w:firstLine="431"/>
      <w:jc w:val="left"/>
    </w:pPr>
    <w:rPr>
      <w:rFonts w:ascii="Times New Roman" w:hAnsi="Times New Roman" w:eastAsia="Times New Roman" w:cs="Times New Roman"/>
      <w:b/>
      <w:i/>
    </w:rPr>
  </w:style>
  <w:style w:type="paragraph" w:styleId="7">
    <w:name w:val="heading 6"/>
    <w:basedOn w:val="1"/>
    <w:semiHidden/>
    <w:unhideWhenUsed/>
    <w:qFormat/>
    <w:uiPriority w:val="1"/>
    <w:pPr>
      <w:ind w:firstLine="431"/>
      <w:jc w:val="left"/>
    </w:pPr>
    <w:rPr>
      <w:rFonts w:ascii="Times New Roman" w:hAnsi="Times New Roman" w:eastAsia="Times New Roman" w:cs="Times New Roman"/>
      <w:i/>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toc 1"/>
    <w:basedOn w:val="1"/>
    <w:next w:val="1"/>
    <w:uiPriority w:val="0"/>
  </w:style>
  <w:style w:type="paragraph" w:styleId="10">
    <w:name w:val="toc 2"/>
    <w:basedOn w:val="1"/>
    <w:next w:val="1"/>
    <w:uiPriority w:val="0"/>
    <w:pPr>
      <w:ind w:left="420" w:leftChars="200"/>
    </w:pPr>
  </w:style>
  <w:style w:type="character" w:styleId="13">
    <w:name w:val="Strong"/>
    <w:qFormat/>
    <w:uiPriority w:val="2"/>
    <w:rPr>
      <w:rFonts w:ascii="Times New Roman" w:hAnsi="Times New Roman" w:eastAsia="Times New Roman" w:cs="Times New Roman"/>
      <w:b/>
    </w:rPr>
  </w:style>
  <w:style w:type="character" w:styleId="14">
    <w:name w:val="Emphasis"/>
    <w:qFormat/>
    <w:uiPriority w:val="2"/>
    <w:rPr>
      <w:rFonts w:ascii="Times New Roman" w:hAnsi="Times New Roman" w:eastAsia="Times New Roman" w:cs="Times New Roman"/>
      <w:i/>
    </w:rPr>
  </w:style>
  <w:style w:type="paragraph" w:customStyle="1" w:styleId="15">
    <w:name w:val="分隔"/>
    <w:basedOn w:val="1"/>
    <w:semiHidden/>
    <w:unhideWhenUsed/>
    <w:qFormat/>
    <w:uiPriority w:val="1"/>
  </w:style>
  <w:style w:type="paragraph" w:customStyle="1" w:styleId="16">
    <w:name w:val="带虚线的列表"/>
    <w:basedOn w:val="1"/>
    <w:qFormat/>
    <w:uiPriority w:val="1"/>
  </w:style>
  <w:style w:type="paragraph" w:customStyle="1" w:styleId="17">
    <w:name w:val="Codeblock"/>
    <w:basedOn w:val="1"/>
    <w:semiHidden/>
    <w:unhideWhenUsed/>
    <w:qFormat/>
    <w:uiPriority w:val="1"/>
    <w:pPr>
      <w:spacing w:line="400" w:lineRule="atLeast"/>
    </w:pPr>
    <w:rPr>
      <w:rFonts w:ascii="Courier New" w:hAnsi="Courier New" w:eastAsia="Courier New" w:cs="Courier New"/>
      <w:color w:val="000000"/>
      <w:sz w:val="20"/>
      <w:szCs w:val="20"/>
    </w:rPr>
  </w:style>
  <w:style w:type="paragraph" w:customStyle="1" w:styleId="18">
    <w:name w:val="原始源块"/>
    <w:basedOn w:val="1"/>
    <w:semiHidden/>
    <w:unhideWhenUsed/>
    <w:qFormat/>
    <w:uiPriority w:val="1"/>
  </w:style>
  <w:style w:type="paragraph" w:customStyle="1" w:styleId="19">
    <w:name w:val="Paragraph"/>
    <w:basedOn w:val="1"/>
    <w:qFormat/>
    <w:uiPriority w:val="1"/>
    <w:pPr>
      <w:ind w:firstLine="431"/>
    </w:pPr>
  </w:style>
  <w:style w:type="paragraph" w:customStyle="1" w:styleId="20">
    <w:name w:val="Blockquote"/>
    <w:basedOn w:val="1"/>
    <w:semiHidden/>
    <w:unhideWhenUsed/>
    <w:qFormat/>
    <w:uiPriority w:val="1"/>
    <w:rPr>
      <w:rFonts w:ascii="Times New Roman" w:hAnsi="Times New Roman" w:eastAsia="Times New Roman" w:cs="Times New Roman"/>
      <w:i/>
    </w:rPr>
  </w:style>
  <w:style w:type="paragraph" w:customStyle="1" w:styleId="21">
    <w:name w:val="注释块"/>
    <w:basedOn w:val="1"/>
    <w:semiHidden/>
    <w:unhideWhenUsed/>
    <w:qFormat/>
    <w:uiPriority w:val="1"/>
  </w:style>
  <w:style w:type="paragraph" w:customStyle="1" w:styleId="22">
    <w:name w:val="带数字的列表"/>
    <w:basedOn w:val="1"/>
    <w:qFormat/>
    <w:uiPriority w:val="1"/>
  </w:style>
  <w:style w:type="paragraph" w:customStyle="1" w:styleId="23">
    <w:name w:val="字幕"/>
    <w:basedOn w:val="1"/>
    <w:semiHidden/>
    <w:unhideWhenUsed/>
    <w:qFormat/>
    <w:uiPriority w:val="1"/>
    <w:pPr>
      <w:spacing w:line="360" w:lineRule="atLeast"/>
      <w:jc w:val="center"/>
    </w:pPr>
    <w:rPr>
      <w:sz w:val="18"/>
      <w:szCs w:val="18"/>
    </w:rPr>
  </w:style>
  <w:style w:type="character" w:customStyle="1" w:styleId="24">
    <w:name w:val="标签"/>
    <w:semiHidden/>
    <w:unhideWhenUsed/>
    <w:qFormat/>
    <w:uiPriority w:val="2"/>
  </w:style>
  <w:style w:type="character" w:customStyle="1" w:styleId="25">
    <w:name w:val="Mark"/>
    <w:semiHidden/>
    <w:unhideWhenUsed/>
    <w:qFormat/>
    <w:uiPriority w:val="2"/>
  </w:style>
  <w:style w:type="character" w:customStyle="1" w:styleId="26">
    <w:name w:val="注释"/>
    <w:semiHidden/>
    <w:unhideWhenUsed/>
    <w:qFormat/>
    <w:uiPriority w:val="2"/>
  </w:style>
  <w:style w:type="character" w:customStyle="1" w:styleId="27">
    <w:name w:val="Link"/>
    <w:qFormat/>
    <w:uiPriority w:val="2"/>
    <w:rPr>
      <w:color w:val="3875D7"/>
      <w:u w:val="single" w:color="3875D7"/>
    </w:rPr>
  </w:style>
  <w:style w:type="character" w:customStyle="1" w:styleId="28">
    <w:name w:val="修正"/>
    <w:semiHidden/>
    <w:unhideWhenUsed/>
    <w:qFormat/>
    <w:uiPriority w:val="2"/>
  </w:style>
  <w:style w:type="character" w:customStyle="1" w:styleId="29">
    <w:name w:val="Inline Code"/>
    <w:semiHidden/>
    <w:unhideWhenUsed/>
    <w:qFormat/>
    <w:uiPriority w:val="2"/>
    <w:rPr>
      <w:rFonts w:ascii="Courier New" w:hAnsi="Courier New" w:eastAsia="Courier New" w:cs="Courier New"/>
    </w:rPr>
  </w:style>
  <w:style w:type="character" w:customStyle="1" w:styleId="30">
    <w:name w:val="批注"/>
    <w:semiHidden/>
    <w:unhideWhenUsed/>
    <w:qFormat/>
    <w:uiPriority w:val="2"/>
  </w:style>
  <w:style w:type="character" w:customStyle="1" w:styleId="31">
    <w:name w:val="原始源"/>
    <w:semiHidden/>
    <w:unhideWhenUsed/>
    <w:qFormat/>
    <w:uiPriority w:val="2"/>
  </w:style>
  <w:style w:type="character" w:customStyle="1" w:styleId="32">
    <w:name w:val="Inline Cite"/>
    <w:semiHidden/>
    <w:unhideWhenUsed/>
    <w:qFormat/>
    <w:uiPriority w:val="2"/>
    <w:rPr>
      <w:rFonts w:ascii="Times New Roman" w:hAnsi="Times New Roman" w:eastAsia="Times New Roman" w:cs="Times New Roman"/>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2026-04-05T01:12:39Z</dcterms:created>
  <dc:creator>Data</dc:creator>
  <cp:lastModifiedBy>Z-Yingbo</cp:lastModifiedBy>
  <dcterms:modified xsi:type="dcterms:W3CDTF">2026-04-05T01:13:10Z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0C63FCCE50EDD19CA646D16960D67455_42</vt:lpwstr>
  </property>
</Properties>
</file>