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9F" w:rsidRPr="004E75B6" w:rsidRDefault="00C8429F" w:rsidP="00C842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323130"/>
          <w:sz w:val="28"/>
          <w:szCs w:val="28"/>
        </w:rPr>
      </w:pPr>
      <w:bookmarkStart w:id="0" w:name="_GoBack"/>
      <w:r w:rsidRPr="004E75B6">
        <w:rPr>
          <w:rFonts w:ascii="inherit" w:eastAsia="Times New Roman" w:hAnsi="inherit" w:cs="Segoe UI"/>
          <w:b/>
          <w:color w:val="000000"/>
          <w:sz w:val="28"/>
          <w:szCs w:val="28"/>
          <w:bdr w:val="none" w:sz="0" w:space="0" w:color="auto" w:frame="1"/>
        </w:rPr>
        <w:t>Here are notes about how to prepare your samples for cell sorting:</w:t>
      </w:r>
    </w:p>
    <w:bookmarkEnd w:id="0"/>
    <w:p w:rsidR="00C8429F" w:rsidRDefault="00C8429F" w:rsidP="00C842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 </w:t>
      </w:r>
    </w:p>
    <w:p w:rsidR="00C8429F" w:rsidRDefault="00C8429F" w:rsidP="00C842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1.  Cell concentration (before sort) should be about 2 – 5 million/</w:t>
      </w:r>
      <w:proofErr w:type="spellStart"/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mL.</w:t>
      </w:r>
      <w:proofErr w:type="spellEnd"/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  All samples must be filtered (minimum </w:t>
      </w:r>
      <w:proofErr w:type="gramStart"/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40 micron</w:t>
      </w:r>
      <w:proofErr w:type="gramEnd"/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 pore) before sorting. </w:t>
      </w:r>
    </w:p>
    <w:p w:rsidR="00C8429F" w:rsidRDefault="00C8429F" w:rsidP="00C8429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2.  </w:t>
      </w:r>
      <w:r w:rsidR="00C57493"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>Bring extra pre-sort</w:t>
      </w:r>
      <w:r>
        <w:rPr>
          <w:rFonts w:ascii="inherit" w:eastAsia="Times New Roman" w:hAnsi="inherit" w:cs="Segoe UI"/>
          <w:b/>
          <w:bCs/>
          <w:color w:val="000000"/>
          <w:sz w:val="27"/>
          <w:szCs w:val="27"/>
          <w:bdr w:val="none" w:sz="0" w:space="0" w:color="auto" w:frame="1"/>
        </w:rPr>
        <w:t xml:space="preserve"> buffer.</w:t>
      </w:r>
      <w:r w:rsidR="00C57493">
        <w:rPr>
          <w:rFonts w:ascii="inherit" w:eastAsia="Times New Roman" w:hAnsi="inherit" w:cs="Segoe UI"/>
          <w:color w:val="000000"/>
          <w:sz w:val="27"/>
          <w:szCs w:val="27"/>
          <w:bdr w:val="none" w:sz="0" w:space="0" w:color="auto" w:frame="1"/>
        </w:rPr>
        <w:t> B</w:t>
      </w:r>
      <w:r>
        <w:rPr>
          <w:rFonts w:ascii="inherit" w:eastAsia="Times New Roman" w:hAnsi="inherit" w:cs="Segoe UI"/>
          <w:color w:val="000000"/>
          <w:sz w:val="27"/>
          <w:szCs w:val="27"/>
          <w:bdr w:val="none" w:sz="0" w:space="0" w:color="auto" w:frame="1"/>
        </w:rPr>
        <w:t>uffer in which to bring your cells, although some variation is acceptable:</w:t>
      </w:r>
    </w:p>
    <w:p w:rsidR="00C57493" w:rsidRDefault="00C57493" w:rsidP="00C5749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323130"/>
          <w:sz w:val="23"/>
          <w:szCs w:val="23"/>
        </w:rPr>
      </w:pPr>
      <w:r w:rsidRPr="00C57493">
        <w:rPr>
          <w:rFonts w:ascii="inherit" w:eastAsia="Times New Roman" w:hAnsi="inherit" w:cs="Segoe UI"/>
          <w:b/>
          <w:color w:val="000000"/>
          <w:sz w:val="27"/>
          <w:szCs w:val="27"/>
          <w:bdr w:val="none" w:sz="0" w:space="0" w:color="auto" w:frame="1"/>
        </w:rPr>
        <w:t>a</w:t>
      </w:r>
      <w:r>
        <w:rPr>
          <w:rFonts w:ascii="inherit" w:eastAsia="Times New Roman" w:hAnsi="inherit" w:cs="Segoe UI"/>
          <w:color w:val="000000"/>
          <w:sz w:val="27"/>
          <w:szCs w:val="27"/>
          <w:bdr w:val="none" w:sz="0" w:space="0" w:color="auto" w:frame="1"/>
        </w:rPr>
        <w:t xml:space="preserve">. </w:t>
      </w:r>
      <w:r w:rsidRPr="000A640B">
        <w:rPr>
          <w:rFonts w:ascii="inherit" w:eastAsia="Times New Roman" w:hAnsi="inherit" w:cs="Segoe UI"/>
          <w:i/>
          <w:color w:val="000000"/>
          <w:sz w:val="27"/>
          <w:szCs w:val="27"/>
          <w:bdr w:val="none" w:sz="0" w:space="0" w:color="auto" w:frame="1"/>
        </w:rPr>
        <w:t>Optimal</w:t>
      </w:r>
      <w:r>
        <w:rPr>
          <w:rFonts w:ascii="inherit" w:eastAsia="Times New Roman" w:hAnsi="inherit" w:cs="Segoe UI"/>
          <w:color w:val="000000"/>
          <w:sz w:val="27"/>
          <w:szCs w:val="27"/>
          <w:bdr w:val="none" w:sz="0" w:space="0" w:color="auto" w:frame="1"/>
        </w:rPr>
        <w:t xml:space="preserve"> - BD Biosciences Pre-sort buffer (cat#563503)</w:t>
      </w:r>
    </w:p>
    <w:p w:rsidR="00C57493" w:rsidRDefault="00C57493" w:rsidP="00C574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23130"/>
          <w:sz w:val="23"/>
          <w:szCs w:val="23"/>
        </w:rPr>
      </w:pPr>
      <w:r w:rsidRPr="00C57493">
        <w:rPr>
          <w:rFonts w:ascii="inherit" w:eastAsia="Times New Roman" w:hAnsi="inherit" w:cs="Segoe UI"/>
          <w:b/>
          <w:color w:val="000000"/>
          <w:sz w:val="24"/>
          <w:szCs w:val="24"/>
          <w:bdr w:val="none" w:sz="0" w:space="0" w:color="auto" w:frame="1"/>
        </w:rPr>
        <w:t>b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. 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1 x Pho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sphate Buffered Saline (PBS) +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1% Fetal Calf Serum (Heat inactivated) or 1% Albumin (for sticky cells)</w:t>
      </w:r>
    </w:p>
    <w:p w:rsidR="00C8429F" w:rsidRDefault="00C57493" w:rsidP="00C574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23130"/>
          <w:sz w:val="23"/>
          <w:szCs w:val="23"/>
        </w:rPr>
      </w:pPr>
      <w:r w:rsidRPr="00C57493">
        <w:rPr>
          <w:rFonts w:ascii="inherit" w:eastAsia="Times New Roman" w:hAnsi="inherit" w:cs="Segoe UI"/>
          <w:b/>
          <w:color w:val="000000"/>
          <w:sz w:val="24"/>
          <w:szCs w:val="24"/>
          <w:bdr w:val="none" w:sz="0" w:space="0" w:color="auto" w:frame="1"/>
        </w:rPr>
        <w:t>c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. 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Hanks Bal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anced Salt Solution (HBSS) (Ca2/ Mg2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 Free)</w:t>
      </w:r>
      <w:r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25 </w:t>
      </w:r>
      <w:proofErr w:type="spellStart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mM</w:t>
      </w:r>
      <w:proofErr w:type="spellEnd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 HEPES pH7.0</w:t>
      </w:r>
    </w:p>
    <w:p w:rsidR="00C8429F" w:rsidRDefault="00C8429F" w:rsidP="004E7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1% Fetal Calf Serum (Heat inactivated) or 1% Albumin (for sticky cells)</w:t>
      </w:r>
    </w:p>
    <w:p w:rsidR="00C57493" w:rsidRDefault="00C8429F" w:rsidP="00C8429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3. For samples with a high dead cell concentration or primary tissue preps: Dead cells can release their DNA into sorting media which in turn can cause cells to clump together. </w:t>
      </w:r>
    </w:p>
    <w:p w:rsidR="00C57493" w:rsidRPr="00C57493" w:rsidRDefault="00C57493" w:rsidP="00C8429F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b/>
          <w:color w:val="000000"/>
          <w:sz w:val="24"/>
          <w:szCs w:val="24"/>
          <w:bdr w:val="none" w:sz="0" w:space="0" w:color="auto" w:frame="1"/>
        </w:rPr>
      </w:pPr>
      <w:r w:rsidRPr="00C57493">
        <w:rPr>
          <w:rFonts w:ascii="inherit" w:eastAsia="Times New Roman" w:hAnsi="inherit" w:cs="Segoe UI"/>
          <w:b/>
          <w:color w:val="000000"/>
          <w:sz w:val="24"/>
          <w:szCs w:val="24"/>
          <w:bdr w:val="none" w:sz="0" w:space="0" w:color="auto" w:frame="1"/>
        </w:rPr>
        <w:t>Strategies to reduce cell clumping</w:t>
      </w:r>
    </w:p>
    <w:p w:rsidR="00C57493" w:rsidRPr="00C57493" w:rsidRDefault="00C57493" w:rsidP="00C574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BD Biosciences pre-sort buffer</w:t>
      </w:r>
    </w:p>
    <w:p w:rsidR="00EC2104" w:rsidRDefault="00FF36C2" w:rsidP="00FF36C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b</w:t>
      </w:r>
      <w:r w:rsidR="00EC2104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. Include 50% </w:t>
      </w:r>
      <w:proofErr w:type="spellStart"/>
      <w:r w:rsidR="00EC2104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Accu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max</w:t>
      </w:r>
      <w:proofErr w:type="spellEnd"/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 (Invitrogen) in sort buffer</w:t>
      </w:r>
    </w:p>
    <w:p w:rsidR="00C8429F" w:rsidRPr="004E75B6" w:rsidRDefault="00FF36C2" w:rsidP="004E7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c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. Treat cells for 15-30 minutes in a sterile solution of 100 </w:t>
      </w:r>
      <w:proofErr w:type="spellStart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ug</w:t>
      </w:r>
      <w:proofErr w:type="spellEnd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/mL </w:t>
      </w:r>
      <w:proofErr w:type="spellStart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DNAse</w:t>
      </w:r>
      <w:proofErr w:type="spellEnd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 I and 5 </w:t>
      </w:r>
      <w:proofErr w:type="spellStart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mM</w:t>
      </w:r>
      <w:proofErr w:type="spellEnd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 MgCl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 in HBSS at room temp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. Wash the cells 1x in HBSS containing 5mM MgCl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.Resuspend the cells in HBSS containing 25-50 </w:t>
      </w:r>
      <w:proofErr w:type="spellStart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ug</w:t>
      </w:r>
      <w:proofErr w:type="spellEnd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/mL </w:t>
      </w:r>
      <w:proofErr w:type="spellStart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DNAse</w:t>
      </w:r>
      <w:proofErr w:type="spellEnd"/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 I, plus at least 1mM MgCl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 prior to and during the sort. (5mM MgCl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vertAlign w:val="subscript"/>
        </w:rPr>
        <w:t>2 </w:t>
      </w:r>
      <w:r w:rsidR="00C8429F"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is optimal)</w:t>
      </w:r>
    </w:p>
    <w:p w:rsidR="00C8429F" w:rsidRDefault="00C8429F" w:rsidP="00C842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4. For bulk collection, </w:t>
      </w:r>
      <w:r>
        <w:rPr>
          <w:rFonts w:ascii="inherit" w:eastAsia="Times New Roman" w:hAnsi="inherit" w:cs="Segoe UI"/>
          <w:b/>
          <w:bCs/>
          <w:color w:val="000000"/>
          <w:sz w:val="24"/>
          <w:szCs w:val="24"/>
          <w:bdr w:val="none" w:sz="0" w:space="0" w:color="auto" w:frame="1"/>
        </w:rPr>
        <w:t>bring media with a high FBS content (20-50%)</w:t>
      </w: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 to help cells recover from the sorting process.</w:t>
      </w:r>
    </w:p>
    <w:p w:rsidR="00C8429F" w:rsidRDefault="00C8429F" w:rsidP="00C842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a. For direct plate collection, bring plates loaded with the culture media appropriate for the sorted cells.</w:t>
      </w:r>
    </w:p>
    <w:p w:rsidR="00164E54" w:rsidRPr="004E75B6" w:rsidRDefault="00C8429F" w:rsidP="004E75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 xml:space="preserve">b. For post sort mRNA analysis, cells can be sorted directly into RNA isolation reagents, such as </w:t>
      </w:r>
      <w:proofErr w:type="spellStart"/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Trizol</w:t>
      </w:r>
      <w:proofErr w:type="spellEnd"/>
      <w:r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</w:rPr>
        <w:t>-LS, RTL buffer, RNA Later, etc. Please ask for more details.</w:t>
      </w:r>
    </w:p>
    <w:sectPr w:rsidR="00164E54" w:rsidRPr="004E7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96A8F"/>
    <w:multiLevelType w:val="hybridMultilevel"/>
    <w:tmpl w:val="78AA94B0"/>
    <w:lvl w:ilvl="0" w:tplc="B7EC4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9F"/>
    <w:rsid w:val="000A640B"/>
    <w:rsid w:val="00164E54"/>
    <w:rsid w:val="004E75B6"/>
    <w:rsid w:val="00C57493"/>
    <w:rsid w:val="00C8429F"/>
    <w:rsid w:val="00EC2104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A7EF"/>
  <w15:chartTrackingRefBased/>
  <w15:docId w15:val="{1A830BB5-6395-46BA-BE8D-A81C8368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9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2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Parsons</dc:creator>
  <cp:keywords/>
  <dc:description/>
  <cp:lastModifiedBy>Michael Parsons</cp:lastModifiedBy>
  <cp:revision>6</cp:revision>
  <dcterms:created xsi:type="dcterms:W3CDTF">2023-05-12T14:49:00Z</dcterms:created>
  <dcterms:modified xsi:type="dcterms:W3CDTF">2023-10-02T14:31:00Z</dcterms:modified>
</cp:coreProperties>
</file>