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ds7psa1jy1oy" w:id="0"/>
      <w:bookmarkEnd w:id="0"/>
      <w:r w:rsidDel="00000000" w:rsidR="00000000" w:rsidRPr="00000000">
        <w:rPr>
          <w:sz w:val="46"/>
          <w:szCs w:val="46"/>
          <w:rtl w:val="0"/>
        </w:rPr>
        <w:t xml:space="preserve">Data-Driven Suggestions and Write-Up</w:t>
      </w:r>
    </w:p>
    <w:p w:rsidR="00000000" w:rsidDel="00000000" w:rsidP="00000000" w:rsidRDefault="00000000" w:rsidRPr="00000000" w14:paraId="00000002">
      <w:pPr>
        <w:pStyle w:val="Heading2"/>
        <w:keepNext w:val="0"/>
        <w:keepLines w:val="0"/>
        <w:spacing w:after="80" w:lineRule="auto"/>
        <w:rPr>
          <w:sz w:val="34"/>
          <w:szCs w:val="34"/>
        </w:rPr>
      </w:pPr>
      <w:bookmarkStart w:colFirst="0" w:colLast="0" w:name="_3vom5gy0oi9g" w:id="1"/>
      <w:bookmarkEnd w:id="1"/>
      <w:r w:rsidDel="00000000" w:rsidR="00000000" w:rsidRPr="00000000">
        <w:rPr>
          <w:sz w:val="34"/>
          <w:szCs w:val="34"/>
          <w:rtl w:val="0"/>
        </w:rPr>
        <w:t xml:space="preserve">Data-Driven Suggestions</w:t>
      </w:r>
    </w:p>
    <w:p w:rsidR="00000000" w:rsidDel="00000000" w:rsidP="00000000" w:rsidRDefault="00000000" w:rsidRPr="00000000" w14:paraId="00000003">
      <w:pPr>
        <w:spacing w:after="240" w:before="240" w:lineRule="auto"/>
        <w:rPr/>
      </w:pPr>
      <w:r w:rsidDel="00000000" w:rsidR="00000000" w:rsidRPr="00000000">
        <w:rPr>
          <w:rtl w:val="0"/>
        </w:rPr>
        <w:t xml:space="preserve">Based on the data and my thinking, I suggest prioritizing the following schools:</w:t>
        <w:br w:type="textWrapping"/>
        <w:br w:type="textWrapping"/>
        <w:t xml:space="preserve"> 1. Dhirubhai Ambani International School (Mumbai): With a high budget and strong focus on innovation, messaging can highlight collaboration around innovation labs and design thinking.</w:t>
        <w:br w:type="textWrapping"/>
        <w:t xml:space="preserve"> 2. The International School Bangalore (Bangalore): Known for its STEM lab and AI curriculum, messaging can emphasize fostering critical thinking and immersive AI learning.</w:t>
        <w:br w:type="textWrapping"/>
        <w:t xml:space="preserve"> 3. Pathways World School (Gurgaon): With robotics competitions and STEM projects, messaging can focus on preparing students for future-ready skills through innovation.</w:t>
        <w:br w:type="textWrapping"/>
        <w:br w:type="textWrapping"/>
        <w:t xml:space="preserve"> For example, for Dhirubhai Ambani School, messaging can focus on collaboration around innovation labs.</w:t>
      </w:r>
    </w:p>
    <w:p w:rsidR="00000000" w:rsidDel="00000000" w:rsidP="00000000" w:rsidRDefault="00000000" w:rsidRPr="00000000" w14:paraId="00000004">
      <w:pPr>
        <w:pStyle w:val="Heading2"/>
        <w:keepNext w:val="0"/>
        <w:keepLines w:val="0"/>
        <w:spacing w:after="80" w:lineRule="auto"/>
        <w:rPr>
          <w:sz w:val="34"/>
          <w:szCs w:val="34"/>
        </w:rPr>
      </w:pPr>
      <w:bookmarkStart w:colFirst="0" w:colLast="0" w:name="_4haumxlusk4b" w:id="2"/>
      <w:bookmarkEnd w:id="2"/>
      <w:r w:rsidDel="00000000" w:rsidR="00000000" w:rsidRPr="00000000">
        <w:rPr>
          <w:sz w:val="34"/>
          <w:szCs w:val="34"/>
          <w:rtl w:val="0"/>
        </w:rPr>
        <w:t xml:space="preserve">Write-Up</w:t>
      </w:r>
    </w:p>
    <w:p w:rsidR="00000000" w:rsidDel="00000000" w:rsidP="00000000" w:rsidRDefault="00000000" w:rsidRPr="00000000" w14:paraId="00000005">
      <w:pPr>
        <w:spacing w:after="240" w:before="240" w:lineRule="auto"/>
        <w:rPr/>
      </w:pPr>
      <w:r w:rsidDel="00000000" w:rsidR="00000000" w:rsidRPr="00000000">
        <w:rPr>
          <w:rtl w:val="0"/>
        </w:rPr>
        <w:t xml:space="preserve">This system helps enhance efficiency and quality by systematically analyzing schools based on their budget, programs offered, and innovative initiatives. Prioritizing schools like Dhirubhai Ambani International School, The International School Bangalore, and Pathways World School allows targeted messaging that aligns with their unique strengths and innovation focus.</w:t>
        <w:br w:type="textWrapping"/>
        <w:br w:type="textWrapping"/>
        <w:t xml:space="preserve"> By focusing on collaboration with innovation labs, STEM programs, and AI curricula, the messaging approach becomes relevant and engaging to these schools, potentially increasing partnership interest and impact.</w:t>
        <w:br w:type="textWrapping"/>
        <w:br w:type="textWrapping"/>
        <w:t xml:space="preserve"> The structured data and insights ensure that resources are directed where they can create the most meaningful outcomes, driving both quality and efficiency in outreach and collaboration.</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6.5328467153286"/>
        <w:gridCol w:w="1336.5328467153286"/>
        <w:gridCol w:w="1336.5328467153286"/>
        <w:gridCol w:w="1336.5328467153286"/>
        <w:gridCol w:w="4013.8686131386858"/>
        <w:tblGridChange w:id="0">
          <w:tblGrid>
            <w:gridCol w:w="1336.5328467153286"/>
            <w:gridCol w:w="1336.5328467153286"/>
            <w:gridCol w:w="1336.5328467153286"/>
            <w:gridCol w:w="1336.5328467153286"/>
            <w:gridCol w:w="4013.8686131386858"/>
          </w:tblGrid>
        </w:tblGridChange>
      </w:tblGrid>
      <w:tr>
        <w:trPr>
          <w:cantSplit w:val="0"/>
          <w:trHeight w:val="515" w:hRule="atLeast"/>
          <w:tblHeader w:val="0"/>
        </w:trPr>
        <w:tc>
          <w:tcPr>
            <w:gridSpan w:val="5"/>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b w:val="1"/>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r>
      <w:tr>
        <w:trPr>
          <w:cantSplit w:val="0"/>
          <w:trHeight w:val="2090" w:hRule="atLeast"/>
          <w:tblHeader w:val="0"/>
        </w:trPr>
        <w:tc>
          <w:tcPr>
            <w:gridSpan w:val="5"/>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F">
      <w:pPr>
        <w:spacing w:after="240" w:before="240" w:lineRule="auto"/>
        <w:ind w:left="600" w:right="600" w:firstLine="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6.5328467153286"/>
        <w:gridCol w:w="1336.5328467153286"/>
        <w:gridCol w:w="1336.5328467153286"/>
        <w:gridCol w:w="1336.5328467153286"/>
        <w:gridCol w:w="4013.8686131386858"/>
        <w:tblGridChange w:id="0">
          <w:tblGrid>
            <w:gridCol w:w="1336.5328467153286"/>
            <w:gridCol w:w="1336.5328467153286"/>
            <w:gridCol w:w="1336.5328467153286"/>
            <w:gridCol w:w="1336.5328467153286"/>
            <w:gridCol w:w="4013.8686131386858"/>
          </w:tblGrid>
        </w:tblGridChange>
      </w:tblGrid>
      <w:tr>
        <w:trPr>
          <w:cantSplit w:val="0"/>
          <w:trHeight w:val="515" w:hRule="atLeast"/>
          <w:tblHeader w:val="0"/>
        </w:trPr>
        <w:tc>
          <w:tcPr>
            <w:gridSpan w:val="5"/>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4140" w:firstLine="0"/>
              <w:rPr/>
            </w:pPr>
            <w:r w:rsidDel="00000000" w:rsidR="00000000" w:rsidRPr="00000000">
              <w:rPr>
                <w:rtl w:val="0"/>
              </w:rPr>
              <w:t xml:space="preserve">Section 2: Priority School Rec</w:t>
            </w:r>
          </w:p>
        </w:tc>
      </w:tr>
      <w:tr>
        <w:trPr>
          <w:cantSplit w:val="0"/>
          <w:trHeight w:val="2090" w:hRule="atLeast"/>
          <w:tblHeader w:val="0"/>
        </w:trPr>
        <w:tc>
          <w:tcPr>
            <w:gridSpan w:val="5"/>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r>
      <w:tr>
        <w:trPr>
          <w:cantSplit w:val="0"/>
          <w:tblHeader w:val="0"/>
        </w:trPr>
        <w:tc>
          <w:tcPr>
            <w:gridSpan w:val="5"/>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