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E86AB"/>
          <w:sz w:val="48"/>
        </w:rPr>
        <w:t>ModelIt! Coloring Sheet</w:t>
      </w:r>
    </w:p>
    <w:p>
      <w:pPr>
        <w:jc w:val="center"/>
      </w:pPr>
      <w:r>
        <w:rPr>
          <w:b/>
          <w:color w:val="1A4780"/>
          <w:sz w:val="36"/>
        </w:rPr>
        <w:t>Can You Bend Water?</w:t>
      </w:r>
    </w:p>
    <w:p>
      <w:pPr>
        <w:jc w:val="center"/>
      </w:pPr>
      <w:r>
        <w:rPr>
          <w:color w:val="666666"/>
          <w:sz w:val="24"/>
        </w:rPr>
        <w:t>2nd Grade</w:t>
      </w:r>
    </w:p>
    <w:tbl>
      <w:tblPr>
        <w:tblW w:type="auto" w:w="0"/>
        <w:jc w:val="center"/>
        <w:tblLook w:firstColumn="1" w:firstRow="1" w:lastColumn="0" w:lastRow="0" w:noHBand="0" w:noVBand="1" w:val="04A0"/>
      </w:tblPr>
      <w:tblGrid>
        <w:gridCol w:w="5040"/>
        <w:gridCol w:w="5040"/>
      </w:tblGrid>
      <w:tr>
        <w:tc>
          <w:tcPr>
            <w:tcW w:type="dxa" w:w="5040"/>
          </w:tcPr>
          <w:p>
            <w:r>
              <w:rPr>
                <w:sz w:val="32"/>
              </w:rPr>
              <w:t>Name: _______________________________</w:t>
            </w:r>
          </w:p>
        </w:tc>
        <w:tc>
          <w:tcPr>
            <w:tcW w:type="dxa" w:w="5040"/>
          </w:tcPr>
          <w:p>
            <w:r>
              <w:rPr>
                <w:sz w:val="32"/>
              </w:rPr>
              <w:t>Date: _______________</w:t>
            </w:r>
          </w:p>
        </w:tc>
      </w:tr>
    </w:tbl>
    <w:p/>
    <w:p>
      <w:pPr>
        <w:jc w:val="center"/>
      </w:pPr>
      <w:r>
        <w:drawing>
          <wp:inline xmlns:a="http://schemas.openxmlformats.org/drawingml/2006/main" xmlns:pic="http://schemas.openxmlformats.org/drawingml/2006/picture">
            <wp:extent cx="5029200" cy="5029200"/>
            <wp:docPr id="1" name="Picture 1"/>
            <wp:cNvGraphicFramePr>
              <a:graphicFrameLocks noChangeAspect="1"/>
            </wp:cNvGraphicFramePr>
            <a:graphic>
              <a:graphicData uri="http://schemas.openxmlformats.org/drawingml/2006/picture">
                <pic:pic>
                  <pic:nvPicPr>
                    <pic:cNvPr id="0" name="G02-L01-coloring.png"/>
                    <pic:cNvPicPr/>
                  </pic:nvPicPr>
                  <pic:blipFill>
                    <a:blip r:embed="rId9"/>
                    <a:stretch>
                      <a:fillRect/>
                    </a:stretch>
                  </pic:blipFill>
                  <pic:spPr>
                    <a:xfrm>
                      <a:off x="0" y="0"/>
                      <a:ext cx="5029200" cy="5029200"/>
                    </a:xfrm>
                    <a:prstGeom prst="rect"/>
                  </pic:spPr>
                </pic:pic>
              </a:graphicData>
            </a:graphic>
          </wp:inline>
        </w:drawing>
      </w:r>
    </w:p>
    <w:p/>
    <w:p>
      <w:r>
        <w:rPr>
          <w:b/>
          <w:color w:val="1A4780"/>
          <w:sz w:val="36"/>
        </w:rPr>
        <w:t>Color It!</w:t>
      </w:r>
    </w:p>
    <w:p>
      <w:r>
        <w:rPr>
          <w:sz w:val="28"/>
        </w:rPr>
        <w:t>Color each part of the system model! Color the Container Shape box, the Water Shape box, and trace the arrows connecting them. Use green for arrows that mean 'goes up together' (+) and red for arrows that mean 'goes opposite' (-).</w:t>
      </w:r>
    </w:p>
    <w:p/>
    <w:p>
      <w:r>
        <w:rPr>
          <w:b/>
          <w:color w:val="2E86AB"/>
          <w:sz w:val="28"/>
        </w:rPr>
        <w:t>Arrow Color Key:</w:t>
      </w:r>
    </w:p>
    <w:p>
      <w:r>
        <w:rPr>
          <w:b/>
          <w:color w:val="27AE60"/>
          <w:sz w:val="26"/>
        </w:rPr>
        <w:t xml:space="preserve">Green arrow (+) = Go together (both go up!)  </w:t>
      </w:r>
      <w:r>
        <w:rPr>
          <w:b/>
          <w:color w:val="E74C3C"/>
          <w:sz w:val="26"/>
        </w:rPr>
        <w:t>Red arrow (-) = Go opposite (one up, one down!)</w:t>
      </w:r>
    </w:p>
    <w:p/>
    <w:p>
      <w:pPr>
        <w:jc w:val="center"/>
      </w:pPr>
      <w:r>
        <w:rPr>
          <w:color w:val="999999"/>
          <w:sz w:val="16"/>
        </w:rPr>
        <w:t>ModelIt! G02-L01</w:t>
      </w:r>
    </w:p>
    <w:sectPr w:rsidR="00FC693F" w:rsidRPr="0006063C" w:rsidSect="00034616">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