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Where Do Animals Live?</w:t>
      </w:r>
    </w:p>
    <w:p>
      <w:pPr>
        <w:jc w:val="center"/>
      </w:pPr>
      <w:r>
        <w:rPr>
          <w:color w:val="666666"/>
          <w:sz w:val="24"/>
        </w:rPr>
        <w:t>Kindergarten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K-L05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Color the pond blue for water. Color the fish in the pond (food). Draw ducks on the pond and color a bush for shelter!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GK-L05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