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G02-L07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What Makes Wind Blow?!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"You cannot see wind, but you can feel it — what makes the air start moving?"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Sun Heating to high and observe how Air Movement and Wind Strength change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Wind: </w:t>
            </w:r>
            <w:r>
              <w:rPr>
                <w:rFonts w:ascii="Comic Sans MS" w:hAnsi="Comic Sans MS"/>
                <w:sz w:val="20"/>
              </w:rPr>
              <w:t>Moving air — when air flows from one place to another you feel it as wind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Temperature: </w:t>
            </w:r>
            <w:r>
              <w:rPr>
                <w:rFonts w:ascii="Comic Sans MS" w:hAnsi="Comic Sans MS"/>
                <w:sz w:val="20"/>
              </w:rPr>
              <w:t>How hot or cold something is — the sun makes some areas warmer than others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Weather: </w:t>
            </w:r>
            <w:r>
              <w:rPr>
                <w:rFonts w:ascii="Comic Sans MS" w:hAnsi="Comic Sans MS"/>
                <w:sz w:val="20"/>
              </w:rPr>
              <w:t>What the air outside is like on any given day — sunny, rainy, windy, cloudy, hot, or cold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Record wind observations (strong, medium, weak, none) for five days and make a tally chart and bar graph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short weather report for your school describing today's wind — direction, strength, and what it is moving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Sun Heating goes up, Air Movement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G02-L07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