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Does Water Shape the Land?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3rd Grade  |  3-ESS2-1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Water Flow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Erosion Strength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Land Shape Change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Weathering: </w:t>
            </w:r>
            <w:r>
              <w:rPr>
                <w:rFonts w:ascii="Comic Sans MS" w:hAnsi="Comic Sans MS"/>
                <w:sz w:val="16"/>
              </w:rPr>
              <w:t>The slow breaking apart of rocks by water, ice, wind, or plant roots over time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Erosion: </w:t>
            </w:r>
            <w:r>
              <w:rPr>
                <w:rFonts w:ascii="Comic Sans MS" w:hAnsi="Comic Sans MS"/>
                <w:sz w:val="16"/>
              </w:rPr>
              <w:t>When water, wind, or ice picks up broken rock and soil and carries it to a new place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Deposition: </w:t>
            </w:r>
            <w:r>
              <w:rPr>
                <w:rFonts w:ascii="Comic Sans MS" w:hAnsi="Comic Sans MS"/>
                <w:sz w:val="16"/>
              </w:rPr>
              <w:t>When water slows down and drops the rocks and soil it was carrying, building up new landforms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Water Flow goes up, Erosion Strength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