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We 3D-Print a Human Organ?</w:t>
      </w:r>
    </w:p>
    <w:p>
      <w:pPr>
        <w:jc w:val="center"/>
      </w:pPr>
      <w:r>
        <w:rPr>
          <w:i/>
          <w:sz w:val="30"/>
        </w:rPr>
        <w:t>Modeling Bioprinting, Tissue Engineering, and Transplant Viability</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3: Emerging Science &amp; Technology  |  Standard: HS-LS1-2, HS-ETS1-2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Bioprinted Tissue for Clinical Application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already know about 3D printing, and how do you think it might be adapted to print living tissue?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there is a shortage of donor organs for transplantation, and what problems does this cause?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cells could be arranged in layers to build a piece of tissue, and label what each layer would need to survive.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printing a plastic object and printing living tissue — what additional challenges would living material create?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We 3D-Print a Human Organ? system, we have these components:</w:t>
      </w:r>
    </w:p>
    <w:p/>
    <w:p>
      <w:r>
        <w:rPr>
          <w:b/>
          <w:sz w:val="22"/>
        </w:rPr>
        <w:t xml:space="preserve">  *  Print Resolution: </w:t>
      </w:r>
      <w:r>
        <w:rPr>
          <w:sz w:val="22"/>
        </w:rPr>
        <w:t>The minimum feature size the bioprinter can create — measured in micrometers, determining how precisely cells and materials can be positioned to replicate the complex microarchitecture of native tissue, including capillary-scale blood vessel channels</w:t>
      </w:r>
    </w:p>
    <w:p>
      <w:r>
        <w:rPr>
          <w:b/>
          <w:sz w:val="22"/>
        </w:rPr>
        <w:t xml:space="preserve">  *  Cell Viability Rate: </w:t>
      </w:r>
      <w:r>
        <w:rPr>
          <w:sz w:val="22"/>
        </w:rPr>
        <w:t>The percentage of cells that survive the printing process — affected by shear stress in the print nozzle, temperature fluctuations, UV exposure during crosslinking, and time outside physiological conditions — typically 70-95% for current systems</w:t>
      </w:r>
    </w:p>
    <w:p>
      <w:r>
        <w:rPr>
          <w:b/>
          <w:sz w:val="22"/>
        </w:rPr>
        <w:t xml:space="preserve">  *  Vascularization Depth: </w:t>
      </w:r>
      <w:r>
        <w:rPr>
          <w:sz w:val="22"/>
        </w:rPr>
        <w:t>The maximum thickness of tissue that can be sustained by the engineered blood vessel network — without adequate vascularization, the interior of thick constructs becomes necrotic within hours as cells exhaust local oxygen and nutrients</w:t>
      </w:r>
    </w:p>
    <w:p>
      <w:r>
        <w:rPr>
          <w:b/>
          <w:sz w:val="22"/>
        </w:rPr>
        <w:t xml:space="preserve">  *  Scaffold Degradation Rate: </w:t>
      </w:r>
      <w:r>
        <w:rPr>
          <w:sz w:val="22"/>
        </w:rPr>
        <w:t>The speed at which the supporting scaffold material dissolves or is absorbed — must match the rate at which cells produce their own structural matrix, because too-fast degradation causes collapse while too-slow degradation prevents tissue remodeling</w:t>
      </w:r>
    </w:p>
    <w:p>
      <w:r>
        <w:rPr>
          <w:b/>
          <w:sz w:val="22"/>
        </w:rPr>
        <w:t xml:space="preserve">  *  Nutrient Diffusion Limit: </w:t>
      </w:r>
      <w:r>
        <w:rPr>
          <w:sz w:val="22"/>
        </w:rPr>
        <w:t>The maximum distance from a blood vessel or media surface at which cells can receive sufficient oxygen and nutrients to survive — approximately 200 micrometers in most tissues, creating a hard physical constraint on construct thickness without vascularization</w:t>
      </w:r>
    </w:p>
    <w:p>
      <w:r>
        <w:rPr>
          <w:b/>
          <w:sz w:val="22"/>
        </w:rPr>
        <w:t xml:space="preserve">  *  Immune Compatibility: </w:t>
      </w:r>
      <w:r>
        <w:rPr>
          <w:sz w:val="22"/>
        </w:rPr>
        <w:t>The degree to which the bioprinted tissue avoids triggering the recipient's immune system — using the patient's own cells (autologous) eliminates rejection but requires weeks of cell culture, while donor cells or stem cell lines offer faster availability but risk immune attack</w:t>
      </w:r>
    </w:p>
    <w:p>
      <w:r>
        <w:rPr>
          <w:b/>
          <w:sz w:val="22"/>
        </w:rPr>
        <w:t xml:space="preserve">  *  Functional Maturation: </w:t>
      </w:r>
      <w:r>
        <w:rPr>
          <w:sz w:val="22"/>
        </w:rPr>
        <w:t>The degree to which bioprinted tissue develops the specialized functions of native tissue — a bioprinted heart patch must not only survive but contract rhythmically, conduct electrical impulses, and integrate mechanically with the surrounding heart muscle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Skin Patch Bioprinting</w:t>
      </w:r>
    </w:p>
    <w:p>
      <w:r>
        <w:rPr>
          <w:b/>
          <w:sz w:val="22"/>
        </w:rPr>
        <w:t xml:space="preserve">Settings: </w:t>
      </w:r>
      <w:r>
        <w:rPr>
          <w:sz w:val="22"/>
        </w:rPr>
        <w:t>Moderate resolution, thin construct, no deep vascularization required</w:t>
      </w:r>
    </w:p>
    <w:p>
      <w:r>
        <w:rPr>
          <w:i/>
          <w:sz w:val="22"/>
        </w:rPr>
        <w:t>What do you predict the cell viability rate will be in a tissue that is thin enough for nutrients to diffuse from the surface to all cells?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Cardiac Patch with Vascularization</w:t>
      </w:r>
    </w:p>
    <w:p>
      <w:r>
        <w:rPr>
          <w:b/>
          <w:sz w:val="22"/>
        </w:rPr>
        <w:t xml:space="preserve">Settings: </w:t>
      </w:r>
      <w:r>
        <w:rPr>
          <w:sz w:val="22"/>
        </w:rPr>
        <w:t>5mm thick cardiac construct requiring internal blood vessel channels</w:t>
      </w:r>
    </w:p>
    <w:p>
      <w:r>
        <w:rPr>
          <w:i/>
          <w:sz w:val="22"/>
        </w:rPr>
        <w:t>What do you predict happens to the cells in the center of the construct if the printed blood vessel channels do not connect to a nutrient supply within hours?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Full Kidney Scaffold</w:t>
      </w:r>
    </w:p>
    <w:p>
      <w:r>
        <w:rPr>
          <w:b/>
          <w:sz w:val="22"/>
        </w:rPr>
        <w:t xml:space="preserve">Settings: </w:t>
      </w:r>
      <w:r>
        <w:rPr>
          <w:sz w:val="22"/>
        </w:rPr>
        <w:t>Complex organ with millions of functional units and extensive vasculature</w:t>
      </w:r>
    </w:p>
    <w:p>
      <w:r>
        <w:rPr>
          <w:i/>
          <w:sz w:val="22"/>
        </w:rPr>
        <w:t>What do you predict is the primary failure point when attempting to print an organ with the structural complexity of a human kidney?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Multi-Material Printing: </w:t>
      </w:r>
      <w:r>
        <w:rPr>
          <w:sz w:val="22"/>
        </w:rPr>
        <w:t>The ability to deposit different cell types, scaffold materials, and growth factors from multiple print heads in a single print run — essential for organs that contain dozens of specialized cell types arranged in precise spatial patterns with different mechanical properties</w:t>
      </w:r>
    </w:p>
    <w:p>
      <w:r>
        <w:rPr>
          <w:b/>
          <w:sz w:val="22"/>
        </w:rPr>
        <w:t xml:space="preserve">  *  Innervation: </w:t>
      </w:r>
      <w:r>
        <w:rPr>
          <w:sz w:val="22"/>
        </w:rPr>
        <w:t>The growth of nerve fibers into bioprinted tissue to enable sensation and motor control — critical for functional integration of implanted constructs, particularly for tissues like skin that must sense touch and pain, or muscle that must respond to neural signals</w:t>
      </w:r>
    </w:p>
    <w:p>
      <w:r>
        <w:rPr>
          <w:b/>
          <w:sz w:val="22"/>
        </w:rPr>
        <w:t xml:space="preserve">  *  Mechanical Conditioning: </w:t>
      </w:r>
      <w:r>
        <w:rPr>
          <w:sz w:val="22"/>
        </w:rPr>
        <w:t>The application of controlled physical forces — stretching, compression, fluid flow — during tissue maturation to stimulate cells to produce stronger extracellular matrix and develop functional mechanical properties that match native tissue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the 200-micrometer nutrient diffusion limit is the central constraint in organ bioprinting?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matching scaffold degradation rate to tissue maturation rate so critical, and what happens when they are mismatched?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the qualitative difference between printing thin tissues and printing thick organs?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a method were developed to print functional capillary networks at the scale of individual cells?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bioprinting when individual patient cells behave differently and maturation rates vary unpredictably?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Bioprinted Tissue for Clinical Application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bioprinted tissue construct for a specific clinical application, addressing cell sourcing, scaffold design, vascularization strategy, maturation protocol, and implantation safety.</w:t>
      </w:r>
    </w:p>
    <w:p/>
    <w:p>
      <w:r>
        <w:rPr>
          <w:b/>
          <w:color w:val="1A4780"/>
          <w:sz w:val="36"/>
        </w:rPr>
        <w:t>THE SCENARIO</w:t>
      </w:r>
    </w:p>
    <w:p>
      <w:r>
        <w:rPr>
          <w:sz w:val="22"/>
        </w:rPr>
        <w:t>A hospital's tissue engineering lab has asked your team to design a bioprinted tissue construct for one of three clinical needs: a skin graft for burn patients, a cartilage patch for knee repair, or a cardiac patch for heart attack recovery. Each application has different requirements for thickness, cell types, mechanical properties, vascularization, and functional integration. Your design must specify the bioink composition, print parameters, scaffold architecture, maturation protocol, and quality control tests to ensure the construct is safe and functional before implantation.</w:t>
      </w:r>
    </w:p>
    <w:p/>
    <w:p>
      <w:r>
        <w:rPr>
          <w:b/>
          <w:color w:val="1A4780"/>
          <w:sz w:val="36"/>
        </w:rPr>
        <w:t>ENGINEERING DESIGN THINKING</w:t>
      </w:r>
    </w:p>
    <w:p>
      <w:pPr>
        <w:pStyle w:val="ListBullet"/>
      </w:pPr>
      <w:r>
        <w:rPr>
          <w:sz w:val="22"/>
        </w:rPr>
        <w:t>What bioink composition — hydrogel type, cell density, growth factors — would you select for your tissue type and why?</w:t>
      </w:r>
    </w:p>
    <w:p>
      <w:pPr>
        <w:pStyle w:val="ListBullet"/>
      </w:pPr>
      <w:r>
        <w:rPr>
          <w:sz w:val="22"/>
        </w:rPr>
        <w:t>What scaffold architecture would provide the mechanical properties your tissue needs while allowing cell migration and matrix remodeling?</w:t>
      </w:r>
    </w:p>
    <w:p>
      <w:pPr>
        <w:pStyle w:val="ListBullet"/>
      </w:pPr>
      <w:r>
        <w:rPr>
          <w:sz w:val="22"/>
        </w:rPr>
        <w:t>How long would you expect the maturation period to last and what environmental conditions would you maintain in the bioreactor?</w:t>
      </w:r>
    </w:p>
    <w:p>
      <w:pPr>
        <w:pStyle w:val="ListBullet"/>
      </w:pPr>
      <w:r>
        <w:rPr>
          <w:sz w:val="22"/>
        </w:rPr>
        <w:t>What are the three most critical quality control tests you would perform before approving the construct for implantation?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