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22"/>
        </w:rPr>
        <w:t>[PRACTICE NAME]</w:t>
      </w:r>
    </w:p>
    <w:p>
      <w:pPr>
        <w:spacing w:after="280"/>
      </w:pPr>
      <w:r>
        <w:rPr>
          <w:rFonts w:ascii="Arial" w:hAnsi="Arial"/>
          <w:color w:val="595959"/>
          <w:sz w:val="18"/>
        </w:rPr>
        <w:t>Registered Migration Agent: [NAME]  |  MARN: [NUMBER]</w:t>
        <w:br/>
        <w:t>[ADDRESS]  |  [EMAIL]  |  [PHONE]</w:t>
      </w:r>
    </w:p>
    <w:p>
      <w:pPr>
        <w:spacing w:after="80"/>
      </w:pPr>
      <w:r>
        <w:rPr>
          <w:rFonts w:ascii="Arial" w:hAnsi="Arial"/>
          <w:b/>
          <w:color w:val="1F4E79"/>
          <w:sz w:val="46"/>
        </w:rPr>
        <w:t>LETTER OF ADVICE</w:t>
      </w:r>
    </w:p>
    <w:p>
      <w:pPr>
        <w:spacing w:after="280"/>
      </w:pPr>
      <w:r>
        <w:rPr>
          <w:rFonts w:ascii="Arial" w:hAnsi="Arial"/>
          <w:color w:val="595959"/>
          <w:sz w:val="24"/>
        </w:rPr>
        <w:t>Australian immigration matter</w:t>
      </w:r>
    </w:p>
    <w:tbl>
      <w:tblPr>
        <w:tblW w:type="auto" w:w="0"/>
        <w:jc w:val="left"/>
        <w:tblLayout w:type="fixed"/>
        <w:tblLook w:firstColumn="1" w:firstRow="1" w:lastColumn="0" w:lastRow="0" w:noHBand="0" w:noVBand="1" w:val="04A0"/>
      </w:tblPr>
      <w:tblGrid>
        <w:gridCol w:w="2088"/>
        <w:gridCol w:w="7416"/>
      </w:tblGrid>
      <w:tr>
        <w:trPr>
          <w:cantSplit/>
        </w:trPr>
        <w:tc>
          <w:tcPr>
            <w:tcW w:type="dxa" w:w="4824"/>
            <w:tcMar>
              <w:top w:w="90" w:type="dxa"/>
              <w:start w:w="120" w:type="dxa"/>
              <w:bottom w:w="90" w:type="dxa"/>
              <w:end w:w="120" w:type="dxa"/>
            </w:tcMar>
            <w:vAlign w:val="center"/>
            <w:shd w:fill="EAF0F6"/>
          </w:tcPr>
          <w:p>
            <w:r>
              <w:rPr>
                <w:rFonts w:ascii="Arial" w:hAnsi="Arial"/>
                <w:b/>
                <w:color w:val="1F4E79"/>
              </w:rPr>
              <w:t>Date</w:t>
            </w:r>
          </w:p>
        </w:tc>
        <w:tc>
          <w:tcPr>
            <w:tcW w:type="dxa" w:w="4824"/>
            <w:tcMar>
              <w:top w:w="90" w:type="dxa"/>
              <w:start w:w="120" w:type="dxa"/>
              <w:bottom w:w="90" w:type="dxa"/>
              <w:end w:w="120" w:type="dxa"/>
            </w:tcMar>
            <w:vAlign w:val="center"/>
          </w:tcPr>
          <w:p>
            <w:r>
              <w:rPr>
                <w:rFonts w:ascii="Arial" w:hAnsi="Arial"/>
              </w:rPr>
              <w:t>[DATE]</w:t>
            </w:r>
          </w:p>
        </w:tc>
      </w:tr>
      <w:tr>
        <w:trPr>
          <w:cantSplit/>
        </w:trPr>
        <w:tc>
          <w:tcPr>
            <w:tcW w:type="dxa" w:w="4824"/>
            <w:tcMar>
              <w:top w:w="90" w:type="dxa"/>
              <w:start w:w="120" w:type="dxa"/>
              <w:bottom w:w="90" w:type="dxa"/>
              <w:end w:w="120" w:type="dxa"/>
            </w:tcMar>
            <w:vAlign w:val="center"/>
            <w:shd w:fill="EAF0F6"/>
          </w:tcPr>
          <w:p>
            <w:r>
              <w:rPr>
                <w:rFonts w:ascii="Arial" w:hAnsi="Arial"/>
                <w:b/>
                <w:color w:val="1F4E79"/>
              </w:rPr>
              <w:t>Client</w:t>
            </w:r>
          </w:p>
        </w:tc>
        <w:tc>
          <w:tcPr>
            <w:tcW w:type="dxa" w:w="4824"/>
            <w:tcMar>
              <w:top w:w="90" w:type="dxa"/>
              <w:start w:w="120" w:type="dxa"/>
              <w:bottom w:w="90" w:type="dxa"/>
              <w:end w:w="120" w:type="dxa"/>
            </w:tcMar>
            <w:vAlign w:val="center"/>
          </w:tcPr>
          <w:p>
            <w:r>
              <w:rPr>
                <w:rFonts w:ascii="Arial" w:hAnsi="Arial"/>
              </w:rPr>
              <w:t>[FULL LEGAL NAME]</w:t>
            </w:r>
          </w:p>
        </w:tc>
      </w:tr>
      <w:tr>
        <w:trPr>
          <w:cantSplit/>
        </w:trPr>
        <w:tc>
          <w:tcPr>
            <w:tcW w:type="dxa" w:w="4824"/>
            <w:tcMar>
              <w:top w:w="90" w:type="dxa"/>
              <w:start w:w="120" w:type="dxa"/>
              <w:bottom w:w="90" w:type="dxa"/>
              <w:end w:w="120" w:type="dxa"/>
            </w:tcMar>
            <w:vAlign w:val="center"/>
            <w:shd w:fill="EAF0F6"/>
          </w:tcPr>
          <w:p>
            <w:r>
              <w:rPr>
                <w:rFonts w:ascii="Arial" w:hAnsi="Arial"/>
                <w:b/>
                <w:color w:val="1F4E79"/>
              </w:rPr>
              <w:t>Date of birth</w:t>
            </w:r>
          </w:p>
        </w:tc>
        <w:tc>
          <w:tcPr>
            <w:tcW w:type="dxa" w:w="4824"/>
            <w:tcMar>
              <w:top w:w="90" w:type="dxa"/>
              <w:start w:w="120" w:type="dxa"/>
              <w:bottom w:w="90" w:type="dxa"/>
              <w:end w:w="120" w:type="dxa"/>
            </w:tcMar>
            <w:vAlign w:val="center"/>
          </w:tcPr>
          <w:p>
            <w:r>
              <w:rPr>
                <w:rFonts w:ascii="Arial" w:hAnsi="Arial"/>
              </w:rPr>
              <w:t>[DD/MM/YYYY]</w:t>
            </w:r>
          </w:p>
        </w:tc>
      </w:tr>
      <w:tr>
        <w:trPr>
          <w:cantSplit/>
        </w:trPr>
        <w:tc>
          <w:tcPr>
            <w:tcW w:type="dxa" w:w="4824"/>
            <w:tcMar>
              <w:top w:w="90" w:type="dxa"/>
              <w:start w:w="120" w:type="dxa"/>
              <w:bottom w:w="90" w:type="dxa"/>
              <w:end w:w="120" w:type="dxa"/>
            </w:tcMar>
            <w:vAlign w:val="center"/>
            <w:shd w:fill="EAF0F6"/>
          </w:tcPr>
          <w:p>
            <w:r>
              <w:rPr>
                <w:rFonts w:ascii="Arial" w:hAnsi="Arial"/>
                <w:b/>
                <w:color w:val="1F4E79"/>
              </w:rPr>
              <w:t>Matter</w:t>
            </w:r>
          </w:p>
        </w:tc>
        <w:tc>
          <w:tcPr>
            <w:tcW w:type="dxa" w:w="4824"/>
            <w:tcMar>
              <w:top w:w="90" w:type="dxa"/>
              <w:start w:w="120" w:type="dxa"/>
              <w:bottom w:w="90" w:type="dxa"/>
              <w:end w:w="120" w:type="dxa"/>
            </w:tcMar>
            <w:vAlign w:val="center"/>
          </w:tcPr>
          <w:p>
            <w:r>
              <w:rPr>
                <w:rFonts w:ascii="Arial" w:hAnsi="Arial"/>
              </w:rPr>
              <w:t>[VISA / SPONSORSHIP / REVIEW TYPE]</w:t>
            </w:r>
          </w:p>
        </w:tc>
      </w:tr>
      <w:tr>
        <w:trPr>
          <w:cantSplit/>
        </w:trPr>
        <w:tc>
          <w:tcPr>
            <w:tcW w:type="dxa" w:w="4824"/>
            <w:tcMar>
              <w:top w:w="90" w:type="dxa"/>
              <w:start w:w="120" w:type="dxa"/>
              <w:bottom w:w="90" w:type="dxa"/>
              <w:end w:w="120" w:type="dxa"/>
            </w:tcMar>
            <w:vAlign w:val="center"/>
            <w:shd w:fill="EAF0F6"/>
          </w:tcPr>
          <w:p>
            <w:r>
              <w:rPr>
                <w:rFonts w:ascii="Arial" w:hAnsi="Arial"/>
                <w:b/>
                <w:color w:val="1F4E79"/>
              </w:rPr>
              <w:t>Our reference</w:t>
            </w:r>
          </w:p>
        </w:tc>
        <w:tc>
          <w:tcPr>
            <w:tcW w:type="dxa" w:w="4824"/>
            <w:tcMar>
              <w:top w:w="90" w:type="dxa"/>
              <w:start w:w="120" w:type="dxa"/>
              <w:bottom w:w="90" w:type="dxa"/>
              <w:end w:w="120" w:type="dxa"/>
            </w:tcMar>
            <w:vAlign w:val="center"/>
          </w:tcPr>
          <w:p>
            <w:r>
              <w:rPr>
                <w:rFonts w:ascii="Arial" w:hAnsi="Arial"/>
              </w:rPr>
              <w:t>[FILE REFERENCE]</w:t>
            </w:r>
          </w:p>
        </w:tc>
      </w:tr>
    </w:tbl>
    <w:p>
      <w:pPr>
        <w:pStyle w:val="Heading1"/>
      </w:pPr>
      <w:r>
        <w:t>Dear [CLIENT NAME]</w:t>
      </w:r>
    </w:p>
    <w:p>
      <w:r>
        <w:t>Thank you for instructing us in relation to the above matter. This letter records the information provided by you, the advice given to you, the main risks identified, and the recommended next steps. It should be read together with our service agreement, costs disclosure and any subsequent written advice.</w:t>
      </w:r>
    </w:p>
    <w:p>
      <w:pPr>
        <w:pStyle w:val="Heading1"/>
      </w:pPr>
      <w:r>
        <w:t>1. Your instructions and circumstances</w:t>
      </w:r>
    </w:p>
    <w:p>
      <w:r>
        <w:t>Based on the information and documents presently available to us, we understand that:</w:t>
      </w:r>
    </w:p>
    <w:p>
      <w:pPr>
        <w:pStyle w:val="ListBullet"/>
        <w:spacing w:after="80"/>
        <w:ind w:left="720" w:hanging="360"/>
      </w:pPr>
      <w:r>
        <w:t>[Summarise the client's current visa status, location and relevant dates.]</w:t>
      </w:r>
    </w:p>
    <w:p>
      <w:pPr>
        <w:pStyle w:val="ListBullet"/>
        <w:spacing w:after="80"/>
        <w:ind w:left="720" w:hanging="360"/>
      </w:pPr>
      <w:r>
        <w:t>[Summarise the client's objective and proposed visa pathway.]</w:t>
      </w:r>
    </w:p>
    <w:p>
      <w:pPr>
        <w:pStyle w:val="ListBullet"/>
        <w:spacing w:after="80"/>
        <w:ind w:left="720" w:hanging="360"/>
      </w:pPr>
      <w:r>
        <w:t>[Summarise key family, employment, study, sponsorship or business circumstances.]</w:t>
      </w:r>
    </w:p>
    <w:p>
      <w:pPr>
        <w:pStyle w:val="ListBullet"/>
        <w:spacing w:after="80"/>
        <w:ind w:left="720" w:hanging="360"/>
      </w:pPr>
      <w:r>
        <w:t>[Record any previous applications, refusals, cancellations, compliance issues or other material facts.]</w:t>
      </w:r>
    </w:p>
    <w:p>
      <w:r>
        <w:t>Please tell us immediately if any part of this summary is incorrect or incomplete. Our advice may change if further information or documents become available.</w:t>
      </w:r>
    </w:p>
    <w:p>
      <w:pPr>
        <w:pStyle w:val="Heading1"/>
      </w:pPr>
      <w:r>
        <w:t>2. Scope of this advice</w:t>
      </w:r>
    </w:p>
    <w:p>
      <w:r>
        <w:t>You have asked us to advise on:</w:t>
      </w:r>
    </w:p>
    <w:p>
      <w:pPr>
        <w:pStyle w:val="ListBullet"/>
        <w:spacing w:after="80"/>
        <w:ind w:left="720" w:hanging="360"/>
      </w:pPr>
      <w:r>
        <w:t>your potential eligibility for [VISA / APPLICATION TYPE];</w:t>
      </w:r>
    </w:p>
    <w:p>
      <w:pPr>
        <w:pStyle w:val="ListBullet"/>
        <w:spacing w:after="80"/>
        <w:ind w:left="720" w:hanging="360"/>
      </w:pPr>
      <w:r>
        <w:t>the principal requirements, supporting evidence and application process;</w:t>
      </w:r>
    </w:p>
    <w:p>
      <w:pPr>
        <w:pStyle w:val="ListBullet"/>
        <w:spacing w:after="80"/>
        <w:ind w:left="720" w:hanging="360"/>
      </w:pPr>
      <w:r>
        <w:t>the main risks, timing considerations and recommended next steps.</w:t>
      </w:r>
    </w:p>
    <w:p>
      <w:r>
        <w:t>Unless expressly stated otherwise, this advice does not cover taxation, employment, family, criminal or other non-migration law issues. Independent professional advice should be obtained where required.</w:t>
      </w:r>
    </w:p>
    <w:p>
      <w:pPr>
        <w:pStyle w:val="Heading1"/>
      </w:pPr>
      <w:r>
        <w:t>3. Applicable legal framework</w:t>
      </w:r>
    </w:p>
    <w:p>
      <w:r>
        <w:t>The matter is governed by the Migration Act 1958, the Migration Regulations 1994, applicable legislative instruments and relevant government policy and procedures in force at the time of this advice. The decision-maker must assess the application against the legal criteria that apply at the relevant time.</w:t>
      </w:r>
    </w:p>
    <w:p>
      <w:r>
        <w:t>The Department's published information and processing practices may change. Policy assists with administration but does not replace the legislation. Any final assessment remains a matter for the Department of Home Affairs or the relevant review body.</w:t>
      </w:r>
    </w:p>
    <w:p>
      <w:pPr>
        <w:pStyle w:val="Heading1"/>
      </w:pPr>
      <w:r>
        <w:t>4. Preliminary assessment</w:t>
      </w:r>
    </w:p>
    <w:p>
      <w:r>
        <w:t>On the information currently available, our preliminary view is that:</w:t>
      </w:r>
    </w:p>
    <w:p>
      <w:pPr>
        <w:pStyle w:val="ListBullet"/>
        <w:spacing w:after="80"/>
        <w:ind w:left="720" w:hanging="360"/>
      </w:pPr>
      <w:r>
        <w:t>[The client appears / does not appear] to meet the threshold requirements for [PATHWAY].</w:t>
      </w:r>
    </w:p>
    <w:p>
      <w:pPr>
        <w:pStyle w:val="ListBullet"/>
        <w:spacing w:after="80"/>
        <w:ind w:left="720" w:hanging="360"/>
      </w:pPr>
      <w:r>
        <w:t>The following criteria appear capable of being satisfied: [INSERT].</w:t>
      </w:r>
    </w:p>
    <w:p>
      <w:pPr>
        <w:pStyle w:val="ListBullet"/>
        <w:spacing w:after="80"/>
        <w:ind w:left="720" w:hanging="360"/>
      </w:pPr>
      <w:r>
        <w:t>The following criteria require further evidence or clarification: [INSERT].</w:t>
      </w:r>
    </w:p>
    <w:p>
      <w:pPr>
        <w:pStyle w:val="ListBullet"/>
        <w:spacing w:after="80"/>
        <w:ind w:left="720" w:hanging="360"/>
      </w:pPr>
      <w:r>
        <w:t>The following issue may prevent or materially affect a successful outcome: [INSERT / NONE IDENTIFIED].</w:t>
      </w:r>
    </w:p>
    <w:p>
      <w:r>
        <w:t>This is not a guarantee of approval. A valid application and the grant of a visa are separate matters, and the decision-maker may request further information or reach a different conclusion on the evidence.</w:t>
      </w:r>
    </w:p>
    <w:p>
      <w:pPr>
        <w:pStyle w:val="Heading1"/>
      </w:pPr>
      <w:r>
        <w:t>5. Recommended pathway</w:t>
      </w:r>
    </w:p>
    <w:p>
      <w:r>
        <w:t>Subject to confirmation of the outstanding matters identified in this letter, we recommend that you:</w:t>
      </w:r>
    </w:p>
    <w:p>
      <w:pPr>
        <w:pStyle w:val="ListNumber"/>
        <w:spacing w:after="80"/>
        <w:ind w:left="720" w:hanging="360"/>
      </w:pPr>
      <w:r>
        <w:t>Provide the information and documents listed below for review.</w:t>
      </w:r>
    </w:p>
    <w:p>
      <w:pPr>
        <w:pStyle w:val="ListNumber"/>
        <w:spacing w:after="80"/>
        <w:ind w:left="720" w:hanging="360"/>
      </w:pPr>
      <w:r>
        <w:t>Do not lodge the application until we confirm that the application is decision-ready and any critical timing requirements have been checked.</w:t>
      </w:r>
    </w:p>
    <w:p>
      <w:pPr>
        <w:pStyle w:val="ListNumber"/>
        <w:spacing w:after="80"/>
        <w:ind w:left="720" w:hanging="360"/>
      </w:pPr>
      <w:r>
        <w:t>Notify us immediately of any change in your circumstances, contact details, passport, relationship, employment, health, character history or travel plans.</w:t>
      </w:r>
    </w:p>
    <w:p>
      <w:pPr>
        <w:pStyle w:val="ListNumber"/>
        <w:spacing w:after="80"/>
        <w:ind w:left="720" w:hanging="360"/>
      </w:pPr>
      <w:r>
        <w:t>Maintain lawful status in Australia and obtain specific advice before travelling, ceasing employment, changing sponsor or withdrawing any existing application.</w:t>
      </w:r>
    </w:p>
    <w:p>
      <w:pPr>
        <w:pStyle w:val="Heading1"/>
      </w:pPr>
      <w:r>
        <w:t>6. Documents and information required</w:t>
      </w:r>
    </w:p>
    <w:p>
      <w:pPr>
        <w:pStyle w:val="ListBullet"/>
        <w:spacing w:after="80"/>
        <w:ind w:left="720" w:hanging="360"/>
      </w:pPr>
      <w:r>
        <w:t>Identity and civil status documents: [INSERT].</w:t>
      </w:r>
    </w:p>
    <w:p>
      <w:pPr>
        <w:pStyle w:val="ListBullet"/>
        <w:spacing w:after="80"/>
        <w:ind w:left="720" w:hanging="360"/>
      </w:pPr>
      <w:r>
        <w:t>Current and previous visa records: [INSERT].</w:t>
      </w:r>
    </w:p>
    <w:p>
      <w:pPr>
        <w:pStyle w:val="ListBullet"/>
        <w:spacing w:after="80"/>
        <w:ind w:left="720" w:hanging="360"/>
      </w:pPr>
      <w:r>
        <w:t>Evidence addressing the relevant criteria: [INSERT].</w:t>
      </w:r>
    </w:p>
    <w:p>
      <w:pPr>
        <w:pStyle w:val="ListBullet"/>
        <w:spacing w:after="80"/>
        <w:ind w:left="720" w:hanging="360"/>
      </w:pPr>
      <w:r>
        <w:t>English translations by an appropriately qualified translator, where required.</w:t>
      </w:r>
    </w:p>
    <w:p>
      <w:pPr>
        <w:pStyle w:val="ListBullet"/>
        <w:spacing w:after="80"/>
        <w:ind w:left="720" w:hanging="360"/>
      </w:pPr>
      <w:r>
        <w:t>Any additional documents requested after our review: [INSERT].</w:t>
      </w:r>
    </w:p>
    <w:p>
      <w:r>
        <w:t>Documents must be genuine, accurate, legible and consistent. You must not provide false, misleading or altered information. If you are unsure about any document or answer, ask us before it is submitted.</w:t>
      </w:r>
    </w:p>
    <w:p>
      <w:pPr>
        <w:pStyle w:val="Heading1"/>
      </w:pPr>
      <w:r>
        <w:t>7. Key risks and limitations</w:t>
      </w:r>
    </w:p>
    <w:p>
      <w:pPr>
        <w:pStyle w:val="ListBullet"/>
        <w:spacing w:after="80"/>
        <w:ind w:left="720" w:hanging="360"/>
      </w:pPr>
      <w:r>
        <w:t>Outcome risk: No migration agent can guarantee that an application will be approved.</w:t>
      </w:r>
    </w:p>
    <w:p>
      <w:pPr>
        <w:pStyle w:val="ListBullet"/>
        <w:spacing w:after="80"/>
        <w:ind w:left="720" w:hanging="360"/>
      </w:pPr>
      <w:r>
        <w:t>Evidence risk: Insufficient, inconsistent or late evidence may adversely affect the outcome.</w:t>
      </w:r>
    </w:p>
    <w:p>
      <w:pPr>
        <w:pStyle w:val="ListBullet"/>
        <w:spacing w:after="80"/>
        <w:ind w:left="720" w:hanging="360"/>
      </w:pPr>
      <w:r>
        <w:t>Timing risk: Visa criteria, invitation processes, nomination places, processing times and government policy may change without notice.</w:t>
      </w:r>
    </w:p>
    <w:p>
      <w:pPr>
        <w:pStyle w:val="ListBullet"/>
        <w:spacing w:after="80"/>
        <w:ind w:left="720" w:hanging="360"/>
      </w:pPr>
      <w:r>
        <w:t>Validity/status risk: Incorrect lodgement, missed deadlines or changes in visa status may affect validity, work rights, travel rights or eligibility.</w:t>
      </w:r>
    </w:p>
    <w:p>
      <w:pPr>
        <w:pStyle w:val="ListBullet"/>
        <w:spacing w:after="80"/>
        <w:ind w:left="720" w:hanging="360"/>
      </w:pPr>
      <w:r>
        <w:t>Disclosure risk: False or misleading information, or failure to disclose material facts, may lead to refusal, cancellation or future immigration consequences.</w:t>
      </w:r>
    </w:p>
    <w:p>
      <w:pPr>
        <w:pStyle w:val="ListBullet"/>
        <w:spacing w:after="80"/>
        <w:ind w:left="720" w:hanging="360"/>
      </w:pPr>
      <w:r>
        <w:t>Discretion risk: Where a criterion involves discretion or subjective assessment, reasonable decision-makers may reach different conclusions.</w:t>
      </w:r>
    </w:p>
    <w:p>
      <w:pPr>
        <w:pStyle w:val="Heading1"/>
      </w:pPr>
      <w:r>
        <w:t>8. Time-sensitive matters</w:t>
      </w:r>
    </w:p>
    <w:p>
      <w:r>
        <w:t>The following dates or events require particular attention:</w:t>
      </w:r>
    </w:p>
    <w:p>
      <w:pPr>
        <w:pStyle w:val="ListBullet"/>
        <w:spacing w:after="80"/>
        <w:ind w:left="720" w:hanging="360"/>
      </w:pPr>
      <w:r>
        <w:t>Current visa expiry / cessation date: [DATE / NOT APPLICABLE].</w:t>
      </w:r>
    </w:p>
    <w:p>
      <w:pPr>
        <w:pStyle w:val="ListBullet"/>
        <w:spacing w:after="80"/>
        <w:ind w:left="720" w:hanging="360"/>
      </w:pPr>
      <w:r>
        <w:t>Application, review or response deadline: [DATE / NOT APPLICABLE].</w:t>
      </w:r>
    </w:p>
    <w:p>
      <w:pPr>
        <w:pStyle w:val="ListBullet"/>
        <w:spacing w:after="80"/>
        <w:ind w:left="720" w:hanging="360"/>
      </w:pPr>
      <w:r>
        <w:t>Skills assessment, English test, nomination, health or character validity: [INSERT].</w:t>
      </w:r>
    </w:p>
    <w:p>
      <w:pPr>
        <w:pStyle w:val="ListBullet"/>
        <w:spacing w:after="80"/>
        <w:ind w:left="720" w:hanging="360"/>
      </w:pPr>
      <w:r>
        <w:t>Proposed travel or other critical event: [INSERT].</w:t>
      </w:r>
    </w:p>
    <w:p>
      <w:r>
        <w:t>Contact us promptly if any deadline is approaching. Unless our written service agreement expressly includes responsibility for a particular deadline, you remain responsible for ensuring that action is taken in time.</w:t>
      </w:r>
    </w:p>
    <w:p>
      <w:pPr>
        <w:pStyle w:val="Heading1"/>
      </w:pPr>
      <w:r>
        <w:t>9. Fees and other costs</w:t>
      </w:r>
    </w:p>
    <w:p>
      <w:r>
        <w:t>Our professional fees and the services included are set out in the service agreement and costs disclosure provided separately. Government application charges and third-party expenses may include medical examinations, police checks, translations, skills assessments, English tests, biometrics and document certification. These charges may change and are generally payable in addition to our professional fees.</w:t>
      </w:r>
    </w:p>
    <w:p>
      <w:pPr>
        <w:pStyle w:val="Heading1"/>
      </w:pPr>
      <w:r>
        <w:t>10. Client responsibilities</w:t>
      </w:r>
    </w:p>
    <w:p>
      <w:r>
        <w:t>You agree to:</w:t>
      </w:r>
    </w:p>
    <w:p>
      <w:pPr>
        <w:pStyle w:val="ListBullet"/>
        <w:spacing w:after="80"/>
        <w:ind w:left="720" w:hanging="360"/>
      </w:pPr>
      <w:r>
        <w:t>give complete, accurate and timely instructions;</w:t>
      </w:r>
    </w:p>
    <w:p>
      <w:pPr>
        <w:pStyle w:val="ListBullet"/>
        <w:spacing w:after="80"/>
        <w:ind w:left="720" w:hanging="360"/>
      </w:pPr>
      <w:r>
        <w:t>review all forms and submissions before lodgement and confirm that they are correct;</w:t>
      </w:r>
    </w:p>
    <w:p>
      <w:pPr>
        <w:pStyle w:val="ListBullet"/>
        <w:spacing w:after="80"/>
        <w:ind w:left="720" w:hanging="360"/>
      </w:pPr>
      <w:r>
        <w:t>retain copies of relevant records and provide requested documents by the agreed dates;</w:t>
      </w:r>
    </w:p>
    <w:p>
      <w:pPr>
        <w:pStyle w:val="ListBullet"/>
        <w:spacing w:after="80"/>
        <w:ind w:left="720" w:hanging="360"/>
      </w:pPr>
      <w:r>
        <w:t>read all correspondence from us and the Department promptly; and</w:t>
      </w:r>
    </w:p>
    <w:p>
      <w:pPr>
        <w:pStyle w:val="ListBullet"/>
        <w:spacing w:after="80"/>
        <w:ind w:left="720" w:hanging="360"/>
      </w:pPr>
      <w:r>
        <w:t>tell us immediately about any material change in circumstances.</w:t>
      </w:r>
    </w:p>
    <w:p>
      <w:pPr>
        <w:pStyle w:val="Heading1"/>
      </w:pPr>
      <w:r>
        <w:t>11. Conclusion</w:t>
      </w:r>
    </w:p>
    <w:p>
      <w:r>
        <w:t>Our preliminary recommendation is to [PROCEED / NOT PROCEED / OBTAIN FURTHER EVIDENCE] in relation to [MATTER], subject to the qualifications and outstanding matters in this letter. The immediate next step is [INSERT ACTION].</w:t>
      </w:r>
    </w:p>
    <w:p>
      <w:r>
        <w:t>Please contact us if you do not understand any part of this advice or if you wish to discuss an alternative pathway.</w:t>
      </w:r>
    </w:p>
    <w:p/>
    <w:p>
      <w:r>
        <w:rPr>
          <w:rFonts w:ascii="Arial" w:hAnsi="Arial"/>
        </w:rPr>
        <w:t>Yours sincerely,</w:t>
      </w:r>
    </w:p>
    <w:p>
      <w:pPr>
        <w:spacing w:after="20"/>
      </w:pPr>
      <w:r>
        <w:rPr>
          <w:rFonts w:ascii="Arial" w:hAnsi="Arial"/>
          <w:b/>
          <w:color w:val="1F4E79"/>
        </w:rPr>
        <w:t>[REGISTERED MIGRATION AGENT NAME]</w:t>
      </w:r>
    </w:p>
    <w:p>
      <w:pPr>
        <w:spacing w:after="20"/>
      </w:pPr>
      <w:r>
        <w:rPr>
          <w:rFonts w:ascii="Arial" w:hAnsi="Arial"/>
        </w:rPr>
        <w:t>Registered Migration Agent | MARN [NUMBER]</w:t>
      </w:r>
    </w:p>
    <w:p>
      <w:r>
        <w:rPr>
          <w:rFonts w:ascii="Arial" w:hAnsi="Arial"/>
        </w:rPr>
        <w:t>[PRACTICE NAME]</w:t>
      </w:r>
    </w:p>
    <w:p>
      <w:pPr>
        <w:pStyle w:val="Heading1"/>
        <w:pageBreakBefore/>
      </w:pPr>
      <w:r>
        <w:t>Client acknowledgement</w:t>
      </w:r>
    </w:p>
    <w:p>
      <w:r>
        <w:t>I acknowledge that:</w:t>
      </w:r>
    </w:p>
    <w:p>
      <w:pPr>
        <w:pStyle w:val="ListBullet"/>
        <w:spacing w:after="80"/>
        <w:ind w:left="720" w:hanging="360"/>
      </w:pPr>
      <w:r>
        <w:t>I have read and understood this Letter of Advice;</w:t>
      </w:r>
    </w:p>
    <w:p>
      <w:pPr>
        <w:pStyle w:val="ListBullet"/>
        <w:spacing w:after="80"/>
        <w:ind w:left="720" w:hanging="360"/>
      </w:pPr>
      <w:r>
        <w:t>I have had the opportunity to ask questions;</w:t>
      </w:r>
    </w:p>
    <w:p>
      <w:pPr>
        <w:pStyle w:val="ListBullet"/>
        <w:spacing w:after="80"/>
        <w:ind w:left="720" w:hanging="360"/>
      </w:pPr>
      <w:r>
        <w:t>the information I have provided is complete and accurate to the best of my knowledge;</w:t>
      </w:r>
    </w:p>
    <w:p>
      <w:pPr>
        <w:pStyle w:val="ListBullet"/>
        <w:spacing w:after="80"/>
        <w:ind w:left="720" w:hanging="360"/>
      </w:pPr>
      <w:r>
        <w:t>no assurance or guarantee has been given that an application will be approved; and</w:t>
      </w:r>
    </w:p>
    <w:p>
      <w:pPr>
        <w:pStyle w:val="ListBullet"/>
        <w:spacing w:after="80"/>
        <w:ind w:left="720" w:hanging="360"/>
      </w:pPr>
      <w:r>
        <w:t>I will promptly notify the registered migration agent of any change in my circumstances.</w:t>
      </w:r>
    </w:p>
    <w:tbl>
      <w:tblPr>
        <w:tblW w:type="auto" w:w="0"/>
        <w:jc w:val="left"/>
        <w:tblLayout w:type="fixed"/>
        <w:tblLook w:firstColumn="1" w:firstRow="1" w:lastColumn="0" w:lastRow="0" w:noHBand="0" w:noVBand="1" w:val="04A0"/>
      </w:tblPr>
      <w:tblGrid>
        <w:gridCol w:w="2232"/>
        <w:gridCol w:w="7272"/>
      </w:tblGrid>
      <w:tr>
        <w:trPr>
          <w:cantSplit/>
        </w:trPr>
        <w:tc>
          <w:tcPr>
            <w:tcW w:type="dxa" w:w="4824"/>
            <w:tcMar>
              <w:top w:w="150" w:type="dxa"/>
              <w:start w:w="120" w:type="dxa"/>
              <w:bottom w:w="150" w:type="dxa"/>
              <w:end w:w="120" w:type="dxa"/>
            </w:tcMar>
            <w:shd w:fill="EAF0F6"/>
          </w:tcPr>
          <w:p>
            <w:r>
              <w:rPr>
                <w:rFonts w:ascii="Arial" w:hAnsi="Arial"/>
                <w:b/>
                <w:color w:val="1F4E79"/>
              </w:rPr>
              <w:t>Client name</w:t>
            </w:r>
          </w:p>
        </w:tc>
        <w:tc>
          <w:tcPr>
            <w:tcW w:type="dxa" w:w="4824"/>
            <w:tcMar>
              <w:top w:w="150" w:type="dxa"/>
              <w:start w:w="120" w:type="dxa"/>
              <w:bottom w:w="150" w:type="dxa"/>
              <w:end w:w="120" w:type="dxa"/>
            </w:tcMar>
          </w:tcPr>
          <w:p>
            <w:r>
              <w:rPr>
                <w:rFonts w:ascii="Arial" w:hAnsi="Arial"/>
              </w:rPr>
              <w:t>[INSERT]</w:t>
            </w:r>
          </w:p>
        </w:tc>
      </w:tr>
      <w:tr>
        <w:trPr>
          <w:cantSplit/>
        </w:trPr>
        <w:tc>
          <w:tcPr>
            <w:tcW w:type="dxa" w:w="4824"/>
            <w:tcMar>
              <w:top w:w="150" w:type="dxa"/>
              <w:start w:w="120" w:type="dxa"/>
              <w:bottom w:w="150" w:type="dxa"/>
              <w:end w:w="120" w:type="dxa"/>
            </w:tcMar>
            <w:shd w:fill="EAF0F6"/>
          </w:tcPr>
          <w:p>
            <w:r>
              <w:rPr>
                <w:rFonts w:ascii="Arial" w:hAnsi="Arial"/>
                <w:b/>
                <w:color w:val="1F4E79"/>
              </w:rPr>
              <w:t>Signature</w:t>
            </w:r>
          </w:p>
        </w:tc>
        <w:tc>
          <w:tcPr>
            <w:tcW w:type="dxa" w:w="4824"/>
            <w:tcMar>
              <w:top w:w="150" w:type="dxa"/>
              <w:start w:w="120" w:type="dxa"/>
              <w:bottom w:w="150" w:type="dxa"/>
              <w:end w:w="120" w:type="dxa"/>
            </w:tcMar>
          </w:tcPr>
          <w:p>
            <w:r>
              <w:rPr>
                <w:rFonts w:ascii="Arial" w:hAnsi="Arial"/>
              </w:rPr>
            </w:r>
          </w:p>
        </w:tc>
      </w:tr>
      <w:tr>
        <w:trPr>
          <w:cantSplit/>
        </w:trPr>
        <w:tc>
          <w:tcPr>
            <w:tcW w:type="dxa" w:w="4824"/>
            <w:tcMar>
              <w:top w:w="150" w:type="dxa"/>
              <w:start w:w="120" w:type="dxa"/>
              <w:bottom w:w="150" w:type="dxa"/>
              <w:end w:w="120" w:type="dxa"/>
            </w:tcMar>
            <w:shd w:fill="EAF0F6"/>
          </w:tcPr>
          <w:p>
            <w:r>
              <w:rPr>
                <w:rFonts w:ascii="Arial" w:hAnsi="Arial"/>
                <w:b/>
                <w:color w:val="1F4E79"/>
              </w:rPr>
              <w:t>Date</w:t>
            </w:r>
          </w:p>
        </w:tc>
        <w:tc>
          <w:tcPr>
            <w:tcW w:type="dxa" w:w="4824"/>
            <w:tcMar>
              <w:top w:w="150" w:type="dxa"/>
              <w:start w:w="120" w:type="dxa"/>
              <w:bottom w:w="150" w:type="dxa"/>
              <w:end w:w="120" w:type="dxa"/>
            </w:tcMar>
          </w:tcPr>
          <w:p>
            <w:r>
              <w:rPr>
                <w:rFonts w:ascii="Arial" w:hAnsi="Arial"/>
              </w:rPr>
              <w:t>[DD/MM/YYYY]</w:t>
            </w:r>
          </w:p>
        </w:tc>
      </w:tr>
      <w:tr>
        <w:trPr>
          <w:cantSplit/>
        </w:trPr>
        <w:tc>
          <w:tcPr>
            <w:tcW w:type="dxa" w:w="4824"/>
            <w:tcMar>
              <w:top w:w="150" w:type="dxa"/>
              <w:start w:w="120" w:type="dxa"/>
              <w:bottom w:w="150" w:type="dxa"/>
              <w:end w:w="120" w:type="dxa"/>
            </w:tcMar>
            <w:shd w:fill="EAF0F6"/>
          </w:tcPr>
          <w:p>
            <w:r>
              <w:rPr>
                <w:rFonts w:ascii="Arial" w:hAnsi="Arial"/>
                <w:b/>
                <w:color w:val="1F4E79"/>
              </w:rPr>
              <w:t>Interpreter (if any)</w:t>
            </w:r>
          </w:p>
        </w:tc>
        <w:tc>
          <w:tcPr>
            <w:tcW w:type="dxa" w:w="4824"/>
            <w:tcMar>
              <w:top w:w="150" w:type="dxa"/>
              <w:start w:w="120" w:type="dxa"/>
              <w:bottom w:w="150" w:type="dxa"/>
              <w:end w:w="120" w:type="dxa"/>
            </w:tcMar>
          </w:tcPr>
          <w:p>
            <w:r>
              <w:rPr>
                <w:rFonts w:ascii="Arial" w:hAnsi="Arial"/>
              </w:rPr>
              <w:t>[NAME / NOT APPLICABLE]</w:t>
            </w:r>
          </w:p>
        </w:tc>
      </w:tr>
    </w:tbl>
    <w:p/>
    <w:p>
      <w:r>
        <w:rPr>
          <w:rFonts w:ascii="Arial" w:hAnsi="Arial"/>
          <w:b/>
          <w:color w:val="595959"/>
        </w:rPr>
        <w:t xml:space="preserve">Template note: </w:t>
      </w:r>
      <w:r>
        <w:rPr>
          <w:rFonts w:ascii="Arial" w:hAnsi="Arial"/>
          <w:i/>
          <w:color w:val="595959"/>
          <w:sz w:val="18"/>
        </w:rPr>
        <w:t>This document is a general starting template only. It must be tailored to the client's facts, the relevant visa subclass and the law in force when advice is given.</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Letter of Advice  |  [CLIENT NAME]  |  [DATE]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5959"/>
        <w:sz w:val="17"/>
      </w:rPr>
      <w:t>[PRACTICE NAME]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Letter of Advice Template</dc:title>
  <dc:subject>Australian migration advice template</dc:subject>
  <dc:creator>[PRACTICE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