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425F8B"/>
          <w:sz w:val="22"/>
        </w:rPr>
        <w:t>[LOGO]</w:t>
      </w:r>
    </w:p>
    <w:p/>
    <w:p>
      <w:pPr>
        <w:spacing w:before="800" w:after="40"/>
      </w:pPr>
      <w:r>
        <w:rPr>
          <w:b/>
          <w:i w:val="0"/>
          <w:color w:val="1F24E9"/>
          <w:sz w:val="52"/>
        </w:rPr>
        <w:t>SQLI</w:t>
      </w:r>
    </w:p>
    <w:p>
      <w:pPr>
        <w:spacing w:before="0" w:after="40"/>
      </w:pPr>
      <w:r>
        <w:rPr>
          <w:b/>
          <w:i w:val="0"/>
          <w:color w:val="1F24E9"/>
          <w:sz w:val="44"/>
        </w:rPr>
        <w:t>Network flow matrix workshop — prep document</w:t>
      </w:r>
    </w:p>
    <w:p/>
    <w:p>
      <w:pPr>
        <w:spacing w:after="40"/>
      </w:pPr>
      <w:r>
        <w:rPr>
          <w:b w:val="0"/>
          <w:i w:val="0"/>
          <w:color w:val="0F0E2B"/>
          <w:sz w:val="22"/>
        </w:rPr>
        <w:t xml:space="preserve">Classification: </w:t>
      </w:r>
      <w:r>
        <w:rPr>
          <w:b w:val="0"/>
          <w:i w:val="0"/>
          <w:color w:val="0F0E2B"/>
          <w:sz w:val="22"/>
        </w:rPr>
        <w:t>C2 – Restricted</w:t>
      </w:r>
    </w:p>
    <w:p>
      <w:pPr>
        <w:spacing w:after="40"/>
      </w:pPr>
      <w:r>
        <w:rPr>
          <w:b w:val="0"/>
          <w:i w:val="0"/>
          <w:color w:val="0F0E2B"/>
          <w:sz w:val="22"/>
        </w:rPr>
        <w:t xml:space="preserve">Version:        </w:t>
      </w:r>
      <w:r>
        <w:rPr>
          <w:b w:val="0"/>
          <w:i w:val="0"/>
          <w:color w:val="0F0E2B"/>
          <w:sz w:val="22"/>
        </w:rPr>
        <w:t>DRAFT – 02/07/2026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keepNext/>
        <w:spacing w:before="240" w:after="80"/>
      </w:pPr>
      <w:r>
        <w:rPr>
          <w:b/>
          <w:i w:val="0"/>
          <w:color w:val="0F0E2B"/>
          <w:sz w:val="32"/>
          <w:rFonts w:asciiTheme="majorHAnsi" w:hAnsiTheme="majorHAnsi"/>
        </w:rPr>
        <w:t>1  Table of Contents</w:t>
      </w:r>
    </w:p>
    <w:p>
      <w:fldSimple w:instr="TOC \o &quot;1-3&quot; \h \z \u">
        <w:r>
          <w:t>Right-click and choose “Update Field” in Word to populate the table of contents.</w:t>
        </w:r>
      </w:fldSimple>
    </w:p>
    <w:p>
      <w:pPr>
        <w:spacing w:before="80" w:after="80"/>
        <w:ind w:left="360"/>
      </w:pPr>
      <w:r>
        <w:rPr>
          <w:b w:val="0"/>
          <w:i/>
          <w:color w:val="425F8B"/>
        </w:rPr>
        <w:t>Title and page break only. Populate the TOC body in Word after rendering.</w:t>
      </w:r>
    </w:p>
    <w:p>
      <w:r>
        <w:br w:type="page"/>
      </w:r>
    </w:p>
    <w:p>
      <w:pPr>
        <w:keepNext/>
        <w:spacing w:before="240" w:after="80"/>
      </w:pPr>
      <w:r>
        <w:rPr>
          <w:b/>
          <w:i w:val="0"/>
          <w:color w:val="0F0E2B"/>
          <w:sz w:val="32"/>
          <w:rFonts w:asciiTheme="majorHAnsi" w:hAnsiTheme="majorHAnsi"/>
        </w:rPr>
        <w:t>2  Revision History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Vers</w:t>
            </w:r>
          </w:p>
        </w:tc>
        <w:tc>
          <w:tcPr>
            <w:tcW w:type="dxa" w:w="144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Date</w:t>
            </w:r>
          </w:p>
        </w:tc>
        <w:tc>
          <w:tcPr>
            <w:tcW w:type="dxa" w:w="144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Modifications</w:t>
            </w:r>
          </w:p>
        </w:tc>
        <w:tc>
          <w:tcPr>
            <w:tcW w:type="dxa" w:w="144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Author</w:t>
            </w:r>
          </w:p>
        </w:tc>
        <w:tc>
          <w:tcPr>
            <w:tcW w:type="dxa" w:w="144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Validation Date</w:t>
            </w:r>
          </w:p>
        </w:tc>
        <w:tc>
          <w:tcPr>
            <w:tcW w:type="dxa" w:w="144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Approver</w:t>
            </w:r>
          </w:p>
        </w:tc>
      </w:tr>
      <w:tr>
        <w:tc>
          <w:tcPr>
            <w:tcW w:type="dxa" w:w="144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1.0</w:t>
            </w:r>
          </w:p>
        </w:tc>
        <w:tc>
          <w:tcPr>
            <w:tcW w:type="dxa" w:w="144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02/07/2026</w:t>
            </w:r>
          </w:p>
        </w:tc>
        <w:tc>
          <w:tcPr>
            <w:tcW w:type="dxa" w:w="144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Initial version</w:t>
            </w:r>
          </w:p>
        </w:tc>
        <w:tc>
          <w:tcPr>
            <w:tcW w:type="dxa" w:w="144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G. Mourgues</w:t>
            </w:r>
          </w:p>
        </w:tc>
        <w:tc>
          <w:tcPr>
            <w:tcW w:type="dxa" w:w="144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—</w:t>
            </w:r>
          </w:p>
        </w:tc>
        <w:tc>
          <w:tcPr>
            <w:tcW w:type="dxa" w:w="144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Bdr>
          <w:bottom w:val="single" w:sz="6" w:space="1" w:color="425F8B"/>
        </w:pBdr>
      </w:pPr>
    </w:p>
    <w:p>
      <w:pPr>
        <w:keepNext/>
        <w:spacing w:before="240" w:after="80"/>
      </w:pPr>
      <w:r>
        <w:rPr>
          <w:b/>
          <w:i w:val="0"/>
          <w:color w:val="0F0E2B"/>
          <w:sz w:val="32"/>
          <w:rFonts w:asciiTheme="majorHAnsi" w:hAnsiTheme="majorHAnsi"/>
        </w:rPr>
        <w:t>3  Remaining Issues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Label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Version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Date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Comment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IP space / IPAM allocation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1.0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02/07/2026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Databricks subnets — to be defined by Landing Zone / network team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Azure Firewall / hub egress policy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1.0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02/07/2026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Existing FQDN allowlists, NVA routing — to be defined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 feature scope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1.0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02/07/2026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 API only vs direct Postgres access — to be defined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SP-02 Graph API domain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1.0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02/07/2026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Confirmation pending — owner: you + network team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 Private Link / NCC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1.0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02/07/2026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Public Preview, preview-gated — re-check before workshop</w:t>
            </w:r>
          </w:p>
        </w:tc>
      </w:tr>
    </w:tbl>
    <w:p>
      <w:pPr>
        <w:spacing w:after="40"/>
      </w:pPr>
    </w:p>
    <w:p>
      <w:pPr>
        <w:pBdr>
          <w:bottom w:val="single" w:sz="6" w:space="1" w:color="425F8B"/>
        </w:pBdr>
      </w:pPr>
    </w:p>
    <w:p>
      <w:pPr>
        <w:keepNext/>
        <w:spacing w:before="240" w:after="80"/>
      </w:pPr>
      <w:r>
        <w:rPr>
          <w:b/>
          <w:i w:val="0"/>
          <w:color w:val="0F0E2B"/>
          <w:sz w:val="32"/>
          <w:rFonts w:asciiTheme="majorHAnsi" w:hAnsiTheme="majorHAnsi"/>
        </w:rPr>
        <w:t>4  Network flow matrix workshop</w:t>
      </w:r>
    </w:p>
    <w:p>
      <w:r>
        <w:rPr>
          <w:b w:val="0"/>
          <w:i w:val="0"/>
          <w:color w:val="0F0E2B"/>
        </w:rPr>
        <w:t>Solution: Azure Databricks (classic and/or serverless, TBD) + Lakebase.</w:t>
      </w:r>
    </w:p>
    <w:p>
      <w:r>
        <w:rPr>
          <w:b w:val="0"/>
          <w:i w:val="0"/>
          <w:color w:val="0F0E2B"/>
        </w:rPr>
        <w:t>Landing zone: SharePoint (temporary ingestion bridge, per locked design doc).</w:t>
      </w:r>
    </w:p>
    <w:p>
      <w:r>
        <w:rPr>
          <w:b w:val="0"/>
          <w:i w:val="0"/>
          <w:color w:val="0F0E2B"/>
        </w:rPr>
        <w:t>Tenant: existing Azure tenant, Entra ID / SSO in place.</w:t>
      </w:r>
    </w:p>
    <w:p>
      <w:r>
        <w:rPr>
          <w:b w:val="0"/>
          <w:i w:val="0"/>
          <w:color w:val="0F0E2B"/>
        </w:rPr>
        <w:t>Deliverable: ingress/egress network flow matrix, current-state or target-state (confirm with sponsor).</w:t>
      </w:r>
    </w:p>
    <w:p>
      <w:pPr>
        <w:keepNext/>
        <w:spacing w:before="160" w:after="80"/>
      </w:pPr>
      <w:r>
        <w:rPr>
          <w:b/>
          <w:i w:val="0"/>
          <w:color w:val="0F0E2B"/>
          <w:sz w:val="26"/>
          <w:rFonts w:asciiTheme="majorHAnsi" w:hAnsiTheme="majorHAnsi"/>
        </w:rPr>
        <w:t>4.1  Inputs</w:t>
      </w:r>
    </w:p>
    <w:p>
      <w:pPr>
        <w:keepNext/>
        <w:spacing w:before="160" w:after="80"/>
      </w:pPr>
      <w:r>
        <w:rPr>
          <w:b/>
          <w:i w:val="0"/>
          <w:color w:val="0F0E2B"/>
          <w:sz w:val="22"/>
          <w:rFonts w:asciiTheme="majorHAnsi" w:hAnsiTheme="majorHAnsi"/>
        </w:rPr>
        <w:t>4.1.1  Pre-work (collect before workshop)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#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Item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Owner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Status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SharePoint→Databricks ingestion mechanism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You / data engineering lead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Resolved — see 4.1.4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IP space / IPAM allocation for Databricks subnets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Landing Zone / network team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🔲 To be defined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3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Azure Firewall / hub egress policy (existing FQDN allowlists, NVA routing)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Landing Zone / network team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🔲 To be defined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 feature scope (Data API only vs direct Postgres client access)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 engineering lead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🔲 To be defined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i w:val="0"/>
          <w:color w:val="0F0E2B"/>
          <w:sz w:val="22"/>
          <w:rFonts w:asciiTheme="majorHAnsi" w:hAnsiTheme="majorHAnsi"/>
        </w:rPr>
        <w:t>4.1.2  Live inputs (presented at workshop open)</w:t>
      </w:r>
    </w:p>
    <w:p>
      <w:pPr>
        <w:pStyle w:val="ListBullet"/>
      </w:pPr>
      <w:r>
        <w:rPr>
          <w:b w:val="0"/>
          <w:i w:val="0"/>
          <w:color w:val="0F0E2B"/>
        </w:rPr>
        <w:t>Tenant/Entra SSO context, existing hub-spoke topology diagram — owner: you.</w:t>
      </w:r>
    </w:p>
    <w:p>
      <w:pPr>
        <w:keepNext/>
        <w:spacing w:before="160" w:after="80"/>
      </w:pPr>
      <w:r>
        <w:rPr>
          <w:b/>
          <w:i w:val="0"/>
          <w:color w:val="0F0E2B"/>
          <w:sz w:val="22"/>
          <w:rFonts w:asciiTheme="majorHAnsi" w:hAnsiTheme="majorHAnsi"/>
        </w:rPr>
        <w:t>4.1.3  Locked ingestion design (SharePoint → bronze)</w:t>
      </w:r>
    </w:p>
    <w:p>
      <w:r>
        <w:rPr>
          <w:b w:val="0"/>
          <w:i w:val="0"/>
          <w:color w:val="0F0E2B"/>
        </w:rPr>
        <w:t xml:space="preserve">Source: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2026-06-24-sharepoint-to-bronze-ingestion-lock-in.md</w:t>
      </w:r>
      <w:r>
        <w:rPr>
          <w:b w:val="0"/>
          <w:i w:val="0"/>
          <w:color w:val="0F0E2B"/>
        </w:rPr>
        <w:t xml:space="preserve"> (v1.3, Draft).</w:t>
      </w:r>
    </w:p>
    <w:p>
      <w:pPr>
        <w:pStyle w:val="ListBullet"/>
      </w:pPr>
      <w:r>
        <w:rPr>
          <w:b w:val="0"/>
          <w:i w:val="0"/>
          <w:color w:val="0F0E2B"/>
        </w:rPr>
        <w:t xml:space="preserve">Path: external extractor (non-Databricks, already running) → writes JSON to SharePoint document library → Databricks reads via </w:t>
      </w:r>
      <w:r>
        <w:rPr>
          <w:b/>
          <w:i w:val="0"/>
          <w:color w:val="0F0E2B"/>
        </w:rPr>
        <w:t>standard SharePoint connector</w:t>
      </w:r>
      <w:r>
        <w:rPr>
          <w:b w:val="0"/>
          <w:i w:val="0"/>
          <w:color w:val="0F0E2B"/>
        </w:rPr>
        <w:t xml:space="preserve"> through a </w:t>
      </w:r>
      <w:r>
        <w:rPr>
          <w:b/>
          <w:i w:val="0"/>
          <w:color w:val="0F0E2B"/>
        </w:rPr>
        <w:t>Unity Catalog connection</w:t>
      </w:r>
      <w:r>
        <w:rPr>
          <w:b w:val="0"/>
          <w:i w:val="0"/>
          <w:color w:val="0F0E2B"/>
        </w:rPr>
        <w:t xml:space="preserve"> (Beta, DBR 17.3 LTS floor).</w:t>
      </w:r>
    </w:p>
    <w:p>
      <w:pPr>
        <w:pStyle w:val="ListBullet"/>
      </w:pPr>
      <w:r>
        <w:rPr>
          <w:b w:val="0"/>
          <w:i w:val="0"/>
          <w:color w:val="0F0E2B"/>
        </w:rPr>
        <w:t xml:space="preserve">Trigger: </w:t>
      </w:r>
      <w:r>
        <w:rPr>
          <w:b/>
          <w:i w:val="0"/>
          <w:color w:val="0F0E2B"/>
        </w:rPr>
        <w:t>scheduled poll</w:t>
      </w:r>
      <w:r>
        <w:rPr>
          <w:b w:val="0"/>
          <w:i w:val="0"/>
          <w:color w:val="0F0E2B"/>
        </w:rPr>
        <w:t xml:space="preserve">, 2–3 runs/day,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Trigger.availableNow</w:t>
      </w:r>
      <w:r>
        <w:rPr>
          <w:b w:val="0"/>
          <w:i w:val="0"/>
          <w:color w:val="0F0E2B"/>
        </w:rPr>
        <w:t>. No event path — SharePoint emits no storage events, so no Event Grid, no file-arrival trigger, no notification queue.</w:t>
      </w:r>
    </w:p>
    <w:p>
      <w:pPr>
        <w:pStyle w:val="ListBullet"/>
      </w:pPr>
      <w:r>
        <w:rPr>
          <w:b w:val="0"/>
          <w:i w:val="0"/>
          <w:color w:val="0F0E2B"/>
        </w:rPr>
        <w:t xml:space="preserve">Auth: OAuth M2M, service principal via Entra app registration, scoped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Sites.Selected</w:t>
      </w:r>
      <w:r>
        <w:rPr>
          <w:b w:val="0"/>
          <w:i w:val="0"/>
          <w:color w:val="0F0E2B"/>
        </w:rPr>
        <w:t xml:space="preserve"> or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Sites.Read.All</w:t>
      </w:r>
      <w:r>
        <w:rPr>
          <w:b w:val="0"/>
          <w:i w:val="0"/>
          <w:color w:val="0F0E2B"/>
        </w:rPr>
        <w:t>.</w:t>
      </w:r>
    </w:p>
    <w:p>
      <w:pPr>
        <w:pStyle w:val="ListBullet"/>
      </w:pPr>
      <w:r>
        <w:rPr>
          <w:b w:val="0"/>
          <w:i w:val="0"/>
          <w:color w:val="0F0E2B"/>
        </w:rPr>
        <w:t>Temporary: this bridges to a future ADLS Gen2 external location (no connector, native file-arrival trigger). Matrix should carry both states.</w:t>
      </w:r>
    </w:p>
    <w:p>
      <w:pPr>
        <w:keepNext/>
        <w:spacing w:before="160" w:after="80"/>
      </w:pPr>
      <w:r>
        <w:rPr>
          <w:b/>
          <w:i w:val="0"/>
          <w:color w:val="0F0E2B"/>
          <w:sz w:val="22"/>
          <w:rFonts w:asciiTheme="majorHAnsi" w:hAnsiTheme="majorHAnsi"/>
        </w:rPr>
        <w:t>4.1.4  Flow rows — SharePoint ingestion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Flow ID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Source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Destination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Protocol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Direction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Trigger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Auth</w:t>
            </w:r>
          </w:p>
        </w:tc>
        <w:tc>
          <w:tcPr>
            <w:tcW w:type="dxa" w:w="10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Status</w:t>
            </w:r>
          </w:p>
        </w:tc>
      </w:tr>
      <w:tr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SP-01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Extractor (external)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SharePoint document library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HTTPS (M365)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Inbound to M365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Continuous/cron, extractor-owned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Extractor's own SharePoint write identity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Current</w:t>
            </w:r>
          </w:p>
        </w:tc>
      </w:tr>
      <w:tr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SP-02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Databricks (Auto Loader, UC connection)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SharePoint document library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HTTPS, Graph-backed connector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Outbound from Databricks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Scheduled poll, 2–3×/day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OAuth M2M, Entra app SP, Sites.Selected/Sites.Read.All</w:t>
            </w:r>
          </w:p>
        </w:tc>
        <w:tc>
          <w:tcPr>
            <w:tcW w:type="dxa" w:w="108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Current — Beta, temporary</w:t>
            </w:r>
          </w:p>
        </w:tc>
      </w:tr>
      <w:tr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SP-03 (future)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Databricks (external location)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ADLS Gen2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Private endpoint / ABFSS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Outbound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Native file-arrival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Managed identity / storage RBAC</w:t>
            </w:r>
          </w:p>
        </w:tc>
        <w:tc>
          <w:tcPr>
            <w:tcW w:type="dxa" w:w="10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Target state, not yet built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b/>
          <w:i w:val="0"/>
          <w:color w:val="0F0E2B"/>
          <w:sz w:val="22"/>
          <w:rFonts w:asciiTheme="majorHAnsi" w:hAnsiTheme="majorHAnsi"/>
        </w:rPr>
        <w:t>4.1.5  Egress path and allowlist for SP-02 — resolution status</w:t>
      </w:r>
    </w:p>
    <w:p>
      <w:pPr>
        <w:pStyle w:val="ListBullet"/>
      </w:pPr>
      <w:r>
        <w:rPr>
          <w:b/>
          <w:i w:val="0"/>
          <w:color w:val="0F0E2B"/>
        </w:rPr>
        <w:t>No official Databricks doc states a specific FQDN/egress requirement for the SharePoint connector.</w:t>
      </w:r>
      <w:r>
        <w:rPr>
          <w:b w:val="0"/>
          <w:i w:val="0"/>
          <w:color w:val="0F0E2B"/>
        </w:rPr>
        <w:t xml:space="preserve"> The connector page (Ingest files from SharePoint, MS Learn, updated 2026-06-09) covers connection setup, OAuth scopes, path types, limitations — no networking section.</w:t>
      </w:r>
    </w:p>
    <w:p>
      <w:pPr>
        <w:pStyle w:val="ListBullet"/>
      </w:pPr>
      <w:r>
        <w:rPr>
          <w:b w:val="0"/>
          <w:i w:val="0"/>
          <w:color w:val="0F0E2B"/>
        </w:rPr>
        <w:t>General Azure Databricks egress guidance (NAT Gateway / Azure Firewall for classic, NCC/network policy for serverless) is generic, not SharePoint-specific.</w:t>
      </w:r>
    </w:p>
    <w:p>
      <w:pPr>
        <w:pStyle w:val="ListBullet"/>
      </w:pPr>
      <w:r>
        <w:rPr>
          <w:b w:val="0"/>
          <w:i w:val="0"/>
          <w:color w:val="0F0E2B"/>
        </w:rPr>
        <w:t xml:space="preserve">Authoritative source for the underlying M365 destination: </w:t>
      </w:r>
      <w:r>
        <w:rPr>
          <w:b/>
          <w:i w:val="0"/>
          <w:color w:val="0F0E2B"/>
        </w:rPr>
        <w:t>Microsoft 365 IP/URL web service</w:t>
      </w:r>
      <w:r>
        <w:rPr>
          <w:b w:val="0"/>
          <w:i w:val="0"/>
          <w:color w:val="0F0E2B"/>
        </w:rPr>
        <w:t xml:space="preserve">,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ServiceAreas=SharePoint</w:t>
      </w:r>
      <w:r>
        <w:rPr>
          <w:b w:val="0"/>
          <w:i w:val="0"/>
          <w:color w:val="0F0E2B"/>
        </w:rPr>
        <w:t xml:space="preserve"> — a live API, not a static list, updated monthly with 30-day advance notice for new entries.</w:t>
      </w:r>
    </w:p>
    <w:p>
      <w:pPr>
        <w:pStyle w:val="ListBullet"/>
      </w:pPr>
      <w:r>
        <w:rPr>
          <w:b w:val="0"/>
          <w:i w:val="0"/>
          <w:color w:val="0F0E2B"/>
        </w:rPr>
        <w:t xml:space="preserve">Starting pattern to test: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&lt;tenant&gt;.sharepoint.com</w:t>
      </w:r>
      <w:r>
        <w:rPr>
          <w:b w:val="0"/>
          <w:i w:val="0"/>
          <w:color w:val="0F0E2B"/>
        </w:rPr>
        <w:t xml:space="preserve"> wildcard, port 443. Whether the connector also calls a Graph API domain (e.g. </w:t>
      </w:r>
      <w:r>
        <w:rPr>
          <w:rFonts w:ascii="Cascadia Code" w:hAnsi="Cascadia Code" w:cs="Cascadia Code"/>
          <w:b w:val="0"/>
          <w:i w:val="0"/>
          <w:color w:val="0F0E2B"/>
          <w:shd w:val="clear" w:color="auto" w:fill="C5D8F6"/>
        </w:rPr>
        <w:t>graph.microsoft.com</w:t>
      </w:r>
      <w:r>
        <w:rPr>
          <w:b w:val="0"/>
          <w:i w:val="0"/>
          <w:color w:val="0F0E2B"/>
        </w:rPr>
        <w:t>) directly is not documented.</w:t>
      </w:r>
    </w:p>
    <w:p>
      <w:pPr>
        <w:spacing w:before="80" w:after="80"/>
        <w:ind w:left="360"/>
      </w:pPr>
      <w:r>
        <w:rPr>
          <w:b w:val="0"/>
          <w:i/>
          <w:color w:val="425F8B"/>
        </w:rPr>
        <w:t>That link is your own architecture decision to document, not something Microsoft has pre-answered. No Databricks doc cross-references the M365 endpoint feed for this connector — resolving SP-02's exact destination set is on you and the network team, not resolvable from documentation alone.</w:t>
      </w:r>
    </w:p>
    <w:p>
      <w:r>
        <w:rPr>
          <w:b/>
          <w:i w:val="0"/>
          <w:color w:val="0F0E2B"/>
        </w:rPr>
        <w:t>Action, not a workshop-day decision:</w:t>
      </w:r>
    </w:p>
    <w:p>
      <w:pPr>
        <w:pStyle w:val="ListNumber"/>
      </w:pPr>
      <w:r>
        <w:rPr>
          <w:b w:val="0"/>
          <w:i w:val="0"/>
          <w:color w:val="0F0E2B"/>
        </w:rPr>
        <w:t>Deploy connector in test workspace with egress open, capture actual destinations via system.access.outbound_network.</w:t>
      </w:r>
    </w:p>
    <w:p>
      <w:pPr>
        <w:pStyle w:val="ListNumber"/>
      </w:pPr>
      <w:r>
        <w:rPr>
          <w:b w:val="0"/>
          <w:i w:val="0"/>
          <w:color w:val="0F0E2B"/>
        </w:rPr>
        <w:t>Cross-check captured FQDNs against the M365 SharePoint service-area feed.</w:t>
      </w:r>
    </w:p>
    <w:p>
      <w:pPr>
        <w:pStyle w:val="ListNumber"/>
      </w:pPr>
      <w:r>
        <w:rPr>
          <w:b w:val="0"/>
          <w:i w:val="0"/>
          <w:color w:val="0F0E2B"/>
        </w:rPr>
        <w:t>Lock Firewall/NCC rule only after empirical capture — do not allowlist blind.</w:t>
      </w:r>
    </w:p>
    <w:p>
      <w:pPr>
        <w:pStyle w:val="ListNumber"/>
      </w:pPr>
      <w:r>
        <w:rPr>
          <w:b w:val="0"/>
          <w:i w:val="0"/>
          <w:color w:val="0F0E2B"/>
        </w:rPr>
        <w:t>Treat the allowlist as a monthly-poll dependency, not a static entry (Microsoft's own warning: missed updates can cause outages).</w:t>
      </w:r>
    </w:p>
    <w:p>
      <w:pPr>
        <w:spacing w:before="80" w:after="80"/>
        <w:ind w:left="360"/>
      </w:pPr>
      <w:r>
        <w:rPr>
          <w:b w:val="0"/>
          <w:i/>
          <w:color w:val="425F8B"/>
        </w:rPr>
        <w:t>🔲 To be defined — Graph API domain confirmation for SP-02, owner: you + network team.</w:t>
      </w:r>
    </w:p>
    <w:p>
      <w:pPr>
        <w:keepNext/>
        <w:spacing w:before="160" w:after="80"/>
      </w:pPr>
      <w:r>
        <w:rPr>
          <w:b/>
          <w:i w:val="0"/>
          <w:color w:val="0F0E2B"/>
          <w:sz w:val="22"/>
          <w:rFonts w:asciiTheme="majorHAnsi" w:hAnsiTheme="majorHAnsi"/>
        </w:rPr>
        <w:t>4.1.6  Lakebase — flow rows (pending 4.1.1 #4 confirmation)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Flow ID</w:t>
            </w:r>
          </w:p>
        </w:tc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Source</w:t>
            </w:r>
          </w:p>
        </w:tc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Destination</w:t>
            </w:r>
          </w:p>
        </w:tc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Protocol/Port</w:t>
            </w:r>
          </w:p>
        </w:tc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Auth</w:t>
            </w:r>
          </w:p>
        </w:tc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Control point</w:t>
            </w:r>
          </w:p>
        </w:tc>
        <w:tc>
          <w:tcPr>
            <w:tcW w:type="dxa" w:w="1234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Notes</w:t>
            </w:r>
          </w:p>
        </w:tc>
      </w:tr>
      <w:tr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LB-01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External Postgres client (psql/ORM/BI tool)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 endpoint (regional conn string)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TCP 5432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OAuth token or Postgres password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Service Direct Private Link (NCC, preview)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Only if client is outside workspace</w:t>
            </w:r>
          </w:p>
        </w:tc>
      </w:tr>
      <w:tr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LB-02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 Data API caller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Workspace front-end (databricks_ui_api)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HTTPS 443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OAuth/Entra via workspace SSO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Standard inbound Private Link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No 5432 needed</w:t>
            </w:r>
          </w:p>
        </w:tc>
      </w:tr>
      <w:tr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LB-03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Databricks Apps / Feature Store (in-workspace)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Internal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Workspace identity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None — stays in workspace network</w:t>
            </w:r>
          </w:p>
        </w:tc>
        <w:tc>
          <w:tcPr>
            <w:tcW w:type="dxa" w:w="1234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No extra endpoint</w:t>
            </w:r>
          </w:p>
        </w:tc>
      </w:tr>
      <w:tr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LB-04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Client (no Private Link / public access)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Lakebase Autoscaling public IPs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TCP 5432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OAuth/password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Client-side firewall allowlist</w:t>
            </w:r>
          </w:p>
        </w:tc>
        <w:tc>
          <w:tcPr>
            <w:tcW w:type="dxa" w:w="1234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Only if Private Link not enforced</w:t>
            </w:r>
          </w:p>
        </w:tc>
      </w:tr>
    </w:tbl>
    <w:p>
      <w:pPr>
        <w:spacing w:after="40"/>
      </w:pPr>
    </w:p>
    <w:p>
      <w:pPr>
        <w:spacing w:before="80" w:after="80"/>
        <w:ind w:left="360"/>
      </w:pPr>
      <w:r>
        <w:rPr>
          <w:b w:val="0"/>
          <w:i/>
          <w:color w:val="425F8B"/>
        </w:rPr>
        <w:t>⚠️ Unverified — Lakebase Private Link / NCC support is Public Preview and preview-gated in the account console; re-check before workshop.</w:t>
      </w:r>
    </w:p>
    <w:p>
      <w:pPr>
        <w:keepNext/>
        <w:spacing w:before="160" w:after="80"/>
      </w:pPr>
      <w:r>
        <w:rPr>
          <w:b/>
          <w:i w:val="0"/>
          <w:color w:val="0F0E2B"/>
          <w:sz w:val="26"/>
          <w:rFonts w:asciiTheme="majorHAnsi" w:hAnsiTheme="majorHAnsi"/>
        </w:rPr>
        <w:t>4.2  Decisions to make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#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Topic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Owner (drives)</w:t>
            </w:r>
          </w:p>
        </w:tc>
        <w:tc>
          <w:tcPr>
            <w:tcW w:type="dxa" w:w="216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Contributors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Compute mode: classic (VNet-injected) vs serverless vs mixed, given Lakebase constraint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Databricks platform owner + Landing Zone (LZ has IP veto)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Security, FinOps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Egress control model: Azure Firewall/NAT GW (classic) vs NCC (serverless), or both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Security/compliance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Network team</w:t>
            </w:r>
          </w:p>
        </w:tc>
      </w:tr>
      <w:tr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3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Private Link scope: enforce private-only, or public with IP allowlist (per flow: workspace UI, Data API, Postgres 5432)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Security/compliance</w:t>
            </w:r>
          </w:p>
        </w:tc>
        <w:tc>
          <w:tcPr>
            <w:tcW w:type="dxa" w:w="216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Databricks platform owner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Current-state audit vs target-state design matrix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Sponsor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You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0F0E2B"/>
        </w:rPr>
        <w:t>Dependencies to weigh in decision 1:</w:t>
      </w:r>
    </w:p>
    <w:p>
      <w:pPr>
        <w:pStyle w:val="ListBullet"/>
      </w:pPr>
      <w:r>
        <w:rPr>
          <w:b w:val="0"/>
          <w:i w:val="0"/>
          <w:color w:val="0F0E2B"/>
        </w:rPr>
        <w:t>IP address space (classic needs 2 dedicated subnets, min /26, permanently reserved).</w:t>
      </w:r>
    </w:p>
    <w:p>
      <w:pPr>
        <w:pStyle w:val="ListBullet"/>
      </w:pPr>
      <w:r>
        <w:rPr>
          <w:b w:val="0"/>
          <w:i w:val="0"/>
          <w:color w:val="0F0E2B"/>
        </w:rPr>
        <w:t>On-prem/ExpressRoute reachability requirement (serverless NCC support for this is unverified — check before treating as settled).</w:t>
      </w:r>
    </w:p>
    <w:p>
      <w:pPr>
        <w:pStyle w:val="ListBullet"/>
      </w:pPr>
      <w:r>
        <w:rPr>
          <w:b w:val="0"/>
          <w:i w:val="0"/>
          <w:color w:val="0F0E2B"/>
        </w:rPr>
        <w:t>Egress control granularity (classic: full FQDN inspection via Firewall; serverless: NCC, coarser).</w:t>
      </w:r>
    </w:p>
    <w:p>
      <w:pPr>
        <w:pStyle w:val="ListBullet"/>
      </w:pPr>
      <w:r>
        <w:rPr>
          <w:b w:val="0"/>
          <w:i w:val="0"/>
          <w:color w:val="0F0E2B"/>
        </w:rPr>
        <w:t>Existing hub-spoke firewall policy and consistency with other workspaces in the tenant.</w:t>
      </w:r>
    </w:p>
    <w:p>
      <w:pPr>
        <w:pStyle w:val="ListBullet"/>
      </w:pPr>
      <w:r>
        <w:rPr>
          <w:b w:val="0"/>
          <w:i w:val="0"/>
          <w:color w:val="0F0E2B"/>
        </w:rPr>
        <w:t>Lakebase is serverless-first — mixed mode is likely regardless of main compute choice.</w:t>
      </w:r>
    </w:p>
    <w:p>
      <w:pPr>
        <w:keepNext/>
        <w:spacing w:before="160" w:after="80"/>
      </w:pPr>
      <w:r>
        <w:rPr>
          <w:b/>
          <w:i w:val="0"/>
          <w:color w:val="0F0E2B"/>
          <w:sz w:val="26"/>
          <w:rFonts w:asciiTheme="majorHAnsi" w:hAnsiTheme="majorHAnsi"/>
        </w:rPr>
        <w:t>4.3  Draft matrix (Excel)</w:t>
      </w:r>
    </w:p>
    <w:p>
      <w:r>
        <w:rPr>
          <w:b w:val="0"/>
          <w:i w:val="0"/>
          <w:color w:val="0F0E2B"/>
        </w:rPr>
        <w:t>Columns:</w:t>
      </w:r>
    </w:p>
    <w:p>
      <w:pPr>
        <w:ind w:left="120"/>
        <w:shd w:val="clear" w:color="auto" w:fill="C5D8F6"/>
      </w:pPr>
      <w:r>
        <w:rPr>
          <w:rFonts w:ascii="Cascadia Code" w:hAnsi="Cascadia Code" w:cs="Cascadia Code"/>
          <w:b w:val="0"/>
          <w:i w:val="0"/>
          <w:color w:val="0F0E2B"/>
          <w:sz w:val="20"/>
        </w:rPr>
        <w:t>Flow ID | Source | Destination | Protocol | Port | Direction | Purpose | Auth mechanism | Control point (NSG/FW/NCC/PE) | Data classification | Status (current/target)</w:t>
      </w:r>
    </w:p>
    <w:p>
      <w:r>
        <w:rPr>
          <w:b w:val="0"/>
          <w:i w:val="0"/>
          <w:color w:val="0F0E2B"/>
        </w:rPr>
        <w:t>Populate from sections 4.1.4 and 4.1.6 once decisions in section 4.2 are locked. Build after Topic 2 closes, not before — compute mode and egress model determine which control-point column values are even valid.</w:t>
      </w:r>
    </w:p>
    <w:p>
      <w:pPr>
        <w:keepNext/>
        <w:spacing w:before="160" w:after="80"/>
      </w:pPr>
      <w:r>
        <w:rPr>
          <w:b/>
          <w:i w:val="0"/>
          <w:color w:val="0F0E2B"/>
          <w:sz w:val="26"/>
          <w:rFonts w:asciiTheme="majorHAnsi" w:hAnsiTheme="majorHAnsi"/>
        </w:rPr>
        <w:t>4.4  Sign-off (post-draft)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#</w:t>
            </w:r>
          </w:p>
        </w:tc>
        <w:tc>
          <w:tcPr>
            <w:tcW w:type="dxa" w:w="28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Topic</w:t>
            </w:r>
          </w:p>
        </w:tc>
        <w:tc>
          <w:tcPr>
            <w:tcW w:type="dxa" w:w="2880"/>
            <w:shd w:val="clear" w:color="auto" w:fill="6DA5FF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/>
                <w:i w:val="0"/>
                <w:color w:val="0F0E2B"/>
                <w:sz w:val="18"/>
              </w:rPr>
              <w:t>Owner</w:t>
            </w:r>
          </w:p>
        </w:tc>
      </w:tr>
      <w:tr>
        <w:tc>
          <w:tcPr>
            <w:tcW w:type="dxa" w:w="28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1</w:t>
            </w:r>
          </w:p>
        </w:tc>
        <w:tc>
          <w:tcPr>
            <w:tcW w:type="dxa" w:w="28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Review draft matrix against actual firewall rules / NSG configs, correct discrepancies</w:t>
            </w:r>
          </w:p>
        </w:tc>
        <w:tc>
          <w:tcPr>
            <w:tcW w:type="dxa" w:w="2880"/>
            <w:shd w:val="clear" w:color="auto" w:fill="C5D8F6"/>
            <w:tcBorders>
              <w:top w:val="single" w:sz="4" w:space="0" w:color="6DA5FF"/>
              <w:left w:val="single" w:sz="4" w:space="0" w:color="6DA5FF"/>
              <w:bottom w:val="single" w:sz="4" w:space="0" w:color="6DA5FF"/>
              <w:right w:val="single" w:sz="4" w:space="0" w:color="6DA5FF"/>
            </w:tcBorders>
          </w:tcPr>
          <w:p>
            <w:r/>
            <w:r>
              <w:rPr>
                <w:b w:val="0"/>
                <w:i w:val="0"/>
                <w:color w:val="0F0E2B"/>
                <w:sz w:val="18"/>
              </w:rPr>
              <w:t>Network team + Security, with you</w:t>
            </w:r>
          </w:p>
        </w:tc>
      </w:tr>
    </w:tbl>
    <w:p>
      <w:pPr>
        <w:spacing w:after="40"/>
      </w:pPr>
    </w:p>
    <w:p>
      <w:pPr>
        <w:pBdr>
          <w:bottom w:val="single" w:sz="6" w:space="1" w:color="425F8B"/>
        </w:pBdr>
      </w:pPr>
    </w:p>
    <w:p>
      <w:pPr>
        <w:spacing w:before="80" w:after="80"/>
        <w:ind w:left="360"/>
      </w:pPr>
      <w:r>
        <w:rPr>
          <w:b w:val="0"/>
          <w:i/>
          <w:color w:val="425F8B"/>
        </w:rPr>
        <w:t>Status: Draft. Prepared ahead of workshop — not for distribution outside the working group without review.</w:t>
      </w:r>
    </w:p>
    <w:p>
      <w:pPr>
        <w:keepNext/>
        <w:spacing w:before="240" w:after="80"/>
      </w:pPr>
      <w:r>
        <w:rPr>
          <w:b/>
          <w:i w:val="0"/>
          <w:color w:val="0F0E2B"/>
          <w:sz w:val="32"/>
          <w:rFonts w:asciiTheme="majorHAnsi" w:hAnsiTheme="majorHAnsi"/>
        </w:rPr>
        <w:t>5  Appendix</w:t>
      </w:r>
    </w:p>
    <w:p>
      <w:r>
        <w:rPr>
          <w:b w:val="0"/>
          <w:i w:val="0"/>
          <w:color w:val="0F0E2B"/>
        </w:rPr>
        <w:t>A.1  Reference — Microsoft 365 IP/URL web service (SharePoint service area):</w:t>
      </w:r>
    </w:p>
    <w:p>
      <w:r>
        <w:rPr>
          <w:b w:val="0"/>
          <w:i w:val="0"/>
          <w:color w:val="1F24E9"/>
          <w:u w:val="single"/>
        </w:rPr>
        <w:t>https://learn.microsoft.com/en-us/microsoft-365/enterprise/microsoft-365-ip-web-service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left" w:pos="0"/>
        <w:tab w:val="center" w:pos="4320"/>
        <w:tab w:val="right" w:pos="8640"/>
      </w:tabs>
    </w:pPr>
    <w:r/>
    <w:r>
      <w:rPr>
        <w:b w:val="0"/>
        <w:i w:val="0"/>
        <w:color w:val="0F0E2B"/>
        <w:sz w:val="16"/>
      </w:rPr>
      <w:t>© SQLI 2026</w:t>
    </w:r>
    <w:r>
      <w:tab/>
    </w:r>
    <w:r>
      <w:rPr>
        <w:b w:val="0"/>
        <w:i w:val="0"/>
        <w:color w:val="0F0E2B"/>
        <w:sz w:val="16"/>
      </w:rPr>
      <w:t>DRAFT – 02/07/2026 – C2 - Restricted</w:t>
    </w:r>
    <w:r>
      <w:tab/>
    </w:r>
    <w:r>
      <w:rPr>
        <w:b w:val="0"/>
        <w:i w:val="0"/>
        <w:color w:val="0F0E2B"/>
        <w:sz w:val="16"/>
      </w:rPr>
      <w:fldChar w:fldCharType="begin"/>
    </w:r>
    <w:r>
      <w:rPr>
        <w:b w:val="0"/>
        <w:i w:val="0"/>
        <w:color w:val="0F0E2B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left" w:pos="0"/>
        <w:tab w:val="right" w:pos="8640"/>
      </w:tabs>
    </w:pPr>
    <w:r/>
    <w:r>
      <w:rPr>
        <w:b/>
        <w:i w:val="0"/>
        <w:color w:val="425F8B"/>
        <w:sz w:val="18"/>
      </w:rPr>
      <w:t>[LOGO]</w:t>
    </w:r>
    <w:r>
      <w:tab/>
    </w:r>
    <w:r>
      <w:rPr>
        <w:b w:val="0"/>
        <w:i w:val="0"/>
        <w:color w:val="0F0E2B"/>
        <w:sz w:val="18"/>
      </w:rPr>
      <w:t>Network flow matrix workshop — prep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color w:val="0F0E2B"/>
      <w:sz w:val="22"/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!--
  Elevate Office Theme — theme1.xml
  Canonical source: shared/elevate-theme/tokens.json
  Derived from:     shared/Elevate-theme-colors.md
  Usage: inject into any .pptx / .docx / .xlsx package at:
           pptx  → ppt/theme/theme1.xml
           docx  → word/theme/theme1.xml
           xlsx  → xl/theme/theme1.xml
         See README.md for injection instructions.
  dk1/lt1: use sysClr (system color reference) per universal Office convention.
           srgbClr is schema-valid but breaks Office's system-aware text/background
           derivation. lastClr is the fallback hex used by non-system renderers.
  majorFont (headings): TWK Everett Light
  minorFont (body):     TWK Everett Regular
  fmtScheme: minimal-valid stubs. Required by schema; no visual effect unless a
             shape's direct formatting references a theme style index.
-->
<a:theme xmlns:a="http://schemas.openxmlformats.org/drawingml/2006/main" name="Elevate">
  <a:themeElements>
    <!-- COLOR SCHEME -->
    <a:clrScheme name="Elevate">
      <!-- dk1: Primary dark / text — sysClr required for Office system color derivation -->
      <a:dk1>
        <a:sysClr val="windowText" lastClr="000000"/>
      </a:dk1>
      <!-- lt1: Primary light / background — sysClr required -->
      <a:lt1>
        <a:sysClr val="window" lastClr="FFFFFF"/>
      </a:lt1>
      <!-- dk2: Near-black navy -->
      <a:dk2>
        <a:srgbClr val="0F0E2B"/>
      </a:dk2>
      <!-- lt2: Warm cream -->
      <a:lt2>
        <a:srgbClr val="FFFAF0"/>
      </a:lt2>
      <!-- accent1: Electric blue — primary brand -->
      <a:accent1>
        <a:srgbClr val="1F24E9"/>
      </a:accent1>
      <!-- accent2: Sky blue -->
      <a:accent2>
        <a:srgbClr val="6DA5FF"/>
      </a:accent2>
      <!-- accent3: Ice blue (light) -->
      <a:accent3>
        <a:srgbClr val="C5D8F6"/>
      </a:accent3>
      <!-- accent4: Steel blue (muted) -->
      <a:accent4>
        <a:srgbClr val="425F8B"/>
      </a:accent4>
      <!-- accent5: Violet-blue -->
      <a:accent5>
        <a:srgbClr val="6164EB"/>
      </a:accent5>
      <!-- accent6: Periwinkle (soft) -->
      <a:accent6>
        <a:srgbClr val="8E8FEC"/>
      </a:accent6>
      <!-- hlink: Hyperlink (= accent1) -->
      <a:hlink>
        <a:srgbClr val="1F24E9"/>
      </a:hlink>
      <!-- folHlink: Followed hyperlink (= accent2) -->
      <a:folHlink>
        <a:srgbClr val="6DA5FF"/>
      </a:folHlink>
    </a:clrScheme>
    <!-- FONT SCHEME -->
    <a:fontScheme name="Elevate">
      <!-- majorFont: headings — TWK Everett Light -->
      <a:majorFont>
        <a:latin typeface="TWK Everett Light"/>
        <a:ea typeface=""/>
        <a:cs typeface=""/>
      </a:majorFont>
      <!-- minorFont: body text — TWK Everett Regular -->
      <a:minorFont>
        <a:latin typeface="TWK Everett Regular"/>
        <a:ea typeface=""/>
        <a:cs typeface=""/>
      </a:minorFont>
    </a:fontScheme>
    <!-- FORMAT SCHEME — STUB: minimal-valid, no visual effect in practice -->
    <a:fmtScheme name="Elevate">
      <a:fillStyleLst>
        <a:solidFill>
          <a:schemeClr val="phClr"/>
        </a:solidFill>
        <a:solidFill>
          <a:schemeClr val="phClr">
            <a:tint val="95000"/>
            <a:satMod val="105000"/>
          </a:schemeClr>
        </a:solidFill>
        <a:solidFill>
          <a:schemeClr val="phClr">
            <a:tint val="85000"/>
            <a:satMod val="180000"/>
          </a:schemeClr>
        </a:soli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