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Post-Training is About States, Not Tokens: A State Distribution View of SFT, RL, and On-Policy Distillation</w:t>
      </w:r>
    </w:p>
    <w:p>
      <w:pPr>
        <w:pStyle w:val="Subtitle"/>
      </w:pPr>
      <w:r>
        <w:t xml:space="preserve">Anonymous Authors</w:t>
      </w:r>
    </w:p>
    <w:p>
      <w:pPr>
        <w:pStyle w:val="Heading1"/>
      </w:pPr>
      <w:r>
        <w:t xml:space="preserve">Abstract</w:t>
      </w:r>
    </w:p>
    <w:p>
      <w:r>
        <w:t xml:space="preserve">Large language model post-training methods such as supervised fine-tuning, reinforcement learning, and distillation are often analyzed through objective functions such as forward or reverse KL divergence. We propose a complementary perspective: the primary factor governing generalization and catastrophic forgetting is not the optimization objective alone, but the state distribution induced during training.</w:t>
      </w:r>
    </w:p>
    <w:p>
      <w:r>
        <w:t xml:space="preserve">We formalize post-training as a process of shaping the state visitation distribution of an autoregressive policy. Under this view, SFT corresponds to off-policy state fitting, while RL and on-policy distillation operate under on-policy state distributions, leading to more local and stable updates. We empirically test whether forgetting correlates with state distribution drift, whether on-policy training improves retention under comparable supervision, and whether OPD can surpass a degraded teacher by learning on student-induced states.</w:t>
      </w:r>
    </w:p>
    <w:p>
      <w:pPr>
        <w:pStyle w:val="Heading1"/>
      </w:pPr>
      <w:r>
        <w:t xml:space="preserve">Introduction</w:t>
      </w:r>
    </w:p>
    <w:p>
      <w:r>
        <w:t xml:space="preserve">Post-training has become a critical component in modern LLM pipelines, including supervised fine-tuning, reinforcement learning from feedback or verifiable rewards, and distillation.</w:t>
      </w:r>
    </w:p>
    <w:p>
      <w:r>
        <w:t xml:space="preserve">Several phenomena remain insufficiently explained:</w:t>
      </w:r>
    </w:p>
    <w:p>
      <w:pPr>
        <w:pStyle w:val="ListBullet"/>
      </w:pPr>
      <w:r>
        <w:t xml:space="preserve">Why does SFT often lead to catastrophic forgetting?</w:t>
      </w:r>
    </w:p>
    <w:p>
      <w:pPr>
        <w:pStyle w:val="ListBullet"/>
      </w:pPr>
      <w:r>
        <w:t xml:space="preserve">Why do RL-based methods remain stable even with weak KL regularization?</w:t>
      </w:r>
    </w:p>
    <w:p>
      <w:pPr>
        <w:pStyle w:val="ListBullet"/>
      </w:pPr>
      <w:r>
        <w:t xml:space="preserve">Why does on-policy distillation behave similarly to RL?</w:t>
      </w:r>
    </w:p>
    <w:p>
      <w:pPr>
        <w:pStyle w:val="ListBullet"/>
      </w:pPr>
      <w:r>
        <w:t xml:space="preserve">Why can students outperform their teachers?</w:t>
      </w:r>
    </w:p>
    <w:p>
      <w:r>
        <w:t xml:space="preserve">textbfCore Thesis: post-training is fundamentally about textitstate distribution shaping, not merely token-level supervision.</w:t>
      </w:r>
    </w:p>
    <w:p>
      <w:pPr>
        <w:pStyle w:val="Heading1"/>
      </w:pPr>
      <w:r>
        <w:t xml:space="preserve">Preliminaries</w:t>
      </w:r>
    </w:p>
    <w:p>
      <w:r>
        <w:t xml:space="preserve">An autoregressive model defines:</w:t>
      </w:r>
    </w:p>
    <w:p>
      <w:pPr>
        <w:pStyle w:val="Equation"/>
      </w:pPr>
      <w:r>
        <w:t xml:space="preserve">p_ theta(y_t mid x, y_&lt;t).</w:t>
      </w:r>
    </w:p>
    <w:p>
      <w:r>
        <w:t xml:space="preserve">We define the state as:</w:t>
      </w:r>
    </w:p>
    <w:p>
      <w:pPr>
        <w:pStyle w:val="Equation"/>
      </w:pPr>
      <w:r>
        <w:t xml:space="preserve">s_t = (x, y_&lt;t).</w:t>
      </w:r>
    </w:p>
    <w:p>
      <w:r>
        <w:t xml:space="preserve">The token $y_t$ is an action, the prefix state $s_t$ is the context, and a full completion is a trajectory through prefix states.</w:t>
      </w:r>
    </w:p>
    <w:p>
      <w:r>
        <w:t xml:space="preserve">Let $d^ pi(s)$ denote the state visitation distribution induced by policy $ pi$. We distinguish dataset states $d_ textexpert$ from model-induced states $d_ pi_ theta$.</w:t>
      </w:r>
    </w:p>
    <w:p>
      <w:pPr>
        <w:pStyle w:val="Heading1"/>
      </w:pPr>
      <w:r>
        <w:t xml:space="preserve">A State Distribution View of Post-Training</w:t>
      </w:r>
    </w:p>
    <w:p>
      <w:pPr>
        <w:pStyle w:val="Heading2"/>
      </w:pPr>
      <w:r>
        <w:t xml:space="preserve">SFT as Off-Policy State Fitting</w:t>
      </w:r>
    </w:p>
    <w:p>
      <w:r>
        <w:t xml:space="preserve">SFT optimizes:</w:t>
      </w:r>
    </w:p>
    <w:p>
      <w:pPr>
        <w:pStyle w:val="Equation"/>
      </w:pPr>
      <w:r>
        <w:t xml:space="preserve">mathbbE_s sim d_ textexpert [ log p_ theta(y mid s)].</w:t>
      </w:r>
    </w:p>
    <w:p>
      <w:r>
        <w:t xml:space="preserve">Training states do not come from the current policy. This induces exposure bias, covariate shift, and distribution mismatch.</w:t>
      </w:r>
    </w:p>
    <w:p>
      <w:r>
        <w:t xml:space="preserve">textbfHypothesis: catastrophic forgetting arises from large divergence between $d_ textexpert$ and $d_ pi_ theta$.</w:t>
      </w:r>
    </w:p>
    <w:p>
      <w:pPr>
        <w:pStyle w:val="Heading2"/>
      </w:pPr>
      <w:r>
        <w:t xml:space="preserve">RL as On-Policy Local Improvement</w:t>
      </w:r>
    </w:p>
    <w:p>
      <w:r>
        <w:t xml:space="preserve">RL optimizes:</w:t>
      </w:r>
    </w:p>
    <w:p>
      <w:pPr>
        <w:pStyle w:val="Equation"/>
      </w:pPr>
      <w:r>
        <w:t xml:space="preserve">mathbbE_s sim d_ pi_ theta [r(s)].</w:t>
      </w:r>
    </w:p>
    <w:p>
      <w:r>
        <w:t xml:space="preserve">States are sampled from the current policy, which encourages local updates and reduced distribution discontinuity.</w:t>
      </w:r>
    </w:p>
    <w:p>
      <w:pPr>
        <w:pStyle w:val="Heading2"/>
      </w:pPr>
      <w:r>
        <w:t xml:space="preserve">OPD as Teacher-Guided On-Policy Learning</w:t>
      </w:r>
    </w:p>
    <w:p>
      <w:r>
        <w:t xml:space="preserve">OPD performs:</w:t>
      </w:r>
    </w:p>
    <w:p>
      <w:pPr>
        <w:pStyle w:val="Equation"/>
      </w:pPr>
      <w:r>
        <w:t xml:space="preserve">mathbbE_s sim d_ pi_S left[ mathrmKL( pi_T( cdot mid s) | pi_S( cdot mid s)) right].</w:t>
      </w:r>
    </w:p>
    <w:p>
      <w:r>
        <w:t xml:space="preserve">The teacher provides the signal, but the student controls the state distribution. OPD therefore resembles policy improvement and DAgger-style learning.</w:t>
      </w:r>
    </w:p>
    <w:p>
      <w:pPr>
        <w:pStyle w:val="Heading1"/>
      </w:pPr>
      <w:r>
        <w:t xml:space="preserve">Why Students Can Surpass Teachers</w:t>
      </w:r>
    </w:p>
    <w:p>
      <w:r>
        <w:t xml:space="preserve">Traditional distillation implicitly assumes teacher-induced states are the right training support. We argue instead that the student state distribution determines learning quality. Teacher errors do not fully transfer when the student learns over its own trajectory space.</w:t>
      </w:r>
    </w:p>
    <w:p>
      <w:pPr>
        <w:pStyle w:val="Heading1"/>
      </w:pPr>
      <w:r>
        <w:t xml:space="preserve">A Unified Framework</w:t>
      </w:r>
    </w:p>
    <w:p>
      <w:r>
        <w:t xml:space="preserve">We unify post-training as:</w:t>
      </w:r>
    </w:p>
    <w:p>
      <w:pPr>
        <w:pStyle w:val="Equation"/>
      </w:pPr>
      <w:r>
        <w:t xml:space="preserve">d_t+1(s) = mathcalT(d_t(s), textsignal).</w:t>
      </w:r>
    </w:p>
    <w:tbl>
      <w:tblPr>
        <w:tblStyle w:val="TableGrid"/>
        <w:tblW w:w="0" w:type="auto"/>
      </w:tblPr>
      <w:tr>
        <w:tc>
          <w:tcPr>
            <w:tcW w:w="3000" w:type="dxa"/>
          </w:tcPr>
          <w:p>
            <w:r>
              <w:t xml:space="preserve">Method</w:t>
            </w:r>
          </w:p>
        </w:tc>
        <w:tc>
          <w:tcPr>
            <w:tcW w:w="3000" w:type="dxa"/>
          </w:tcPr>
          <w:p>
            <w:r>
              <w:t xml:space="preserve">State Source</w:t>
            </w:r>
          </w:p>
        </w:tc>
        <w:tc>
          <w:tcPr>
            <w:tcW w:w="3000" w:type="dxa"/>
          </w:tcPr>
          <w:p>
            <w:r>
              <w:t xml:space="preserve">Signal</w:t>
            </w:r>
          </w:p>
        </w:tc>
      </w:tr>
      <w:tr>
        <w:tc>
          <w:tcPr>
            <w:tcW w:w="3000" w:type="dxa"/>
          </w:tcPr>
          <w:p>
            <w:r>
              <w:t xml:space="preserve">SFT</w:t>
            </w:r>
          </w:p>
        </w:tc>
        <w:tc>
          <w:tcPr>
            <w:tcW w:w="3000" w:type="dxa"/>
          </w:tcPr>
          <w:p>
            <w:r>
              <w:t xml:space="preserve">dataset</w:t>
            </w:r>
          </w:p>
        </w:tc>
        <w:tc>
          <w:tcPr>
            <w:tcW w:w="3000" w:type="dxa"/>
          </w:tcPr>
          <w:p>
            <w:r>
              <w:t xml:space="preserve">labels</w:t>
            </w:r>
          </w:p>
        </w:tc>
      </w:tr>
      <w:tr>
        <w:tc>
          <w:tcPr>
            <w:tcW w:w="3000" w:type="dxa"/>
          </w:tcPr>
          <w:p>
            <w:r>
              <w:t xml:space="preserve">RL</w:t>
            </w:r>
          </w:p>
        </w:tc>
        <w:tc>
          <w:tcPr>
            <w:tcW w:w="3000" w:type="dxa"/>
          </w:tcPr>
          <w:p>
            <w:r>
              <w:t xml:space="preserve">policy</w:t>
            </w:r>
          </w:p>
        </w:tc>
        <w:tc>
          <w:tcPr>
            <w:tcW w:w="3000" w:type="dxa"/>
          </w:tcPr>
          <w:p>
            <w:r>
              <w:t xml:space="preserve">reward</w:t>
            </w:r>
          </w:p>
        </w:tc>
      </w:tr>
      <w:tr>
        <w:tc>
          <w:tcPr>
            <w:tcW w:w="3000" w:type="dxa"/>
          </w:tcPr>
          <w:p>
            <w:r>
              <w:t xml:space="preserve">OPD</w:t>
            </w:r>
          </w:p>
        </w:tc>
        <w:tc>
          <w:tcPr>
            <w:tcW w:w="3000" w:type="dxa"/>
          </w:tcPr>
          <w:p>
            <w:r>
              <w:t xml:space="preserve">policy</w:t>
            </w:r>
          </w:p>
        </w:tc>
        <w:tc>
          <w:tcPr>
            <w:tcW w:w="3000" w:type="dxa"/>
          </w:tcPr>
          <w:p>
            <w:r>
              <w:t xml:space="preserve">teacher logits</w:t>
            </w:r>
          </w:p>
        </w:tc>
      </w:tr>
      <w:tr>
        <w:tc>
          <w:tcPr>
            <w:tcW w:w="3000" w:type="dxa"/>
          </w:tcPr>
          <w:p>
            <w:r>
              <w:t xml:space="preserve">DAgger</w:t>
            </w:r>
          </w:p>
        </w:tc>
        <w:tc>
          <w:tcPr>
            <w:tcW w:w="3000" w:type="dxa"/>
          </w:tcPr>
          <w:p>
            <w:r>
              <w:t xml:space="preserve">learner</w:t>
            </w:r>
          </w:p>
        </w:tc>
        <w:tc>
          <w:tcPr>
            <w:tcW w:w="3000" w:type="dxa"/>
          </w:tcPr>
          <w:p>
            <w:r>
              <w:t xml:space="preserve">expert actions</w:t>
            </w:r>
          </w:p>
        </w:tc>
      </w:tr>
      <w:tr>
        <w:tc>
          <w:tcPr>
            <w:tcW w:w="3000" w:type="dxa"/>
          </w:tcPr>
          <w:p>
            <w:r>
              <w:t xml:space="preserve">Self-play</w:t>
            </w:r>
          </w:p>
        </w:tc>
        <w:tc>
          <w:tcPr>
            <w:tcW w:w="3000" w:type="dxa"/>
          </w:tcPr>
          <w:p>
            <w:r>
              <w:t xml:space="preserve">policy</w:t>
            </w:r>
          </w:p>
        </w:tc>
        <w:tc>
          <w:tcPr>
            <w:tcW w:w="3000" w:type="dxa"/>
          </w:tcPr>
          <w:p>
            <w:r>
              <w:t xml:space="preserve">environment</w:t>
            </w:r>
          </w:p>
        </w:tc>
      </w:tr>
    </w:tbl>
    <w:p>
      <w:pPr>
        <w:pStyle w:val="Caption"/>
      </w:pPr>
      <w:r>
        <w:t xml:space="preserve">Table: Unified view of post-training</w:t>
      </w:r>
    </w:p>
    <w:p>
      <w:pPr>
        <w:pStyle w:val="Heading1"/>
      </w:pPr>
      <w:r>
        <w:t xml:space="preserve">Experimental Design</w:t>
      </w:r>
    </w:p>
    <w:p>
      <w:r>
        <w:t xml:space="preserve">We compare SFT, offline KD, OPD, and RL on target capability improvement, retention, and state drift. State distribution drift is approximated with embedding distribution distance, MMD, discriminator separability, and token-level KL along sampled trajectories.</w:t>
      </w:r>
    </w:p>
    <w:p>
      <w:pPr>
        <w:pStyle w:val="Heading1"/>
      </w:pPr>
      <w:r>
        <w:t xml:space="preserve">Expected Results</w:t>
      </w:r>
    </w:p>
    <w:p>
      <w:r>
        <w:t xml:space="preserve">We expect SFT and offline KD to show larger state drift and forgetting, OPD and RL to retain more capabilities, and forgetting to correlate strongly with state distribution drift.</w:t>
      </w:r>
    </w:p>
    <w:p>
      <w:pPr>
        <w:pStyle w:val="Heading1"/>
      </w:pPr>
      <w:r>
        <w:t xml:space="preserve">Conclusion</w:t>
      </w:r>
    </w:p>
    <w:p>
      <w:r>
        <w:t xml:space="preserve">We propose a state distribution perspective for understanding post-training. The key insight is:</w:t>
      </w:r>
    </w:p>
    <w:p>
      <w:pPr>
        <w:pStyle w:val="Quote"/>
      </w:pPr>
      <w:r>
        <w:t xml:space="preserve">Post-training is not only about predicting tokens, but about shaping which states the model visits.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Subtitle">
    <w:name w:val="Subtitle"/>
    <w:basedOn w:val="Normal"/>
    <w:qFormat/>
    <w:rPr>
      <w:i/>
      <w:sz w:val="22"/>
    </w:rPr>
  </w:style>
  <w:style w:type="paragraph" w:styleId="Heading1">
    <w:name w:val="heading 1"/>
    <w:basedOn w:val="Normal"/>
    <w:qFormat/>
    <w:pPr>
      <w:spacing w:before="360" w:after="120"/>
    </w:pPr>
    <w:rPr>
      <w:b/>
      <w:sz w:val="28"/>
    </w:rPr>
  </w:style>
  <w:style w:type="paragraph" w:styleId="Heading2">
    <w:name w:val="heading 2"/>
    <w:basedOn w:val="Normal"/>
    <w:qFormat/>
    <w:pPr>
      <w:spacing w:before="240" w:after="80"/>
    </w:pPr>
    <w:rPr>
      <w:b/>
      <w:sz w:val="24"/>
    </w:rPr>
  </w:style>
  <w:style w:type="paragraph" w:styleId="ListBullet">
    <w:name w:val="List Bullet"/>
    <w:basedOn w:val="Normal"/>
    <w:qFormat/>
    <w:pPr>
      <w:ind w:left="720" w:hanging="360"/>
    </w:pPr>
  </w:style>
  <w:style w:type="paragraph" w:styleId="Equation">
    <w:name w:val="Equation"/>
    <w:basedOn w:val="Normal"/>
    <w:qFormat/>
    <w:pPr>
      <w:jc w:val="center"/>
      <w:spacing w:before="120" w:after="120"/>
    </w:pPr>
    <w:rPr>
      <w:i/>
    </w:rPr>
  </w:style>
  <w:style w:type="paragraph" w:styleId="Caption">
    <w:name w:val="Caption"/>
    <w:basedOn w:val="Normal"/>
    <w:qFormat/>
    <w:rPr>
      <w:i/>
    </w:rPr>
  </w:style>
  <w:style w:type="paragraph" w:styleId="Quote">
    <w:name w:val="Quote"/>
    <w:basedOn w:val="Normal"/>
    <w:qFormat/>
    <w:pPr>
      <w:ind w:left="720" w:right="720"/>
    </w:pPr>
    <w:rPr>
      <w:i/>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