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GRUPPO IMMOBILIARE RIGHETTO</w:t>
      </w:r>
    </w:p>
    <w:p>
      <w:pPr>
        <w:jc w:val="center"/>
      </w:pPr>
      <w:r>
        <w:rPr>
          <w:rFonts w:ascii="Times New Roman" w:hAnsi="Times New Roman"/>
          <w:b w:val="0"/>
          <w:sz w:val="24"/>
        </w:rPr>
        <w:t>di Capon Gino</w:t>
      </w:r>
    </w:p>
    <w:p>
      <w:pPr>
        <w:jc w:val="center"/>
      </w:pPr>
      <w:r>
        <w:rPr>
          <w:rFonts w:ascii="Times New Roman" w:hAnsi="Times New Roman"/>
          <w:b w:val="0"/>
          <w:sz w:val="22"/>
        </w:rPr>
        <w:t>Via Roma 96 · 35010 Limena (PD)</w:t>
      </w:r>
    </w:p>
    <w:p>
      <w:pPr>
        <w:jc w:val="center"/>
      </w:pPr>
      <w:r>
        <w:rPr>
          <w:rFonts w:ascii="Times New Roman" w:hAnsi="Times New Roman"/>
          <w:b w:val="0"/>
          <w:sz w:val="22"/>
        </w:rPr>
        <w:t>Tel. 049.8843484 · info@righettoimmobiliare.it</w:t>
      </w:r>
    </w:p>
    <w:p/>
    <w:p>
      <w:pPr>
        <w:jc w:val="center"/>
      </w:pPr>
      <w:r>
        <w:rPr>
          <w:rFonts w:ascii="Times New Roman" w:hAnsi="Times New Roman"/>
          <w:b/>
          <w:sz w:val="26"/>
        </w:rPr>
        <w:t>CONFERIMENTO DI INCARICO DI MEDIAZIONE</w:t>
      </w:r>
    </w:p>
    <w:p>
      <w:pPr>
        <w:jc w:val="center"/>
      </w:pPr>
      <w:r>
        <w:rPr>
          <w:rFonts w:ascii="Times New Roman" w:hAnsi="Times New Roman"/>
          <w:b/>
          <w:sz w:val="24"/>
        </w:rPr>
        <w:t>(Vendita — esclusiva)</w:t>
      </w:r>
    </w:p>
    <w:p/>
    <w:p>
      <w:r>
        <w:rPr>
          <w:rFonts w:ascii="Times New Roman" w:hAnsi="Times New Roman"/>
          <w:b w:val="0"/>
          <w:sz w:val="22"/>
        </w:rPr>
        <w:t>La parte sottoscritta:</w:t>
      </w:r>
    </w:p>
    <w:p>
      <w:r>
        <w:rPr>
          <w:rFonts w:ascii="Times New Roman" w:hAnsi="Times New Roman"/>
          <w:b w:val="0"/>
          <w:sz w:val="22"/>
        </w:rPr>
        <w:t>Il sig./la sig.ra [……………………………………………………………………………………], nato/a a [……………………………………………………………………………………] il [……………………………………………………………………………………], C.F. [……………………………………………………………………………………], residente in [……………………………………………………………………………………], n. [……………………………………………………………………………………] ([……………………………………………………………………………………]), identificato/a mediante [……………………………………………………………………………………], n. [……………………………………………………………………………………], rilasciato il [……………………………………………………………………………………] con scadenza [……………………………………………………………………………………], tel. [……………………………………………………………………………………], e-mail [……………………………………………………………………………………],</w:t>
      </w:r>
    </w:p>
    <w:p>
      <w:r>
        <w:rPr>
          <w:rFonts w:ascii="Times New Roman" w:hAnsi="Times New Roman"/>
          <w:b w:val="0"/>
          <w:sz w:val="22"/>
        </w:rPr>
        <w:t>di seguito denominato/a «Venditore»,</w:t>
      </w:r>
    </w:p>
    <w:p>
      <w:r>
        <w:rPr>
          <w:rFonts w:ascii="Times New Roman" w:hAnsi="Times New Roman"/>
          <w:b w:val="0"/>
          <w:sz w:val="22"/>
        </w:rPr>
        <w:t>dichiarando di avere e/o rappresentare l'intera proprietà dell'immobile (o, in caso di comproprietà, di agire con i poteri e le autorizzazioni necessarie per conto di tutti i comproprietari, come da elenco allegato o da atti di provenienza),</w:t>
      </w:r>
    </w:p>
    <w:p>
      <w:r>
        <w:rPr>
          <w:rFonts w:ascii="Times New Roman" w:hAnsi="Times New Roman"/>
          <w:b/>
          <w:sz w:val="22"/>
        </w:rPr>
        <w:t xml:space="preserve">CONFERISCE INCARICO DI MEDIAZIONE IN ESCLUSIVA </w:t>
      </w:r>
      <w:r>
        <w:rPr>
          <w:rFonts w:ascii="Times New Roman" w:hAnsi="Times New Roman"/>
          <w:b w:val="0"/>
          <w:sz w:val="22"/>
        </w:rPr>
        <w:t>all'agenzia immobiliare «GRUPPO IMMOBILIARE RIGHETTO di Capon Gino», di seguito «AI» (Agente Immobiliare), affinché procuri un acquirente per l'immobile sotto descritto, alle condizioni di seguito indicate.</w:t>
      </w:r>
    </w:p>
    <w:p/>
    <w:p>
      <w:pPr>
        <w:pStyle w:val="Heading2"/>
      </w:pPr>
      <w:r>
        <w:t>1) Descrizione immobile / dichiarazioni del Venditore</w:t>
      </w:r>
    </w:p>
    <w:p>
      <w:r>
        <w:rPr>
          <w:rFonts w:ascii="Times New Roman" w:hAnsi="Times New Roman"/>
          <w:b w:val="0"/>
          <w:sz w:val="22"/>
        </w:rPr>
        <w:t>Tipo: [……………………………………………………………………………………]</w:t>
      </w:r>
    </w:p>
    <w:p>
      <w:r>
        <w:rPr>
          <w:rFonts w:ascii="Times New Roman" w:hAnsi="Times New Roman"/>
          <w:b w:val="0"/>
          <w:sz w:val="22"/>
        </w:rPr>
        <w:t>Ubicazione: [……………………………………………………………………………………]</w:t>
      </w:r>
    </w:p>
    <w:p>
      <w:r>
        <w:rPr>
          <w:rFonts w:ascii="Times New Roman" w:hAnsi="Times New Roman"/>
          <w:b w:val="0"/>
          <w:sz w:val="22"/>
        </w:rPr>
        <w:t>Destinazione d'uso: [……………………………………………………………………………………]</w:t>
      </w:r>
    </w:p>
    <w:p>
      <w:r>
        <w:rPr>
          <w:rFonts w:ascii="Times New Roman" w:hAnsi="Times New Roman"/>
          <w:b w:val="0"/>
          <w:sz w:val="22"/>
        </w:rPr>
        <w:t>Descrizione catastale: censito al N.C.E.U. di categoria [……………………………………………………………………………………], comune catastale [……………………………………………………………………………………], sezione [……………………………………………………………………………………], foglio [……………………………………………………………………………………], mappale [……………………………………………………………………………………], subalterno [……………………………………………………………………………………], classe [……………………………………………………………………………………], rendita € [……………………………………………………………………………………], valore catastale € [……………………………………………………………………………………], consistenza [……………………………………………………………………………………].</w:t>
      </w:r>
    </w:p>
    <w:p>
      <w:r>
        <w:rPr>
          <w:rFonts w:ascii="Times New Roman" w:hAnsi="Times New Roman"/>
          <w:b w:val="0"/>
          <w:sz w:val="22"/>
        </w:rPr>
        <w:t>Composizione: [……………………………………………………………………………………]</w:t>
      </w:r>
    </w:p>
    <w:p>
      <w:r>
        <w:rPr>
          <w:rFonts w:ascii="Times New Roman" w:hAnsi="Times New Roman"/>
          <w:b w:val="0"/>
          <w:sz w:val="22"/>
        </w:rPr>
        <w:t>Proprietà intestata a: [……………………………………………………………………………………] (con indicazione delle quote di comproprietà, ove applicabile).</w:t>
      </w:r>
    </w:p>
    <w:p>
      <w:r>
        <w:rPr>
          <w:rFonts w:ascii="Times New Roman" w:hAnsi="Times New Roman"/>
          <w:b w:val="0"/>
          <w:sz w:val="22"/>
        </w:rPr>
        <w:t>Stato dell'immobile: [……………………………………………………………………………………]</w:t>
      </w:r>
    </w:p>
    <w:p>
      <w:r>
        <w:rPr>
          <w:rFonts w:ascii="Times New Roman" w:hAnsi="Times New Roman"/>
          <w:b w:val="0"/>
          <w:sz w:val="22"/>
        </w:rPr>
        <w:t>Vincoli / formalità gravanti: [……………………………………………………………………………………]</w:t>
      </w:r>
    </w:p>
    <w:p>
      <w:r>
        <w:rPr>
          <w:rFonts w:ascii="Times New Roman" w:hAnsi="Times New Roman"/>
          <w:b w:val="0"/>
          <w:sz w:val="22"/>
        </w:rPr>
        <w:t>Atto di provenienza: [……………………………………………………………………………………]</w:t>
      </w:r>
    </w:p>
    <w:p>
      <w:r>
        <w:rPr>
          <w:rFonts w:ascii="Times New Roman" w:hAnsi="Times New Roman"/>
          <w:b w:val="0"/>
          <w:sz w:val="22"/>
        </w:rPr>
        <w:t>ACE/APE, licenza di costruzione, abitabilità, condoni, allineamento catastale: [……………………………………………………………………………………]</w:t>
      </w:r>
    </w:p>
    <w:p>
      <w:r>
        <w:rPr>
          <w:rFonts w:ascii="Times New Roman" w:hAnsi="Times New Roman"/>
          <w:b w:val="0"/>
          <w:sz w:val="22"/>
        </w:rPr>
        <w:t>Spese condominiali: [……………………………………………………………………………………]</w:t>
      </w:r>
    </w:p>
    <w:p>
      <w:pPr>
        <w:pStyle w:val="Heading2"/>
      </w:pPr>
      <w:r>
        <w:t>2) Prezzo richiesto</w:t>
      </w:r>
    </w:p>
    <w:p>
      <w:r>
        <w:rPr>
          <w:rFonts w:ascii="Times New Roman" w:hAnsi="Times New Roman"/>
          <w:b w:val="0"/>
          <w:sz w:val="22"/>
        </w:rPr>
        <w:t>€ [……………………………………………………………………………………] ([……………………………………………………………………………………])</w:t>
      </w:r>
    </w:p>
    <w:p>
      <w:r>
        <w:rPr>
          <w:rFonts w:ascii="Times New Roman" w:hAnsi="Times New Roman"/>
          <w:b w:val="0"/>
          <w:sz w:val="22"/>
        </w:rPr>
        <w:t>Il saldo prezzo dovrà essere interamente corrisposto al più tardi al momento del rogito notarile.</w:t>
      </w:r>
    </w:p>
    <w:p>
      <w:pPr>
        <w:pStyle w:val="Heading2"/>
      </w:pPr>
      <w:r>
        <w:t>3) Compenso di mediazione</w:t>
      </w:r>
    </w:p>
    <w:p>
      <w:r>
        <w:rPr>
          <w:rFonts w:ascii="Times New Roman" w:hAnsi="Times New Roman"/>
          <w:b w:val="0"/>
          <w:sz w:val="22"/>
        </w:rPr>
        <w:t>Si riconosce all'AI la provvigione pari al 3% (tre percento) più IVA sul prezzo effettivo di vendita, calcolata sul prezzo di perfezionamento dell'affare.</w:t>
      </w:r>
    </w:p>
    <w:p>
      <w:r>
        <w:rPr>
          <w:rFonts w:ascii="Times New Roman" w:hAnsi="Times New Roman"/>
          <w:b/>
          <w:sz w:val="22"/>
        </w:rPr>
        <w:t xml:space="preserve">3.1 — Corresponsabilità pro quota. </w:t>
      </w:r>
      <w:r>
        <w:rPr>
          <w:rFonts w:ascii="Times New Roman" w:hAnsi="Times New Roman"/>
          <w:b w:val="0"/>
          <w:sz w:val="22"/>
        </w:rPr>
        <w:t>Il compenso di mediazione è dovuto dai comproprietari pro quota, in misura corrispondente alla rispettiva quota di proprietà risultante da atti o da elenco allegato, salvo diverso accordo scritto tra le parti e l'AI.</w:t>
      </w:r>
    </w:p>
    <w:p>
      <w:r>
        <w:rPr>
          <w:rFonts w:ascii="Times New Roman" w:hAnsi="Times New Roman"/>
          <w:b/>
          <w:sz w:val="22"/>
        </w:rPr>
        <w:t xml:space="preserve">3.2 — Maturazione. </w:t>
      </w:r>
      <w:r>
        <w:rPr>
          <w:rFonts w:ascii="Times New Roman" w:hAnsi="Times New Roman"/>
          <w:b w:val="0"/>
          <w:sz w:val="22"/>
        </w:rPr>
        <w:t>Tale compenso maturerà e dovrà essere corrisposto al momento dell'avvenuta conoscenza da parte dell'acquirente dell'accettazione della proposta di acquisto.</w:t>
      </w:r>
    </w:p>
    <w:p>
      <w:r>
        <w:rPr>
          <w:rFonts w:ascii="Times New Roman" w:hAnsi="Times New Roman"/>
          <w:b/>
          <w:sz w:val="22"/>
        </w:rPr>
        <w:t xml:space="preserve">3.3 — Perfezionamento dell'affare. </w:t>
      </w:r>
      <w:r>
        <w:rPr>
          <w:rFonts w:ascii="Times New Roman" w:hAnsi="Times New Roman"/>
          <w:b w:val="0"/>
          <w:sz w:val="22"/>
        </w:rPr>
        <w:t>Il compenso sarà in ogni caso dovuto in tutti i casi in cui la vendita si perfezioni per effetto dell'intervento dell'AI e, quindi, a titolo esemplificativo e non esaustivo, anche nel caso in cui la vendita si effettui dopo la scadenza dell'incarico ma con soggetti contattati dall'AI, ovvero quando il proponente l'acquisto sostituisca a sé altri soggetti in sede di rogito definitivo.</w:t>
      </w:r>
    </w:p>
    <w:p>
      <w:r>
        <w:rPr>
          <w:rFonts w:ascii="Times New Roman" w:hAnsi="Times New Roman"/>
          <w:b/>
          <w:sz w:val="22"/>
        </w:rPr>
        <w:t xml:space="preserve">3.4 — Rifiuto al rogito e variazioni sostanziali (comproprietà). </w:t>
      </w:r>
      <w:r>
        <w:rPr>
          <w:rFonts w:ascii="Times New Roman" w:hAnsi="Times New Roman"/>
          <w:b w:val="0"/>
          <w:sz w:val="22"/>
        </w:rPr>
        <w:t>Qualora, accettata una proposta d'acquisto conforme al presente incarico e alle condizioni economiche in essa indicate, uno o più comproprietari si rifiutino, senza giustificato motivo, di procedere al rogito notarile, ovvero si rifiutino per variazioni sostanziali degli accordi già conclusi o per modifiche del prezzo pattuito nella proposta accettata, il comproprietario il cui comportamento abbia determinato il mancato perfezionamento dell'affare resterà tenuto, per intero, al pagamento del compenso di mediazione dovuto all'AI, ferma restando per il resto l'applicazione delle norme di legge in materia di solidarietà tra contraenti.</w:t>
      </w:r>
    </w:p>
    <w:p>
      <w:r>
        <w:rPr>
          <w:rFonts w:ascii="Times New Roman" w:hAnsi="Times New Roman"/>
          <w:b w:val="0"/>
          <w:sz w:val="22"/>
        </w:rPr>
        <w:t>Per «giustificato motivo» si intende, a titolo esemplificativo, l'impossibilità oggettiva di trasferire per vincoli giurisdizionali non imputabili al Venditore, ovvero cause di forza maggiore debitamente documentate; non costituiscono giustificato motivo il mero ripensamento, la richiesta di prezzi superiori a quelli già accettati nella proposta vincolante, o la modifica unilaterale delle condizioni già pattuite.</w:t>
      </w:r>
    </w:p>
    <w:p>
      <w:pPr>
        <w:pStyle w:val="Heading2"/>
      </w:pPr>
      <w:r>
        <w:t>4) Durata dell'incarico</w:t>
      </w:r>
    </w:p>
    <w:p>
      <w:r>
        <w:rPr>
          <w:rFonts w:ascii="Times New Roman" w:hAnsi="Times New Roman"/>
          <w:b w:val="0"/>
          <w:sz w:val="22"/>
        </w:rPr>
        <w:t>Dal [……………………………………………………………………………………] al [……………………………………………………………………………………].</w:t>
      </w:r>
    </w:p>
    <w:p>
      <w:r>
        <w:rPr>
          <w:rFonts w:ascii="Times New Roman" w:hAnsi="Times New Roman"/>
          <w:b w:val="0"/>
          <w:sz w:val="22"/>
        </w:rPr>
        <w:t>Per tale periodo l'incarico è irrevocabile. Il presente incarico si rinnoverà tacitamente, per una sola volta, per uguale periodo, salvo disdetta da parte di uno dei contraenti da comunicarsi a mezzo raccomandata A/R, fax, e-mail o PEC entro quindici giorni dalla scadenza dell'incarico.</w:t>
      </w:r>
    </w:p>
    <w:p>
      <w:pPr>
        <w:pStyle w:val="Heading2"/>
      </w:pPr>
      <w:r>
        <w:t>5) Proposta d'acquisto</w:t>
      </w:r>
    </w:p>
    <w:p>
      <w:r>
        <w:rPr>
          <w:rFonts w:ascii="Times New Roman" w:hAnsi="Times New Roman"/>
          <w:b w:val="0"/>
          <w:sz w:val="22"/>
        </w:rPr>
        <w:t>L'AI è autorizzata a raccogliere proposte d'acquisto da aspiranti acquirenti, nonché a trattenere a titolo di deposito infruttifero assegni intestati alla parte venditrice, e a restituire i medesimi assegni in caso di mancata conclusione dell'affare per cause non imputabili all'acquirente proponente.</w:t>
      </w:r>
    </w:p>
    <w:p>
      <w:pPr>
        <w:pStyle w:val="Heading2"/>
      </w:pPr>
      <w:r>
        <w:t>6) Esclusiva</w:t>
      </w:r>
    </w:p>
    <w:p>
      <w:r>
        <w:rPr>
          <w:rFonts w:ascii="Times New Roman" w:hAnsi="Times New Roman"/>
          <w:b w:val="0"/>
          <w:sz w:val="22"/>
        </w:rPr>
        <w:t>L'incarico viene conferito in esclusiva, con divieto di conferire a terzi analogo incarico per tutta la durata dello stesso e impegno a vendere l'immobile soltanto a soggetti messi in relazione dall'AI.</w:t>
      </w:r>
    </w:p>
    <w:p>
      <w:r>
        <w:rPr>
          <w:rFonts w:ascii="Times New Roman" w:hAnsi="Times New Roman"/>
          <w:b w:val="0"/>
          <w:sz w:val="22"/>
        </w:rPr>
        <w:t>La violazione dell'obbligo di esclusiva, sia nel caso di conferimento di incarico ad altra agenzia sia per il caso di vendita diretta, comporterà il pagamento da parte del Venditore della somma prevista a titolo di penale nel successivo art. 7.</w:t>
      </w:r>
    </w:p>
    <w:p>
      <w:r>
        <w:rPr>
          <w:rFonts w:ascii="Times New Roman" w:hAnsi="Times New Roman"/>
          <w:b w:val="0"/>
          <w:sz w:val="22"/>
        </w:rPr>
        <w:t>In conseguenza dell'esclusività e dell'irrevocabilità dell'incarico, l'AI si impegna, con la propria organizzazione aziendale, alla promozione della vendita dell'immobile, accollandosi le relative spese di promozione ordinarie e rinunciando al relativo rimborso, salvo diversa pattuizione scritta.</w:t>
      </w:r>
    </w:p>
    <w:p>
      <w:pPr>
        <w:pStyle w:val="Heading2"/>
      </w:pPr>
      <w:r>
        <w:t>7) Clausola penale</w:t>
      </w:r>
    </w:p>
    <w:p>
      <w:r>
        <w:rPr>
          <w:rFonts w:ascii="Times New Roman" w:hAnsi="Times New Roman"/>
          <w:b w:val="0"/>
          <w:sz w:val="22"/>
        </w:rPr>
        <w:t>A seguito di specifica trattativa individuale, viene pattuita una penale pari al 100% (cento per cento) della provvigione pattuita, a carico del Venditore e a favore dell'AI, nei seguenti casi:</w:t>
      </w:r>
    </w:p>
    <w:p>
      <w:pPr>
        <w:pStyle w:val="ListBullet"/>
      </w:pPr>
      <w:r>
        <w:rPr>
          <w:rFonts w:ascii="Times New Roman" w:hAnsi="Times New Roman"/>
          <w:sz w:val="22"/>
        </w:rPr>
        <w:t>impedimento a far visionare l'immobile a possibili acquirenti, anche nei termini di cui all'art. 8, comma «Visite e accesso»;</w:t>
      </w:r>
    </w:p>
    <w:p>
      <w:pPr>
        <w:pStyle w:val="ListBullet"/>
      </w:pPr>
      <w:r>
        <w:rPr>
          <w:rFonts w:ascii="Times New Roman" w:hAnsi="Times New Roman"/>
          <w:sz w:val="22"/>
        </w:rPr>
        <w:t>mancata conclusione dell'affare per errate o omessi indicazioni relative allo stato dell'immobile (gravami, irregolarità urbanistiche, vincoli non dichiarati, ipoteche o pignoramenti non comunicati ai sensi dell'art. 8);</w:t>
      </w:r>
    </w:p>
    <w:p>
      <w:pPr>
        <w:pStyle w:val="ListBullet"/>
      </w:pPr>
      <w:r>
        <w:rPr>
          <w:rFonts w:ascii="Times New Roman" w:hAnsi="Times New Roman"/>
          <w:sz w:val="22"/>
        </w:rPr>
        <w:t>vendita diretta dell'immobile o comunque senza l'ausilio dell'AI, in violazione dell'esclusiva;</w:t>
      </w:r>
    </w:p>
    <w:p>
      <w:pPr>
        <w:pStyle w:val="ListBullet"/>
      </w:pPr>
      <w:r>
        <w:rPr>
          <w:rFonts w:ascii="Times New Roman" w:hAnsi="Times New Roman"/>
          <w:sz w:val="22"/>
        </w:rPr>
        <w:t>rifiuto al rogito o mancato perfezionamento dell'affare imputabile a uno o più comproprietari nei casi di cui all'art. 3, comma 3.4, con obbligo del comproprietario inadempiente di corrispondere per intero il compenso di mediazione maturato;</w:t>
      </w:r>
    </w:p>
    <w:p>
      <w:pPr>
        <w:pStyle w:val="ListBullet"/>
      </w:pPr>
      <w:r>
        <w:rPr>
          <w:rFonts w:ascii="Times New Roman" w:hAnsi="Times New Roman"/>
          <w:sz w:val="22"/>
        </w:rPr>
        <w:t>rifiuto del Venditore di accettare una proposta di acquisto conforme al presente incarico e al prezzo richiesto, salvo giustificato motivo documentato.</w:t>
      </w:r>
    </w:p>
    <w:p>
      <w:r>
        <w:rPr>
          <w:rFonts w:ascii="Times New Roman" w:hAnsi="Times New Roman"/>
          <w:b w:val="0"/>
          <w:sz w:val="22"/>
        </w:rPr>
        <w:t>Viene pattuita una penale pari alla somma pattuita a titolo di provvigione, a carico dell'AI e a favore del Venditore, nei seguenti casi:</w:t>
      </w:r>
    </w:p>
    <w:p>
      <w:pPr>
        <w:pStyle w:val="ListBullet"/>
      </w:pPr>
      <w:r>
        <w:rPr>
          <w:rFonts w:ascii="Times New Roman" w:hAnsi="Times New Roman"/>
          <w:sz w:val="22"/>
        </w:rPr>
        <w:t>rinuncia anticipata dell'incarico da parte dell'AI rispetto alla sua naturale scadenza, senza giustificato motivo;</w:t>
      </w:r>
    </w:p>
    <w:p>
      <w:pPr>
        <w:pStyle w:val="ListBullet"/>
      </w:pPr>
      <w:r>
        <w:rPr>
          <w:rFonts w:ascii="Times New Roman" w:hAnsi="Times New Roman"/>
          <w:sz w:val="22"/>
        </w:rPr>
        <w:t>mancata comunicazione al Venditore di proposte di acquisto conformi al presente incarico entro un termine ragionevole dalla loro ricezione.</w:t>
      </w:r>
    </w:p>
    <w:p>
      <w:pPr>
        <w:pStyle w:val="Heading2"/>
      </w:pPr>
      <w:r>
        <w:t>8) Modalità operative</w:t>
      </w:r>
    </w:p>
    <w:p>
      <w:r>
        <w:rPr>
          <w:rFonts w:ascii="Times New Roman" w:hAnsi="Times New Roman"/>
          <w:b/>
          <w:sz w:val="22"/>
        </w:rPr>
        <w:t xml:space="preserve">Visite e pubblicità. </w:t>
      </w:r>
      <w:r>
        <w:rPr>
          <w:rFonts w:ascii="Times New Roman" w:hAnsi="Times New Roman"/>
          <w:b w:val="0"/>
          <w:sz w:val="22"/>
        </w:rPr>
        <w:t>Si autorizza l'AI a far visionare l'immobile a terzi e a compiere ogni forma di pubblicità ritenuta idonea all'espletamento dell'incarico, ivi compresa l'esposizione in loco di cartelli promozionali, annunci su portali e quotidiani, strumenti informatici, banche dati e collaborazioni con colleghi.</w:t>
      </w:r>
    </w:p>
    <w:p>
      <w:r>
        <w:rPr>
          <w:rFonts w:ascii="Times New Roman" w:hAnsi="Times New Roman"/>
          <w:b/>
          <w:sz w:val="22"/>
        </w:rPr>
        <w:t xml:space="preserve">Visite e accesso — giorno settimanale. </w:t>
      </w:r>
      <w:r>
        <w:rPr>
          <w:rFonts w:ascii="Times New Roman" w:hAnsi="Times New Roman"/>
          <w:b w:val="0"/>
          <w:sz w:val="22"/>
        </w:rPr>
        <w:t>Dalla sottoscrizione del presente contratto, il Venditore riconosce all'AI la facoltà di organizzare sopralluoghi con potenziali acquirenti per almeno un giorno alla settimana, in fasce orarie concordate con ragionevole preavviso. Qualora uno o più comproprietari risiedano nell'immobile, essi conferiscono all'AI mandato operativo per la gestione degli accessi e si obbligano a concordare modalità e orari che consentano le visite. Il comproprietario residente che, senza giustificato motivo, renda impossibile o ostacoli in modo reiterato i sopralluoghi risponde di inadempimento contrattuale, con applicazione di quanto previsto agli artt. 7, lett. a), e 3, ove compatibile.</w:t>
      </w:r>
    </w:p>
    <w:p>
      <w:r>
        <w:rPr>
          <w:rFonts w:ascii="Times New Roman" w:hAnsi="Times New Roman"/>
          <w:b/>
          <w:sz w:val="22"/>
        </w:rPr>
        <w:t xml:space="preserve">Disponibilità, regolarità urbanistica e gravami. </w:t>
      </w:r>
      <w:r>
        <w:rPr>
          <w:rFonts w:ascii="Times New Roman" w:hAnsi="Times New Roman"/>
          <w:b w:val="0"/>
          <w:sz w:val="22"/>
        </w:rPr>
        <w:t>Si dichiara di avere la piena disponibilità dell'immobile e che lo stesso è conforme alla normativa urbanistica ed edilizia vigente, con impianti a norma di legge e munito di APE ove obbligatorio, con impegno a fornire tempestivamente la documentazione necessaria.</w:t>
      </w:r>
    </w:p>
    <w:p>
      <w:r>
        <w:rPr>
          <w:rFonts w:ascii="Times New Roman" w:hAnsi="Times New Roman"/>
          <w:b/>
          <w:sz w:val="22"/>
        </w:rPr>
        <w:t xml:space="preserve">Comunicazione di ipoteche e formalità pregiudizievoli. </w:t>
      </w:r>
      <w:r>
        <w:rPr>
          <w:rFonts w:ascii="Times New Roman" w:hAnsi="Times New Roman"/>
          <w:b w:val="0"/>
          <w:sz w:val="22"/>
        </w:rPr>
        <w:t>Ciascun comproprietario si obbliga a comunicare tempestivamente all'AI l'esistenza di ipoteche, pignoramenti, trascrizioni pregiudizievoli o altre formalità gravanti sulla propria quota di proprietà, al fine di consentire all'AI di informare l'acquirente e di gestire le pratiche utili alla definizione dell'affare (a titolo esemplificativo: coordinamento con l'istituto di credito per la liquidazione o il contemperamento della pendenza). L'omissione dolosa o colposamente negligente di tali circostanze potrà integrare le fattispecie di cui agli artt. 3 e 7.</w:t>
      </w:r>
    </w:p>
    <w:p>
      <w:r>
        <w:rPr>
          <w:rFonts w:ascii="Times New Roman" w:hAnsi="Times New Roman"/>
          <w:b/>
          <w:sz w:val="22"/>
        </w:rPr>
        <w:t xml:space="preserve">Stato dell'immobile alla vendita. </w:t>
      </w:r>
      <w:r>
        <w:rPr>
          <w:rFonts w:ascii="Times New Roman" w:hAnsi="Times New Roman"/>
          <w:b w:val="0"/>
          <w:sz w:val="22"/>
        </w:rPr>
        <w:t>Si garantisce che l'immobile verrà trasferito al rogito libero da oneri e trascrizioni pregiudizievoli non dichiarate, salvo quelli espressamente accettati per iscritto dall'acquirente, e comunque regolarizzato sotto il profilo urbanistico-catastale nei limiti concordati con l'AI e documentati agli atti.</w:t>
      </w:r>
    </w:p>
    <w:p>
      <w:pPr>
        <w:pStyle w:val="Heading2"/>
      </w:pPr>
      <w:r>
        <w:t>9) Doveri del mediatore</w:t>
      </w:r>
    </w:p>
    <w:p>
      <w:r>
        <w:rPr>
          <w:rFonts w:ascii="Times New Roman" w:hAnsi="Times New Roman"/>
          <w:b w:val="0"/>
          <w:sz w:val="22"/>
        </w:rPr>
        <w:t>L'AI, attraverso la propria organizzazione, si impegna ad assistere le parti dal conferimento dell'incarico fino al rogito notarile di vendita e, considerata l'esclusività e la durata pattuita, si assume il carico delle spese promozionali ordinarie attive a promuovere la vendita, svolgendo l'incarico con professionalità e diligenza (art. 1754 c.c.).</w:t>
      </w:r>
    </w:p>
    <w:p>
      <w:pPr>
        <w:pStyle w:val="Heading2"/>
      </w:pPr>
      <w:r>
        <w:t>10) Privacy e formalità obbligatorie</w:t>
      </w:r>
    </w:p>
    <w:p>
      <w:r>
        <w:rPr>
          <w:rFonts w:ascii="Times New Roman" w:hAnsi="Times New Roman"/>
          <w:b w:val="0"/>
          <w:sz w:val="22"/>
        </w:rPr>
        <w:t>Il Venditore dichiara, ai sensi dell'art. 13 del Regolamento UE 2016/679 e del D.lgs. 196/2003, di essere stato informato che i dati personali raccolti saranno trattati ai fini dell'espletamento del presente incarico. Presto / non presto (barrare) assenso al trattamento per finalità ulteriori rispetto all'esecuzione contrattuale.</w:t>
      </w:r>
    </w:p>
    <w:p>
      <w:r>
        <w:rPr>
          <w:rFonts w:ascii="Times New Roman" w:hAnsi="Times New Roman"/>
          <w:b w:val="0"/>
          <w:sz w:val="22"/>
        </w:rPr>
        <w:t>Si dichiara di essere edotti delle norme antiriciclaggio (D.lgs. 231/2007 e s.m.i.) e dell'obbligo di fornire al mediatore la documentazione necessaria per la registrazione degli atti negoziali nei termini di legge.</w:t>
      </w:r>
    </w:p>
    <w:p>
      <w:pPr>
        <w:pStyle w:val="Heading2"/>
      </w:pPr>
      <w:r>
        <w:t>11) Clausole vessatorie</w:t>
      </w:r>
    </w:p>
    <w:p>
      <w:r>
        <w:rPr>
          <w:rFonts w:ascii="Times New Roman" w:hAnsi="Times New Roman"/>
          <w:b w:val="0"/>
          <w:sz w:val="22"/>
        </w:rPr>
        <w:t>A mente del Codice del Consumo (D.lgs. 206/2005), le parti dichiarano che le clausole del presente contratto sono state illustrate e oggetto di specifica trattativa individuale, in particolare quelle relative all'esclusiva, al compenso pro quota, al rifiuto al rogito di cui all'art. 3, alle visite settimanali, alla comunicazione di gravami e alle penali di cui all'art. 7, la cui approvazione è espressa in piena coscienza.</w:t>
      </w:r>
    </w:p>
    <w:p>
      <w:r>
        <w:rPr>
          <w:rFonts w:ascii="Times New Roman" w:hAnsi="Times New Roman"/>
          <w:b w:val="0"/>
          <w:sz w:val="22"/>
        </w:rPr>
        <w:t>Ai sensi degli artt. 1341 e 1342 c.c., le parti approvano specificamente i patti di cui agli artt. 3, 4, 6, 7, 8, 10 e 11.</w:t>
      </w:r>
    </w:p>
    <w:p>
      <w:r>
        <w:br w:type="page"/>
      </w:r>
    </w:p>
    <w:p>
      <w:r>
        <w:rPr>
          <w:rFonts w:ascii="Times New Roman" w:hAnsi="Times New Roman"/>
          <w:b w:val="0"/>
          <w:sz w:val="22"/>
        </w:rPr>
        <w:t>Limena, lì [……………………………………………………………………………………]</w:t>
      </w:r>
    </w:p>
    <w:p/>
    <w:p>
      <w:r>
        <w:rPr>
          <w:rFonts w:ascii="Times New Roman" w:hAnsi="Times New Roman"/>
          <w:b/>
          <w:sz w:val="22"/>
        </w:rPr>
        <w:t>Firma/e del Venditore</w:t>
      </w:r>
    </w:p>
    <w:p>
      <w:r>
        <w:rPr>
          <w:rFonts w:ascii="Times New Roman" w:hAnsi="Times New Roman"/>
          <w:b w:val="0"/>
          <w:sz w:val="22"/>
        </w:rPr>
        <w:t>_________________________________________________________</w:t>
      </w:r>
    </w:p>
    <w:p/>
    <w:p>
      <w:r>
        <w:rPr>
          <w:rFonts w:ascii="Times New Roman" w:hAnsi="Times New Roman"/>
          <w:b/>
          <w:sz w:val="22"/>
        </w:rPr>
        <w:t>Firma del mediatore per accettazione dell'incarico</w:t>
      </w:r>
    </w:p>
    <w:p>
      <w:r>
        <w:rPr>
          <w:rFonts w:ascii="Times New Roman" w:hAnsi="Times New Roman"/>
          <w:b w:val="0"/>
          <w:sz w:val="22"/>
        </w:rPr>
        <w:t>Gruppo Immobiliare Righetto di Capon Gino</w:t>
      </w:r>
    </w:p>
    <w:p>
      <w:r>
        <w:rPr>
          <w:rFonts w:ascii="Times New Roman" w:hAnsi="Times New Roman"/>
          <w:b w:val="0"/>
          <w:sz w:val="22"/>
        </w:rPr>
        <w:t>_________________________________________________________</w:t>
      </w:r>
    </w:p>
    <w:p/>
    <w:p>
      <w:r>
        <w:rPr>
          <w:rFonts w:ascii="Times New Roman" w:hAnsi="Times New Roman"/>
          <w:b w:val="0"/>
          <w:sz w:val="22"/>
        </w:rPr>
        <w:t>Limena, lì [……………………………………………………………………………………]</w:t>
      </w:r>
    </w:p>
    <w:p/>
    <w:p>
      <w:r>
        <w:rPr>
          <w:rFonts w:ascii="Times New Roman" w:hAnsi="Times New Roman"/>
          <w:b w:val="0"/>
          <w:sz w:val="22"/>
        </w:rPr>
        <w:t>A mente dell'art. 1341-1342 del Codice civile, le parti specificamente approvano i patti di cui agli articoli 3, 4, 6, 7, 8, 10 e 11 del presente contratto.</w:t>
      </w:r>
    </w:p>
    <w:p/>
    <w:p>
      <w:r>
        <w:rPr>
          <w:rFonts w:ascii="Times New Roman" w:hAnsi="Times New Roman"/>
          <w:b/>
          <w:sz w:val="22"/>
        </w:rPr>
        <w:t>Firma/e del Venditore</w:t>
      </w:r>
    </w:p>
    <w:p>
      <w:r>
        <w:rPr>
          <w:rFonts w:ascii="Times New Roman" w:hAnsi="Times New Roman"/>
          <w:b w:val="0"/>
          <w:sz w:val="22"/>
        </w:rPr>
        <w:t>_________________________________________________________</w:t>
      </w:r>
    </w:p>
    <w:p/>
    <w:p>
      <w:r>
        <w:rPr>
          <w:rFonts w:ascii="Times New Roman" w:hAnsi="Times New Roman"/>
          <w:b/>
          <w:sz w:val="22"/>
        </w:rPr>
        <w:t>Firma del mediatore per accettazione dell'incarico</w:t>
      </w:r>
    </w:p>
    <w:p>
      <w:r>
        <w:rPr>
          <w:rFonts w:ascii="Times New Roman" w:hAnsi="Times New Roman"/>
          <w:b w:val="0"/>
          <w:sz w:val="22"/>
        </w:rPr>
        <w:t>Gruppo Immobiliare Righetto di Capon Gino</w:t>
      </w:r>
    </w:p>
    <w:p>
      <w:r>
        <w:rPr>
          <w:rFonts w:ascii="Times New Roman" w:hAnsi="Times New Roman"/>
          <w:b w:val="0"/>
          <w:sz w:val="22"/>
        </w:rPr>
        <w:t>_________________________________________________________</w:t>
      </w:r>
    </w:p>
    <w:p/>
    <w:p>
      <w:r>
        <w:rPr>
          <w:rFonts w:ascii="Times New Roman" w:hAnsi="Times New Roman"/>
          <w:b w:val="0"/>
          <w:sz w:val="22"/>
        </w:rPr>
        <w:t>Il presente formulario è stato depositato/approvato presso la competente CCIAA di Padova.</w:t>
      </w:r>
    </w:p>
    <w:p>
      <w:r>
        <w:rPr>
          <w:rFonts w:ascii="Times New Roman" w:hAnsi="Times New Roman"/>
          <w:b w:val="0"/>
          <w:sz w:val="22"/>
        </w:rPr>
        <w:t>Il presente incarico è stato sottoscritto presso i locali dell'AI.</w:t>
      </w:r>
    </w:p>
    <w:p/>
    <w:p>
      <w:r>
        <w:br w:type="page"/>
      </w:r>
    </w:p>
    <w:p>
      <w:pPr>
        <w:pStyle w:val="Heading1"/>
      </w:pPr>
      <w:r>
        <w:t>Allegato A — Elenco comproprietari e quote</w:t>
      </w:r>
    </w:p>
    <w:p>
      <w:r>
        <w:rPr>
          <w:rFonts w:ascii="Times New Roman" w:hAnsi="Times New Roman"/>
          <w:b w:val="0"/>
          <w:sz w:val="22"/>
        </w:rPr>
        <w:t>Immobile: [……………………………………………………………………………………]</w:t>
      </w:r>
    </w:p>
    <w:p>
      <w:r>
        <w:rPr>
          <w:rFonts w:ascii="Times New Roman" w:hAnsi="Times New Roman"/>
          <w:b w:val="0"/>
          <w:sz w:val="22"/>
        </w:rPr>
        <w:t>Indirizzo: [……………………………………………………………………………………]</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N.</w:t>
            </w:r>
          </w:p>
        </w:tc>
        <w:tc>
          <w:tcPr>
            <w:tcW w:type="dxa" w:w="2351"/>
          </w:tcPr>
          <w:p>
            <w:r>
              <w:t>Nome e cognome</w:t>
            </w:r>
          </w:p>
        </w:tc>
        <w:tc>
          <w:tcPr>
            <w:tcW w:type="dxa" w:w="2351"/>
          </w:tcPr>
          <w:p>
            <w:r>
              <w:t>Quota %</w:t>
            </w:r>
          </w:p>
        </w:tc>
        <w:tc>
          <w:tcPr>
            <w:tcW w:type="dxa" w:w="2351"/>
          </w:tcPr>
          <w:p>
            <w:r>
              <w:t>Firma</w:t>
            </w:r>
          </w:p>
        </w:tc>
      </w:tr>
      <w:tr>
        <w:tc>
          <w:tcPr>
            <w:tcW w:type="dxa" w:w="2351"/>
          </w:tcPr>
          <w:p>
            <w:r>
              <w:t>1</w:t>
            </w:r>
          </w:p>
        </w:tc>
        <w:tc>
          <w:tcPr>
            <w:tcW w:type="dxa" w:w="2351"/>
          </w:tcPr>
          <w:p>
            <w:r/>
          </w:p>
        </w:tc>
        <w:tc>
          <w:tcPr>
            <w:tcW w:type="dxa" w:w="2351"/>
          </w:tcPr>
          <w:p>
            <w:r/>
          </w:p>
        </w:tc>
        <w:tc>
          <w:tcPr>
            <w:tcW w:type="dxa" w:w="2351"/>
          </w:tcPr>
          <w:p>
            <w:r/>
          </w:p>
        </w:tc>
      </w:tr>
      <w:tr>
        <w:tc>
          <w:tcPr>
            <w:tcW w:type="dxa" w:w="2351"/>
          </w:tcPr>
          <w:p>
            <w:r>
              <w:t>2</w:t>
            </w:r>
          </w:p>
        </w:tc>
        <w:tc>
          <w:tcPr>
            <w:tcW w:type="dxa" w:w="2351"/>
          </w:tcPr>
          <w:p>
            <w:r/>
          </w:p>
        </w:tc>
        <w:tc>
          <w:tcPr>
            <w:tcW w:type="dxa" w:w="2351"/>
          </w:tcPr>
          <w:p>
            <w:r/>
          </w:p>
        </w:tc>
        <w:tc>
          <w:tcPr>
            <w:tcW w:type="dxa" w:w="2351"/>
          </w:tcPr>
          <w:p>
            <w:r/>
          </w:p>
        </w:tc>
      </w:tr>
      <w:tr>
        <w:tc>
          <w:tcPr>
            <w:tcW w:type="dxa" w:w="2351"/>
          </w:tcPr>
          <w:p>
            <w:r>
              <w:t>3</w:t>
            </w:r>
          </w:p>
        </w:tc>
        <w:tc>
          <w:tcPr>
            <w:tcW w:type="dxa" w:w="2351"/>
          </w:tcPr>
          <w:p>
            <w:r/>
          </w:p>
        </w:tc>
        <w:tc>
          <w:tcPr>
            <w:tcW w:type="dxa" w:w="2351"/>
          </w:tcPr>
          <w:p>
            <w:r/>
          </w:p>
        </w:tc>
        <w:tc>
          <w:tcPr>
            <w:tcW w:type="dxa" w:w="2351"/>
          </w:tcPr>
          <w:p>
            <w:r/>
          </w:p>
        </w:tc>
      </w:tr>
      <w:tr>
        <w:tc>
          <w:tcPr>
            <w:tcW w:type="dxa" w:w="2351"/>
          </w:tcPr>
          <w:p>
            <w:r>
              <w:t>4</w:t>
            </w:r>
          </w:p>
        </w:tc>
        <w:tc>
          <w:tcPr>
            <w:tcW w:type="dxa" w:w="2351"/>
          </w:tcPr>
          <w:p>
            <w:r/>
          </w:p>
        </w:tc>
        <w:tc>
          <w:tcPr>
            <w:tcW w:type="dxa" w:w="2351"/>
          </w:tcPr>
          <w:p>
            <w:r/>
          </w:p>
        </w:tc>
        <w:tc>
          <w:tcPr>
            <w:tcW w:type="dxa" w:w="2351"/>
          </w:tcPr>
          <w:p>
            <w:r/>
          </w:p>
        </w:tc>
      </w:tr>
    </w:tbl>
    <w:p/>
    <w:p>
      <w:r>
        <w:rPr>
          <w:rFonts w:ascii="Times New Roman" w:hAnsi="Times New Roman"/>
          <w:b w:val="0"/>
          <w:sz w:val="22"/>
        </w:rPr>
        <w:t>Modello interno Righetto Immobiliare — revisione 17/07/2026. Documento di lavoro: verificare con consulenza legale/notarile prima dell'uso operativo. Deposito CCIAA Padova.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5243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524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5243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