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/>
          <w:b/>
          <w:sz w:val="26"/>
        </w:rPr>
        <w:t>GRUPPO IMMOBILIARE RIGHETTO</w:t>
      </w:r>
    </w:p>
    <w:p>
      <w:pPr>
        <w:jc w:val="center"/>
      </w:pPr>
      <w:r>
        <w:rPr>
          <w:rFonts w:ascii="Times New Roman" w:hAnsi="Times New Roman"/>
          <w:b/>
          <w:sz w:val="24"/>
        </w:rPr>
        <w:t>Allegato B — Scheda informativa per i comproprietari</w:t>
      </w:r>
    </w:p>
    <w:p>
      <w:pPr>
        <w:jc w:val="center"/>
      </w:pPr>
      <w:r>
        <w:rPr>
          <w:rFonts w:ascii="Times New Roman" w:hAnsi="Times New Roman"/>
          <w:b w:val="0"/>
          <w:sz w:val="22"/>
        </w:rPr>
        <w:t>Mandato esclusivo di vendita</w:t>
      </w:r>
    </w:p>
    <w:p>
      <w:pPr>
        <w:jc w:val="center"/>
      </w:pPr>
      <w:r>
        <w:rPr>
          <w:rFonts w:ascii="Times New Roman" w:hAnsi="Times New Roman"/>
          <w:b w:val="0"/>
          <w:sz w:val="20"/>
        </w:rPr>
        <w:t>Da leggere e firmare prima o insieme al contratto di incarico · revisione 21/07/2026</w:t>
      </w:r>
    </w:p>
    <w:p/>
    <w:p>
      <w:r>
        <w:rPr>
          <w:rFonts w:ascii="Times New Roman" w:hAnsi="Times New Roman"/>
          <w:b w:val="0"/>
          <w:sz w:val="22"/>
        </w:rPr>
        <w:t>Questa pagina riassume, in linguaggio chiaro, i punti principali del mandato. Il testo completo e vincolante resta quello del contratto di mediazione sottoscritto in agenzia.</w:t>
      </w:r>
    </w:p>
    <w:p/>
    <w:p>
      <w:pPr>
        <w:pStyle w:val="Heading2"/>
      </w:pPr>
      <w:r>
        <w:rPr>
          <w:rFonts w:ascii="Times New Roman" w:hAnsi="Times New Roman"/>
          <w:color w:val="2C4A6E"/>
        </w:rPr>
        <w:t>1. Provvigione — come si divide</w:t>
      </w:r>
    </w:p>
    <w:p>
      <w:pPr>
        <w:pStyle w:val="ListBullet"/>
      </w:pPr>
      <w:r>
        <w:rPr>
          <w:rFonts w:ascii="Times New Roman" w:hAnsi="Times New Roman"/>
          <w:sz w:val="22"/>
        </w:rPr>
        <w:t>La provvigione dell'agenzia (es. 3% + IVA sul prezzo di vendita) si calcola sul prezzo effettivo concordato con l'acquirente.</w:t>
      </w:r>
    </w:p>
    <w:p>
      <w:pPr>
        <w:pStyle w:val="ListBullet"/>
      </w:pPr>
      <w:r>
        <w:rPr>
          <w:rFonts w:ascii="Times New Roman" w:hAnsi="Times New Roman"/>
          <w:sz w:val="22"/>
        </w:rPr>
        <w:t>In caso di comproprietà, ogni proprietario paga la propria parte in base alla quota di proprietà (es. due fratelli al 50% → ciascuno metà della provvigione).</w:t>
      </w:r>
    </w:p>
    <w:p>
      <w:pPr>
        <w:pStyle w:val="ListBullet"/>
      </w:pPr>
      <w:r>
        <w:rPr>
          <w:rFonts w:ascii="Times New Roman" w:hAnsi="Times New Roman"/>
          <w:sz w:val="22"/>
        </w:rPr>
        <w:t>Ognuno è tenuto a corrispondere per intero (11/11) la propria quota: non si può pagare solo una frazione della propria parte.</w:t>
      </w:r>
    </w:p>
    <w:p>
      <w:pPr>
        <w:pStyle w:val="Heading2"/>
      </w:pPr>
      <w:r>
        <w:rPr>
          <w:rFonts w:ascii="Times New Roman" w:hAnsi="Times New Roman"/>
          <w:color w:val="2C4A6E"/>
        </w:rPr>
        <w:t>2. Se c'è un acquirente al prezzo del mandato</w:t>
      </w:r>
    </w:p>
    <w:p>
      <w:pPr>
        <w:ind w:left="283"/>
      </w:pPr>
      <w:r>
        <w:rPr>
          <w:rFonts w:ascii="Times New Roman" w:hAnsi="Times New Roman"/>
          <w:i/>
          <w:sz w:val="21"/>
        </w:rPr>
        <w:t>In sintesi: se l'agenzia trova un acquirente disposto a pagare almeno il prezzo indicato nel mandato, tutti i comproprietari devono collaborare per concludere la vendita (proposta, preliminare, rogito).</w:t>
      </w:r>
    </w:p>
    <w:p>
      <w:pPr>
        <w:pStyle w:val="ListBullet"/>
      </w:pPr>
      <w:r>
        <w:rPr>
          <w:rFonts w:ascii="Times New Roman" w:hAnsi="Times New Roman"/>
          <w:sz w:val="22"/>
        </w:rPr>
        <w:t>Non si può opporsi senza un motivo serio e documentato (es. vincoli legali, forza maggiore — non il semplice «ci ripenso»).</w:t>
      </w:r>
    </w:p>
    <w:p>
      <w:pPr>
        <w:pStyle w:val="ListBullet"/>
      </w:pPr>
      <w:r>
        <w:rPr>
          <w:rFonts w:ascii="Times New Roman" w:hAnsi="Times New Roman"/>
          <w:sz w:val="22"/>
        </w:rPr>
        <w:t>Chi si rifiuta di firmare in questa situazione risponde personalmente: deve pagare la provvigione maturata e la penale prevista dal contratto (pari al 100% / 11/11 della provvigione pattuita).</w:t>
      </w:r>
    </w:p>
    <w:p>
      <w:pPr>
        <w:pStyle w:val="Heading2"/>
      </w:pPr>
      <w:r>
        <w:rPr>
          <w:rFonts w:ascii="Times New Roman" w:hAnsi="Times New Roman"/>
          <w:color w:val="2C4A6E"/>
        </w:rPr>
        <w:t>3. Se il prezzo proposto è più basso del mandato</w:t>
      </w:r>
    </w:p>
    <w:p>
      <w:pPr>
        <w:pStyle w:val="ListBullet"/>
      </w:pPr>
      <w:r>
        <w:rPr>
          <w:rFonts w:ascii="Times New Roman" w:hAnsi="Times New Roman"/>
          <w:sz w:val="22"/>
        </w:rPr>
        <w:t>Ognuno resta libero di non accettare e di ridiscutere l'offerta con l'agenzia e con gli altri proprietari.</w:t>
      </w:r>
    </w:p>
    <w:p>
      <w:pPr>
        <w:pStyle w:val="ListBullet"/>
      </w:pPr>
      <w:r>
        <w:rPr>
          <w:rFonts w:ascii="Times New Roman" w:hAnsi="Times New Roman"/>
          <w:sz w:val="22"/>
        </w:rPr>
        <w:t>In questo caso non scattano penali né obbligo di provvigione per il solo rifiuto.</w:t>
      </w:r>
    </w:p>
    <w:p>
      <w:pPr>
        <w:pStyle w:val="Heading2"/>
      </w:pPr>
      <w:r>
        <w:rPr>
          <w:rFonts w:ascii="Times New Roman" w:hAnsi="Times New Roman"/>
          <w:color w:val="2C4A6E"/>
        </w:rPr>
        <w:t>4. Visite — chi abita in casa</w:t>
      </w:r>
    </w:p>
    <w:p>
      <w:pPr>
        <w:pStyle w:val="ListBullet"/>
      </w:pPr>
      <w:r>
        <w:rPr>
          <w:rFonts w:ascii="Times New Roman" w:hAnsi="Times New Roman"/>
          <w:sz w:val="22"/>
        </w:rPr>
        <w:t>L'agenzia organizzerà le visite con gli acquirenti per almeno un giorno a settimana, da concordare all'inizio (giorno e fasce orarie).</w:t>
      </w:r>
    </w:p>
    <w:p>
      <w:pPr>
        <w:pStyle w:val="ListBullet"/>
      </w:pPr>
      <w:r>
        <w:rPr>
          <w:rFonts w:ascii="Times New Roman" w:hAnsi="Times New Roman"/>
          <w:sz w:val="22"/>
        </w:rPr>
        <w:t>Se un comproprietario risiede nell'immobile, deve garantire l'accesso in quel giorno, salvo diverso accordo scritto.</w:t>
      </w:r>
    </w:p>
    <w:p>
      <w:pPr>
        <w:pStyle w:val="ListBullet"/>
      </w:pPr>
      <w:r>
        <w:rPr>
          <w:rFonts w:ascii="Times New Roman" w:hAnsi="Times New Roman"/>
          <w:sz w:val="22"/>
        </w:rPr>
        <w:t>Se in quel giorno non è possibile per giusta causa (malattia, emergenza, impegno imprevisto), va comunicato subito all'agenzia per fissare un altro appuntamento.</w:t>
      </w:r>
    </w:p>
    <w:p>
      <w:pPr>
        <w:pStyle w:val="ListBullet"/>
      </w:pPr>
      <w:r>
        <w:rPr>
          <w:rFonts w:ascii="Times New Roman" w:hAnsi="Times New Roman"/>
          <w:sz w:val="22"/>
        </w:rPr>
        <w:t>Bloccare le visite senza motivo valido può comportare penali e inadempimento contrattuale.</w:t>
      </w:r>
    </w:p>
    <w:p>
      <w:pPr>
        <w:pStyle w:val="Heading2"/>
      </w:pPr>
      <w:r>
        <w:rPr>
          <w:rFonts w:ascii="Times New Roman" w:hAnsi="Times New Roman"/>
          <w:color w:val="2C4A6E"/>
        </w:rPr>
        <w:t>5. Documenti, preliminare e consegna</w:t>
      </w:r>
    </w:p>
    <w:p>
      <w:pPr>
        <w:pStyle w:val="ListBullet"/>
      </w:pPr>
      <w:r>
        <w:rPr>
          <w:rFonts w:ascii="Times New Roman" w:hAnsi="Times New Roman"/>
          <w:sz w:val="22"/>
        </w:rPr>
        <w:t>Dall'accordo con l'acquirente (proposta accettata o preliminare), tutti devono mettere a disposizione la documentazione catastale e urbanistica completa (planimetrie, APE, eventuali regolarizzazioni).</w:t>
      </w:r>
    </w:p>
    <w:p>
      <w:pPr>
        <w:pStyle w:val="ListBullet"/>
      </w:pPr>
      <w:r>
        <w:rPr>
          <w:rFonts w:ascii="Times New Roman" w:hAnsi="Times New Roman"/>
          <w:sz w:val="22"/>
        </w:rPr>
        <w:t>L'agenzia può assistere nella stipula del contratto preliminare; chi firma si impegna a rispettare quanto concordato.</w:t>
      </w:r>
    </w:p>
    <w:p>
      <w:pPr>
        <w:pStyle w:val="ListBullet"/>
      </w:pPr>
      <w:r>
        <w:rPr>
          <w:rFonts w:ascii="Times New Roman" w:hAnsi="Times New Roman"/>
          <w:sz w:val="22"/>
        </w:rPr>
        <w:t>Dopo il preliminare, la consegna dell'immobile all'acquirente deve avvenire entro 6 mesi, salvo diverso accordo scritto tra tutte le parti.</w:t>
      </w:r>
    </w:p>
    <w:p>
      <w:pPr>
        <w:pStyle w:val="Heading2"/>
      </w:pPr>
      <w:r>
        <w:rPr>
          <w:rFonts w:ascii="Times New Roman" w:hAnsi="Times New Roman"/>
          <w:color w:val="2C4A6E"/>
        </w:rPr>
        <w:t>6. Chi vive in casa e non libera l'immobile</w:t>
      </w:r>
    </w:p>
    <w:p>
      <w:pPr>
        <w:ind w:left="283"/>
      </w:pPr>
      <w:r>
        <w:rPr>
          <w:rFonts w:ascii="Times New Roman" w:hAnsi="Times New Roman"/>
          <w:i/>
          <w:sz w:val="21"/>
        </w:rPr>
        <w:t>Se il comproprietario residente, senza motivi previsti dal contratto, non consente visite, liberazione o consegna nei termini concordati, risponde delle spese e dei danni che ne derivano verso acquirenti e agenzia.</w:t>
      </w:r>
    </w:p>
    <w:p>
      <w:pPr>
        <w:pStyle w:val="ListBullet"/>
      </w:pPr>
      <w:r>
        <w:rPr>
          <w:rFonts w:ascii="Times New Roman" w:hAnsi="Times New Roman"/>
          <w:sz w:val="22"/>
        </w:rPr>
        <w:t>Se è già stato firmato un preliminare e l'inadempimento è imputabile a chi abita in casa, potranno applicarsi anche le conseguenze previste dal preliminare — tra cui, ove previsto dalla legge e dal contratto con l'acquirente, la restituzione del doppio della caparra — oltre alla provvigione dovuta all'agenzia.</w:t>
      </w:r>
    </w:p>
    <w:p>
      <w:pPr>
        <w:pStyle w:val="Heading2"/>
      </w:pPr>
      <w:r>
        <w:rPr>
          <w:rFonts w:ascii="Times New Roman" w:hAnsi="Times New Roman"/>
          <w:color w:val="2C4A6E"/>
        </w:rPr>
        <w:t>7. Cosa conviene fare prima di firmare</w:t>
      </w:r>
    </w:p>
    <w:p>
      <w:pPr>
        <w:pStyle w:val="ListBullet"/>
      </w:pPr>
      <w:r>
        <w:rPr>
          <w:rFonts w:ascii="Times New Roman" w:hAnsi="Times New Roman"/>
          <w:sz w:val="22"/>
        </w:rPr>
        <w:t>Verificare che l'elenco comproprietari e quote (Allegato A) sia corretto.</w:t>
      </w:r>
    </w:p>
    <w:p>
      <w:pPr>
        <w:pStyle w:val="ListBullet"/>
      </w:pPr>
      <w:r>
        <w:rPr>
          <w:rFonts w:ascii="Times New Roman" w:hAnsi="Times New Roman"/>
          <w:sz w:val="22"/>
        </w:rPr>
        <w:t>Concordare subito il giorno settimanale per le visite se qualcuno abita nell'immobile.</w:t>
      </w:r>
    </w:p>
    <w:p>
      <w:pPr>
        <w:pStyle w:val="ListBullet"/>
      </w:pPr>
      <w:r>
        <w:rPr>
          <w:rFonts w:ascii="Times New Roman" w:hAnsi="Times New Roman"/>
          <w:sz w:val="22"/>
        </w:rPr>
        <w:t>Comunicare all'agenzia ipoteche, pignoramenti o altri vincoli sulla propria quota, se presenti.</w:t>
      </w:r>
    </w:p>
    <w:p>
      <w:pPr>
        <w:pStyle w:val="ListBullet"/>
      </w:pPr>
      <w:r>
        <w:rPr>
          <w:rFonts w:ascii="Times New Roman" w:hAnsi="Times New Roman"/>
          <w:sz w:val="22"/>
        </w:rPr>
        <w:t>Chiarire dubbi in agenzia: 049.8843484 · info@righettoimmobiliare.it</w:t>
      </w:r>
    </w:p>
    <w:p/>
    <w:p>
      <w:r>
        <w:rPr>
          <w:rFonts w:ascii="Times New Roman" w:hAnsi="Times New Roman"/>
          <w:b/>
          <w:sz w:val="22"/>
        </w:rPr>
        <w:t>Dichiarazione di presa visione — Dichiaro di aver ricevuto e letto la presente scheda informativa e di aver avuto modo di porre domande in agenzia prima della sottoscrizione del mandato esclusivo.</w:t>
      </w:r>
    </w:p>
    <w:p/>
    <w:p>
      <w:r>
        <w:rPr>
          <w:rFonts w:ascii="Times New Roman" w:hAnsi="Times New Roman"/>
          <w:b/>
          <w:sz w:val="22"/>
        </w:rPr>
        <w:t>Comproprietario 1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2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3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/>
          <w:sz w:val="22"/>
        </w:rPr>
        <w:t>Comproprietario 4</w:t>
      </w:r>
    </w:p>
    <w:p>
      <w:r>
        <w:rPr>
          <w:rFonts w:ascii="Times New Roman" w:hAnsi="Times New Roman"/>
          <w:b w:val="0"/>
          <w:sz w:val="22"/>
        </w:rPr>
        <w:t>Nome: _________________________________  Data: ___/___/______</w:t>
      </w:r>
    </w:p>
    <w:p>
      <w:r>
        <w:rPr>
          <w:rFonts w:ascii="Times New Roman" w:hAnsi="Times New Roman"/>
          <w:b w:val="0"/>
          <w:sz w:val="22"/>
        </w:rPr>
        <w:t>Firma: _________________________________</w:t>
      </w:r>
    </w:p>
    <w:p/>
    <w:p>
      <w:r>
        <w:rPr>
          <w:rFonts w:ascii="Times New Roman" w:hAnsi="Times New Roman"/>
          <w:b w:val="0"/>
          <w:sz w:val="18"/>
        </w:rPr>
        <w:t>Documento interno Righetto Immobiliare — revisione 21/07/2026. Allegato B informativo, non sostitutivo del contratto di mediazione. Verificare con consulenza legale/notarile prima dell'uso operativo.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