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Mapa del lado bursátil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De Yahoo Finance a la etapa que se une con las noticias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exclusivamente del lado bursátil. Resume las carpetas 01 a 06 de tesis version 3.0 en una sola vista.</w:t>
      </w:r>
    </w:p>
    <w:p>
      <w:pPr>
        <w:spacing w:after="160" w:line="300"/>
      </w:pPr>
      <w:r>
        <w:rPr>
          <w:b/>
          <w:bCs/>
        </w:rPr>
        <w:t xml:space="preserve">Ubicación.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Bursatil\00_mapa_lado_bursatil\</w:t>
      </w:r>
      <w:r>
        <w:t xml:space="preserve">. El mapa se genera con un script que lee los resultados de cada carpeta: no tiene números escritos a mano.</w:t>
      </w:r>
    </w:p>
    <w:p>
      <w:pPr>
        <w:spacing w:after="160" w:line="300"/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b/>
          <w:bCs/>
        </w:rPr>
        <w:t xml:space="preserve">Cómo está organizado. </w:t>
      </w:r>
      <w:r>
        <w:t xml:space="preserve">La página siguiente es el mapa completo. Después, el recorrido carpeta por carpeta con la decisión que habilita cada paso, las dos ventanas de fechas, las correcciones de datos y lo que falta.</w:t>
      </w:r>
    </w:p>
    <w:p>
      <w:pPr>
        <w:jc w:val="center"/>
        <w:sectPr>
          <w:headerReference w:type="default" r:id="rId8"/>
          <w:footerReference w:type="default" r:id="rId9"/>
          <w:pgSz w:w="16838" w:h="11906" w:orient="landscape"/>
          <w:pgMar w:top="700" w:right="700" w:bottom="700" w:left="700" w:header="708" w:footer="708" w:gutter="0"/>
          <w:pgNumType/>
          <w:docGrid w:linePitch="360"/>
        </w:sectPr>
      </w:pPr>
      <w:r>
        <w:drawing>
          <wp:inline distT="0" distB="0" distL="0" distR="0">
            <wp:extent cx="93345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t xml:space="preserve">1. El recorrido, carpeta por carpeta</w:t>
      </w:r>
    </w:p>
    <w:p>
      <w:pPr>
        <w:keepNext/>
        <w:spacing w:after="160" w:line="300"/>
      </w:pPr>
      <w:r>
        <w:t xml:space="preserve">Cada paso responde una pregunta y deja una decisión tomada para el siguiente: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446"/>
        <w:gridCol w:w="2217"/>
        <w:gridCol w:w="3277"/>
        <w:gridCol w:w="2699"/>
      </w:tblGrid>
      <w:tr>
        <w:trPr>
          <w:tblHeader/>
        </w:trPr>
        <w:tc>
          <w:tcPr>
            <w:tcW w:type="pct" w:w="7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pct" w:w="11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pct" w:w="1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clave</w:t>
            </w:r>
          </w:p>
        </w:tc>
        <w:tc>
          <w:tcPr>
            <w:tcW w:type="pct" w:w="14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decisión habilita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 Scraping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¿Con qué empresas se trabaja?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53 tickers → 47 acciones en 10 sectores (100% de las ruedas y ≥ 90% de días con volumen)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panel de 47 que usan todos los pasos siguientes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03 VIX argentino</w:t>
            </w:r>
          </w:p>
        </w:tc>
        <w:tc>
          <w:tcPr>
            <w:tcW w:type="pct" w:w="1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¿Qué tan nervioso estuvo el mercado cada día?</w:t>
            </w:r>
          </w:p>
        </w:tc>
        <w:tc>
          <w:tcPr>
            <w:tcW w:type="pct" w:w="1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323 ruedas, promedio 44,0%, máximo 91,0%</w:t>
            </w:r>
          </w:p>
        </w:tc>
        <w:tc>
          <w:tcPr>
            <w:tcW w:type="pct" w:w="1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Fija la ventana de noticias y da la serie para el HMM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02 Clustering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¿Hay familias de acciones que se mueven parecido?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de 18 combinaciones aíslan 1-2 outliers; el único grupo de tamaño real (8 acciones, silueta 0,406) se explica sobre todo por baja liquidez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hay familias claras: el análisis se hace por acción (y por sector)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04 ADF</w:t>
            </w:r>
          </w:p>
        </w:tc>
        <w:tc>
          <w:tcPr>
            <w:tcW w:type="pct" w:w="1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¿Se puede usar el precio, o hay que usar el retorno?</w:t>
            </w:r>
          </w:p>
        </w:tc>
        <w:tc>
          <w:tcPr>
            <w:tcW w:type="pct" w:w="1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Precios: 46 de 47 NO estacionarios. Retornos: 47 de 47 estacionarios</w:t>
            </w:r>
          </w:p>
        </w:tc>
        <w:tc>
          <w:tcPr>
            <w:tcW w:type="pct" w:w="1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VAR se hace con retornos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 Volatilidad</w:t>
            </w:r>
          </w:p>
        </w:tc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¿Qué acciones son más nerviosas que el mercado?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 55,1% vs. VIX 44,0%; 7 picos propios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Los picos propios son candidatos a cruzar con noticias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06 HMM</w:t>
            </w:r>
          </w:p>
        </w:tc>
        <w:tc>
          <w:tcPr>
            <w:tcW w:type="pct" w:w="1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¿En qué régimen estaba el mercado cada día?</w:t>
            </w:r>
          </w:p>
        </w:tc>
        <w:tc>
          <w:tcPr>
            <w:tcW w:type="pct" w:w="1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 = 3: Calmo 177 · Moderado 81 · Tenso 65 días</w:t>
            </w:r>
          </w:p>
        </w:tc>
        <w:tc>
          <w:tcPr>
            <w:tcW w:type="pct" w:w="1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etiqueta de régimen para el VAR por régimen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rPr>
          <w:b/>
          <w:bCs/>
        </w:rPr>
        <w:t xml:space="preserve">Por qué el 03 va antes que el 02 en el mapa. </w:t>
      </w:r>
      <w:r>
        <w:t xml:space="preserve">El número de carpeta sigue el orden en que se hicieron, pero el VIX es un dato base: define la ventana de fechas que después leen el clustering (1 año), el ADF, la volatilidad y el HMM.</w:t>
      </w:r>
    </w:p>
    <w:p>
      <w:pPr>
        <w:pStyle w:val="Heading1"/>
        <w:keepNext/>
        <w:spacing w:after="160" w:before="360"/>
      </w:pPr>
      <w:r>
        <w:t xml:space="preserve">2. Las dos ventanas de fechas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928"/>
        <w:gridCol w:w="1349"/>
        <w:gridCol w:w="1349"/>
        <w:gridCol w:w="1060"/>
        <w:gridCol w:w="3952"/>
      </w:tblGrid>
      <w:tr>
        <w:trPr>
          <w:tblHeader/>
        </w:trPr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pct" w:w="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pct" w:w="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Hasta</w:t>
            </w:r>
          </w:p>
        </w:tc>
        <w:tc>
          <w:tcPr>
            <w:tcW w:type="pct" w:w="5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Ruedas</w:t>
            </w:r>
          </w:p>
        </w:tc>
        <w:tc>
          <w:tcPr>
            <w:tcW w:type="pct" w:w="20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la usa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03/05/2023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30/04/2026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731</w:t>
            </w:r>
          </w:p>
        </w:tc>
        <w:tc>
          <w:tcPr>
            <w:tcW w:type="pct" w:w="2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 Scraping, 02 Clustering (3 años)</w:t>
            </w:r>
          </w:p>
        </w:tc>
      </w:tr>
      <w:tr>
        <w:trPr>
          <w:cantSplit/>
        </w:trPr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Ventana de noticias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02/01/2025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30/04/2026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323</w:t>
            </w:r>
          </w:p>
        </w:tc>
        <w:tc>
          <w:tcPr>
            <w:tcW w:type="pct" w:w="20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02 Clustering (1 año), 03, 04, 05, 06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Las fechas pedidas terminan el 03/05/2026 (el final del corpus de noticias); la última rueda real es el 30/04/2026 porque el 01/05 es feriado y el 02-03/05 es fin de semana. La ventana de noticias se define una sola vez, en la carpeta 03, y las demás la leen de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vix_arg.csv</w:t>
      </w:r>
      <w:r>
        <w:t xml:space="preserve"> — no puede desalinearse.</w:t>
      </w:r>
    </w:p>
    <w:p>
      <w:pPr>
        <w:pStyle w:val="Heading1"/>
        <w:keepNext/>
        <w:spacing w:after="160" w:before="360"/>
      </w:pPr>
      <w:r>
        <w:t xml:space="preserve">3. Calidad de datos — lo que se corrigió en el camino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4626"/>
        <w:gridCol w:w="1157"/>
        <w:gridCol w:w="3855"/>
      </w:tblGrid>
      <w:tr>
        <w:trPr>
          <w:tblHeader/>
        </w:trPr>
        <w:tc>
          <w:tcPr>
            <w:tcW w:type="pct" w:w="24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pct" w:w="6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pct" w:w="2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resolvió</w:t>
            </w:r>
          </w:p>
        </w:tc>
      </w:tr>
      <w:tr>
        <w:trPr>
          <w:cantSplit/>
        </w:trPr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Yahoo agrega filas "fantasma" en feriados para cada acción (precio pegado, volumen 0)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usa el calendario del índice ^MERV como calendario real de BYMA</w:t>
            </w:r>
          </w:p>
        </w:tc>
      </w:tr>
      <w:tr>
        <w:trPr>
          <w:cantSplit/>
        </w:trPr>
        <w:tc>
          <w:tcPr>
            <w:tcW w:type="pct" w:w="2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Yahoo falla de forma intermitente para algunos tickers</w:t>
            </w:r>
          </w:p>
        </w:tc>
        <w:tc>
          <w:tcPr>
            <w:tcW w:type="pct" w:w="6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Hasta 3 reintentos por ticker antes de declarar "sin datos"</w:t>
            </w:r>
          </w:p>
        </w:tc>
      </w:tr>
      <w:tr>
        <w:trPr>
          <w:cantSplit/>
        </w:trPr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Split de SEMI mal fechado: el 16/12/2024 quedó con el precio sin dividir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Ese día dividido por 4,227 (el factor que registra Yahoo)</w:t>
            </w:r>
          </w:p>
        </w:tc>
      </w:tr>
      <w:tr>
        <w:trPr>
          <w:cantSplit/>
        </w:trPr>
        <w:tc>
          <w:tcPr>
            <w:tcW w:type="pct" w:w="2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Dividendo en acciones de AGRO (nov. 2023) sin aplicar a los precios anteriores</w:t>
            </w:r>
          </w:p>
        </w:tc>
        <w:tc>
          <w:tcPr>
            <w:tcW w:type="pct" w:w="6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Precios hasta el 02/11/2023 divididos por 2,1</w:t>
            </w:r>
          </w:p>
        </w:tc>
      </w:tr>
      <w:tr>
        <w:trPr>
          <w:cantSplit/>
        </w:trPr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Nombres y sectores mal cargados en 12 tickers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Verificados contra Yahoo; sector por negocio principal</w:t>
            </w:r>
          </w:p>
        </w:tc>
      </w:tr>
      <w:tr>
        <w:trPr>
          <w:cantSplit/>
        </w:trPr>
        <w:tc>
          <w:tcPr>
            <w:tcW w:type="pct" w:w="2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Precios en pesos nominales, con tendencia</w:t>
            </w:r>
          </w:p>
        </w:tc>
        <w:tc>
          <w:tcPr>
            <w:tcW w:type="pct" w:w="6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ADF de precios con constante + tendencia</w:t>
            </w:r>
          </w:p>
        </w:tc>
      </w:tr>
      <w:tr>
        <w:trPr>
          <w:cantSplit/>
        </w:trPr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VIX realizado tiene un eco de 20 días tras cada shock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03, 05, 06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Documentado; los picos de volatilidad que son eco se descartan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4. Lo que falta — la etapa que se une con las noticias</w:t>
      </w:r>
    </w:p>
    <w:p>
      <w:pPr>
        <w:keepNext/>
        <w:spacing w:after="160" w:line="300"/>
      </w:pPr>
      <w:r>
        <w:t xml:space="preserve">Las tres cajas punteadas del mapa. Se construyen sobre el panel, las fechas y los regímenes que dejan las carpetas 01 a 06: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928"/>
        <w:gridCol w:w="4433"/>
        <w:gridCol w:w="3277"/>
      </w:tblGrid>
      <w:tr>
        <w:trPr>
          <w:tblHeader/>
        </w:trPr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pct" w:w="23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pct" w:w="1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necesita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Dataset unificado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Junta mercado (retornos, VIX, régimen) con sentimiento diario y shocks de noticias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Serie de sentimiento diario desde el 02/01/2025</w:t>
            </w:r>
          </w:p>
        </w:tc>
      </w:tr>
      <w:tr>
        <w:trPr>
          <w:cantSplit/>
        </w:trPr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 + Granger + IRF</w:t>
            </w:r>
          </w:p>
        </w:tc>
        <w:tc>
          <w:tcPr>
            <w:tcW w:type="pct" w:w="2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¿El sentimiento anticipa a los precios, o al revés? General, por empresa, por régimen y por sector</w:t>
            </w:r>
          </w:p>
        </w:tc>
        <w:tc>
          <w:tcPr>
            <w:tcW w:type="pct" w:w="1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Sentimiento por empresa para las acciones del panel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study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Qué pasa con los precios alrededor de los shocks de noticias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de shocks de noticias</w:t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Lo que hay que coordinar con el lado de noticias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Sentimiento por empresa: </w:t>
            </w:r>
            <w:r>
              <w:t xml:space="preserve">hoy existe solo para las 20 empresas oficiales del Merval. Para el VAR por empresa con las 47 hace falta ampliar el diccionario de nombres (gazetteer) — o decidir hacerlo con un subconjunto.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Ventana: </w:t>
            </w:r>
            <w:r>
              <w:t xml:space="preserve">la serie de sentimiento tiene que cubrir desde el 02/01/2025, el inicio de la ventana de noticias.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5. Archivos generados</w:t>
      </w:r>
    </w:p>
    <w:p>
      <w:pPr>
        <w:spacing w:after="160" w:line="300"/>
      </w:pP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Bursatil\00_mapa_lado_bursatil\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pct" w:w="16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pct" w:w="34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mapa_lado_bursatil.py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Script único. Lee los resultados de las carpetas 01 a 06 y dibuja el mapa.</w:t>
            </w:r>
          </w:p>
        </w:tc>
      </w:tr>
      <w:tr>
        <w:trPr>
          <w:cantSplit/>
        </w:trPr>
        <w:tc>
          <w:tcPr>
            <w:tcW w:type="pct" w:w="16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mapa_lado_bursatil.png</w:t>
            </w:r>
          </w:p>
        </w:tc>
        <w:tc>
          <w:tcPr>
            <w:tcW w:type="pct" w:w="3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mapa del pipeline (fuente → datos base → análisis → próxima etapa) y la línea de tiempo de las dos ventanas.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resumen_mapa.csv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Los números que aparecen en el mapa, uno por fila, para verificarlos o citarlos.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6. Trabajos previos por carpeta</w:t>
      </w:r>
    </w:p>
    <w:p>
      <w:pPr>
        <w:keepNext/>
        <w:spacing w:after="160" w:line="300"/>
      </w:pPr>
      <w:r>
        <w:t xml:space="preserve">Cada carpeta tiene su propia sección de referencias bibliográficas al final de su PDF, con los trabajos descargados en su subcarpeta papers\. Resumen: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3855"/>
        <w:gridCol w:w="1928"/>
        <w:gridCol w:w="1928"/>
        <w:gridCol w:w="1928"/>
      </w:tblGrid>
      <w:tr>
        <w:trPr>
          <w:tblHeader/>
        </w:trPr>
        <w:tc>
          <w:tcPr>
            <w:tcW w:type="pct" w:w="2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Referencias</w:t>
            </w:r>
          </w:p>
        </w:tc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Descargadas</w:t>
            </w:r>
          </w:p>
        </w:tc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 acceso restringido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00_mapa_lado_bursatil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01_scraping_acciones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02_clustering_acciones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03_vix_argentino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04_adf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05_volatilidad_ranking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06_hmm_regimen_mercado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Algunos trabajos aparecen en más de una carpeta porque sirven a los dos temas (por ejemplo, el de los "ghost features" explica tanto el eco del VIX como el de la volatilidad por acción); el PDF se guarda una sola vez, en la carpeta 03.</w:t>
      </w:r>
    </w:p>
    <w:p>
      <w:pPr>
        <w:pStyle w:val="Heading1"/>
        <w:keepNext/>
        <w:spacing w:after="160" w:before="360"/>
      </w:pPr>
      <w:r>
        <w:t xml:space="preserve">7. Referencias bibliográficas</w:t>
      </w:r>
    </w:p>
    <w:p>
      <w:pPr>
        <w:spacing w:after="160" w:line="300"/>
      </w:pPr>
      <w:r>
        <w:t xml:space="preserve">Trabajos previos sobre este tema, en español, inglés y portugués. Los que son de acceso libre están descargados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</w:t>
      </w:r>
      <w:r>
        <w:t xml:space="preserve"> dentro de esta misma carpeta (3 archivos); los que tienen acceso restringido se citan con su enlace oficial. La misma lista, en formato BibTeX para citar en la tesis, está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papers\referencias.bib</w:t>
      </w:r>
      <w:r>
        <w:t xml:space="preserve">.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[1] </w:t>
      </w:r>
      <w:r>
        <w:rPr>
          <w:b/>
          <w:bCs/>
          <w:sz w:val="20"/>
          <w:szCs w:val="20"/>
        </w:rPr>
        <w:t xml:space="preserve">Verma, S., Tulsyan, S., Dhanuka, S. y Sen, A. (2026). Quantitative Analysis of Media Bias and Stock Price Dynamics: The 2020 Shock. arXiv:2608.05899.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Revisa, con la pandemia de 2020 como caso, si las noticias financieras influyen sobre los precios o si solo reflejan información que los precios ya incorporaron.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la misma pregunta de fondo de la tesis para la próxima etapa — y la del hallazgo de causalidad inversa (los medios siguen a los precios).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papers\2026_Media_bias_stock_prices.pdf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[2] </w:t>
      </w:r>
      <w:r>
        <w:rPr>
          <w:b/>
          <w:bCs/>
          <w:sz w:val="20"/>
          <w:szCs w:val="20"/>
        </w:rPr>
        <w:t xml:space="preserve">Calandroni, S. (2026). Impacto de las elecciones sobre el MERVAL (2011-2023). Tesis de maestría, Universidad Torcuato Di Tella.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Estudio de eventos de las elecciones nacionales sobre el Merval en dólares, 2011-2023 (el PDF está en la carpeta 03).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Antecedente argentino directo del event study de la próxima etapa: misma bolsa, mismo tipo de shock y la misma fuente de datos (Yahoo Finance).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..\03_vix_argentino\papers\2026_Calandroni_elecciones_Merval_UTDT.pdf</w:t>
      </w:r>
      <w:r>
        <w:rPr>
          <w:color w:val="5C6B7A"/>
          <w:sz w:val="19"/>
          <w:szCs w:val="19"/>
        </w:rPr>
        <w:t xml:space="preserve">  ·  español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[3] </w:t>
      </w:r>
      <w:r>
        <w:rPr>
          <w:b/>
          <w:bCs/>
          <w:sz w:val="20"/>
          <w:szCs w:val="20"/>
        </w:rPr>
        <w:t xml:space="preserve">Mukherjee, T. (2025). Investor Sentiment and Market Movements: A Granger Causality Perspective. arXiv:2510.15915.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Aplica el test de causalidad de Granger para ver si los cambios de sentimiento preceden a los cambios de precio.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Método de la próxima etapa (VAR + Granger) aplicado a la misma relación entre sentimiento y precios.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papers\2025_Investor_sentiment_Granger.pdf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[4] </w:t>
      </w:r>
      <w:r>
        <w:rPr>
          <w:b/>
          <w:bCs/>
          <w:sz w:val="20"/>
          <w:szCs w:val="20"/>
        </w:rPr>
        <w:t xml:space="preserve">Amburgey, A. J. (2025). How Election Shocks Impact Markets: Evidence from Sectoral Stock Prices. arXiv:2504.02731.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Construye una serie de "shocks electorales" para las elecciones presidenciales de Estados Unidos y muestra que mueven de forma distinta a cada sector según las plataformas de los partidos.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Modelo para el VAR por sector de la próxima etapa: un mismo shock (electoral o de noticias) puede afectar a los sectores en direcciones opuestas, algo que un análisis de todo el mercado promediaría.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papers\2025_Election_shocks_sectoral_prices.pdf</w:t>
      </w:r>
      <w:r>
        <w:rPr>
          <w:color w:val="5C6B7A"/>
          <w:sz w:val="19"/>
          <w:szCs w:val="19"/>
        </w:rPr>
        <w:t xml:space="preserve">  ·  inglés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Mapa del lado bursátil — tesis version 3.0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Mapa del lado bursátil — tesis version 3.0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Mapa del lado bursátil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6b60c312230124a5be4ce08620569b2d20af376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2026-10-17T23:42:49.727Z</dcterms:created>
  <dcterms:modified xsi:type="dcterms:W3CDTF">2026-10-17T23:42:49.728Z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