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Scraping de acciones</w:t>
      </w:r>
    </w:p>
    <w:p>
      <w:pPr>
        <w:spacing w:after="200"/>
      </w:pPr>
      <w:r>
        <w:rPr>
          <w:rFonts w:ascii="Cambria" w:cs="Cambria" w:eastAsia="Cambria" w:hAnsi="Cambria"/>
          <w:i/>
          <w:iCs/>
          <w:color w:val="1C3A5C"/>
          <w:sz w:val="24"/>
          <w:szCs w:val="24"/>
        </w:rPr>
        <w:t xml:space="preserve">Selección del panel de empresas</w:t>
      </w:r>
    </w:p>
    <w:p>
      <w:pPr>
        <w:pBdr>
          <w:bottom w:val="single" w:color="D9E0E7" w:sz="4" w:space="8"/>
        </w:pBdr>
        <w:spacing w:after="200"/>
      </w:pPr>
      <w:r>
        <w:rPr>
          <w:color w:val="5C6B7A"/>
          <w:sz w:val="19"/>
          <w:szCs w:val="19"/>
        </w:rPr>
        <w:t xml:space="preserve">Tesina — Impacto de shocks informativos en acciones argentinas (BYMA / S&amp;P Merval). Documento exclusivamente del lado bursátil. No toca noticias, sentimiento ni gazetteer.</w:t>
      </w:r>
    </w:p>
    <w:p>
      <w:pPr>
        <w:spacing w:after="160" w:line="300"/>
      </w:pPr>
      <w:r>
        <w:rPr>
          <w:b/>
          <w:bCs/>
        </w:rPr>
        <w:t xml:space="preserve">Ubicación de todo lo generado. </w:t>
      </w:r>
      <w:r>
        <w:rPr>
          <w:rFonts w:ascii="Consolas" w:cs="Consolas" w:eastAsia="Consolas" w:hAnsi="Consolas"/>
          <w:color w:val="1C3A5C"/>
          <w:sz w:val="19"/>
          <w:szCs w:val="19"/>
        </w:rPr>
        <w:t xml:space="preserve">D:\2.Tesina\tesis version 3.0\Lado Bursatil\01_scraping_acciones\</w:t>
      </w:r>
      <w:r>
        <w:t xml:space="preserve">. Es el punto de partida del lado bursátil: todas las carpetas siguientes leen el panel que sale de acá.</w:t>
      </w:r>
    </w:p>
    <w:p>
      <w:pPr>
        <w:pageBreakBefore/>
      </w:pPr>
    </w:p>
    <w:p>
      <w:pPr>
        <w:pStyle w:val="Heading1"/>
        <w:keepNext/>
        <w:spacing w:after="160" w:before="360"/>
      </w:pPr>
      <w:r>
        <w:t xml:space="preserve">1. Objetivo</w:t>
      </w:r>
    </w:p>
    <w:p>
      <w:pPr>
        <w:spacing w:after="160" w:line="300"/>
      </w:pPr>
      <w:r>
        <w:t xml:space="preserve">Definir con qué empresas se trabaja, con un criterio basado en datos verificables y guardado junto con el resultado. La pregunta concreta: ¿el panel puede ampliarse más allá de las 20 empresas oficiales del S&amp;P Merval? Más empresas pueden dar mejores resultados en los análisis siguientes (clustering, VAR, HMM), pero sin sacrificar calidad de dato: una acción con huecos de cotización o sin operaciones reales no aporta, contamina.</w:t>
      </w:r>
    </w:p>
    <w:p>
      <w:pPr>
        <w:pStyle w:val="Heading1"/>
        <w:keepNext/>
        <w:spacing w:after="160" w:before="360"/>
      </w:pPr>
      <w:r>
        <w:t xml:space="preserve">2. Universo de partida — las 53 candidatas</w:t>
      </w:r>
    </w:p>
    <w:p>
      <w:pPr>
        <w:spacing w:after="160" w:line="300"/>
      </w:pPr>
      <w:r>
        <w:t xml:space="preserve">Se parte de 53 tickers del Panel General y Panel Líderes de BYMA: las 20 oficiales del Merval más 33 candidatas de sectores similares.</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53 tickers, 52 empresas</w:t>
            </w:r>
          </w:p>
          <w:p>
            <w:pPr>
              <w:spacing w:after="60" w:line="276"/>
            </w:pPr>
            <w:r>
              <w:t xml:space="preserve">TGLT.BA y GCDI.BA son el mismo emisor: TGLT pasó a llamarse GCDI. El ticker viejo ya no tiene datos en Yahoo Finance, por eso TGLT figura como "sin datos" — no es una empresa que se haya caído del panel, sigue presente como GCDI.</w:t>
            </w:r>
          </w:p>
        </w:tc>
      </w:tr>
    </w:tbl>
    <w:p>
      <w:pPr>
        <w:spacing w:after="160" w:line="300"/>
      </w:pPr>
      <w:r>
        <w:t xml:space="preserve"/>
      </w:r>
    </w:p>
    <w:p>
      <w:pPr>
        <w:spacing w:after="160" w:line="300"/>
      </w:pPr>
      <w:r>
        <w:rPr>
          <w:b/>
          <w:bCs/>
        </w:rPr>
        <w:t xml:space="preserve">Nombres y sectores. </w:t>
      </w:r>
      <w:r>
        <w:t xml:space="preserve">Verificados contra la ficha de cada ticker en Yahoo Finance. El sector se asigna por el negocio principal de la empresa; los holdings diversificados (Garovaglio y Zorraquín, Sociedad Comercial del Plata, Cresud) van como Conglomerado.</w:t>
      </w:r>
    </w:p>
    <w:p>
      <w:pPr>
        <w:spacing w:after="160" w:line="300"/>
      </w:pPr>
      <w:r>
        <w:rPr>
          <w:b/>
          <w:bCs/>
        </w:rPr>
        <w:t xml:space="preserve">Ventana temporal — fija, 3 años exactos: </w:t>
      </w:r>
      <w:r>
        <w:t xml:space="preserve">2023-05-03 → 2026-05-03. El final coincide a propósito con el final de la ventana del corpus de noticias del compañero (2026-05-03), para que el panel de 3 años y la ventana de 1 año que usan VIX, ADF y volatilidad terminen el mismo día. La última rueda con datos es el 30/04/2026: el 01/05 es feriado y el 02-03/05 es fin de semana.</w:t>
      </w:r>
    </w:p>
    <w:p>
      <w:pPr>
        <w:pStyle w:val="Heading1"/>
        <w:keepNext/>
        <w:spacing w:after="160" w:before="360"/>
      </w:pPr>
      <w:r>
        <w:t xml:space="preserve">3. Qué se midió — cobertura de días y de volumen</w:t>
      </w:r>
    </w:p>
    <w:p>
      <w:pPr>
        <w:spacing w:after="160" w:line="300"/>
      </w:pPr>
      <w:r>
        <w:t xml:space="preserve">Para cada una de las 53 candidatas se descargó la serie diaria completa (Open/High/Low/Close/Volume, vía yfinance, precios ajustados) y se midieron dos cosas por separado:</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6747"/>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Medida</w:t>
            </w:r>
          </w:p>
        </w:tc>
        <w:tc>
          <w:tcPr>
            <w:tcW w:type="pct" w:w="3500"/>
            <w:shd w:fill="1C3A5C" w:val="clear"/>
            <w:tcMar>
              <w:top w:type="dxa" w:w="80"/>
              <w:left w:type="dxa" w:w="120"/>
              <w:bottom w:type="dxa" w:w="80"/>
              <w:right w:type="dxa" w:w="120"/>
            </w:tcMar>
          </w:tcPr>
          <w:p>
            <w:r>
              <w:rPr>
                <w:b/>
                <w:bCs/>
                <w:color w:val="FFFFFF"/>
                <w:sz w:val="19"/>
                <w:szCs w:val="19"/>
              </w:rPr>
              <w:t xml:space="preserve">Qué es</w:t>
            </w:r>
          </w:p>
        </w:tc>
      </w:tr>
      <w:tr>
        <w:trPr>
          <w:cantSplit/>
        </w:trPr>
        <w:tc>
          <w:tcPr>
            <w:tcW w:type="pct" w:w="1500"/>
            <w:shd w:fill="FFFFFF" w:val="clear"/>
            <w:tcMar>
              <w:top w:type="dxa" w:w="70"/>
              <w:left w:type="dxa" w:w="120"/>
              <w:bottom w:type="dxa" w:w="70"/>
              <w:right w:type="dxa" w:w="120"/>
            </w:tcMar>
          </w:tcPr>
          <w:p>
            <w:r>
              <w:rPr>
                <w:sz w:val="19"/>
                <w:szCs w:val="19"/>
              </w:rPr>
              <w:t xml:space="preserve">dias</w:t>
            </w:r>
          </w:p>
        </w:tc>
        <w:tc>
          <w:tcPr>
            <w:tcW w:type="pct" w:w="3500"/>
            <w:shd w:fill="FFFFFF" w:val="clear"/>
            <w:tcMar>
              <w:top w:type="dxa" w:w="70"/>
              <w:left w:type="dxa" w:w="120"/>
              <w:bottom w:type="dxa" w:w="70"/>
              <w:right w:type="dxa" w:w="120"/>
            </w:tcMar>
          </w:tcPr>
          <w:p>
            <w:r>
              <w:rPr>
                <w:sz w:val="19"/>
                <w:szCs w:val="19"/>
              </w:rPr>
              <w:t xml:space="preserve">Cuántas ruedas trajo Yahoo Finance en la ventana, recortadas al calendario real de BYMA (ver sección 4). El máximo observado entre las 53 es 731.</w:t>
            </w:r>
          </w:p>
        </w:tc>
      </w:tr>
      <w:tr>
        <w:trPr>
          <w:cantSplit/>
        </w:trPr>
        <w:tc>
          <w:tcPr>
            <w:tcW w:type="pct" w:w="1500"/>
            <w:shd w:fill="FAFCFD" w:val="clear"/>
            <w:tcMar>
              <w:top w:type="dxa" w:w="70"/>
              <w:left w:type="dxa" w:w="120"/>
              <w:bottom w:type="dxa" w:w="70"/>
              <w:right w:type="dxa" w:w="120"/>
            </w:tcMar>
          </w:tcPr>
          <w:p>
            <w:r>
              <w:rPr>
                <w:sz w:val="19"/>
                <w:szCs w:val="19"/>
              </w:rPr>
              <w:t xml:space="preserve">pct_dias_con_volumen</w:t>
            </w:r>
          </w:p>
        </w:tc>
        <w:tc>
          <w:tcPr>
            <w:tcW w:type="pct" w:w="3500"/>
            <w:shd w:fill="FAFCFD" w:val="clear"/>
            <w:tcMar>
              <w:top w:type="dxa" w:w="70"/>
              <w:left w:type="dxa" w:w="120"/>
              <w:bottom w:type="dxa" w:w="70"/>
              <w:right w:type="dxa" w:w="120"/>
            </w:tcMar>
          </w:tcPr>
          <w:p>
            <w:r>
              <w:rPr>
                <w:sz w:val="19"/>
                <w:szCs w:val="19"/>
              </w:rPr>
              <w:t xml:space="preserve">De esos días, qué porcentaje tuvo Volume &gt; 0 (operaciones reales), contra días con Volume = 0.</w:t>
            </w:r>
          </w:p>
        </w:tc>
      </w:tr>
    </w:tbl>
    <w:p>
      <w:pPr>
        <w:spacing w:after="160" w:line="300"/>
      </w:pPr>
      <w:r>
        <w:t xml:space="preserve"/>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Qué pasa exactamente en un día con Volume = 0</w:t>
            </w:r>
          </w:p>
          <w:p>
            <w:pPr>
              <w:spacing w:after="60" w:line="276"/>
            </w:pPr>
            <w:r>
              <w:t xml:space="preserve">No es una fila vacía ni un día faltante — Yahoo Finance sí entrega el renglón, pero con el precio "pegado" al último valor que sí operó y Volume en cero. Ejemplo real, tomado de una de las candidatas con peor cobertura de volumen (Polledo, POLL.BA): retorno diario exactamente 0,000000 en esos días, con rachas de varios días seguidos así. Por eso el criterio de selección no puede basarse solo en el calendario, tiene que exigir también volumen real.</w:t>
            </w:r>
          </w:p>
        </w:tc>
      </w:tr>
    </w:tbl>
    <w:p>
      <w:pPr>
        <w:pStyle w:val="Heading1"/>
        <w:keepNext/>
        <w:spacing w:after="160" w:before="360"/>
      </w:pPr>
      <w:r>
        <w:t xml:space="preserve">4. El criterio de selección</w:t>
      </w:r>
    </w:p>
    <w:p>
      <w:pPr>
        <w:keepNext/>
        <w:spacing w:after="160" w:line="300"/>
      </w:pPr>
      <w:r>
        <w:t xml:space="preserve">Dos condiciones, ambas obligatorias: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506"/>
        <w:gridCol w:w="2891"/>
        <w:gridCol w:w="4241"/>
      </w:tblGrid>
      <w:tr>
        <w:trPr>
          <w:tblHeader/>
        </w:trPr>
        <w:tc>
          <w:tcPr>
            <w:tcW w:type="pct" w:w="1300"/>
            <w:shd w:fill="1C3A5C" w:val="clear"/>
            <w:tcMar>
              <w:top w:type="dxa" w:w="80"/>
              <w:left w:type="dxa" w:w="120"/>
              <w:bottom w:type="dxa" w:w="80"/>
              <w:right w:type="dxa" w:w="120"/>
            </w:tcMar>
          </w:tcPr>
          <w:p>
            <w:r>
              <w:rPr>
                <w:b/>
                <w:bCs/>
                <w:color w:val="FFFFFF"/>
                <w:sz w:val="19"/>
                <w:szCs w:val="19"/>
              </w:rPr>
              <w:t xml:space="preserve">Condición</w:t>
            </w:r>
          </w:p>
        </w:tc>
        <w:tc>
          <w:tcPr>
            <w:tcW w:type="pct" w:w="1500"/>
            <w:shd w:fill="1C3A5C" w:val="clear"/>
            <w:tcMar>
              <w:top w:type="dxa" w:w="80"/>
              <w:left w:type="dxa" w:w="120"/>
              <w:bottom w:type="dxa" w:w="80"/>
              <w:right w:type="dxa" w:w="120"/>
            </w:tcMar>
          </w:tcPr>
          <w:p>
            <w:r>
              <w:rPr>
                <w:b/>
                <w:bCs/>
                <w:color w:val="FFFFFF"/>
                <w:sz w:val="19"/>
                <w:szCs w:val="19"/>
              </w:rPr>
              <w:t xml:space="preserve">Umbral</w:t>
            </w:r>
          </w:p>
        </w:tc>
        <w:tc>
          <w:tcPr>
            <w:tcW w:type="pct" w:w="2200"/>
            <w:shd w:fill="1C3A5C" w:val="clear"/>
            <w:tcMar>
              <w:top w:type="dxa" w:w="80"/>
              <w:left w:type="dxa" w:w="120"/>
              <w:bottom w:type="dxa" w:w="80"/>
              <w:right w:type="dxa" w:w="120"/>
            </w:tcMar>
          </w:tcPr>
          <w:p>
            <w:r>
              <w:rPr>
                <w:b/>
                <w:bCs/>
                <w:color w:val="FFFFFF"/>
                <w:sz w:val="19"/>
                <w:szCs w:val="19"/>
              </w:rPr>
              <w:t xml:space="preserve">Por qué</w:t>
            </w:r>
          </w:p>
        </w:tc>
      </w:tr>
      <w:tr>
        <w:trPr>
          <w:cantSplit/>
        </w:trPr>
        <w:tc>
          <w:tcPr>
            <w:tcW w:type="pct" w:w="1300"/>
            <w:shd w:fill="FFFFFF" w:val="clear"/>
            <w:tcMar>
              <w:top w:type="dxa" w:w="70"/>
              <w:left w:type="dxa" w:w="120"/>
              <w:bottom w:type="dxa" w:w="70"/>
              <w:right w:type="dxa" w:w="120"/>
            </w:tcMar>
          </w:tcPr>
          <w:p>
            <w:r>
              <w:rPr>
                <w:sz w:val="19"/>
                <w:szCs w:val="19"/>
              </w:rPr>
              <w:t xml:space="preserve">Cobertura de calendario</w:t>
            </w:r>
          </w:p>
        </w:tc>
        <w:tc>
          <w:tcPr>
            <w:tcW w:type="pct" w:w="1500"/>
            <w:shd w:fill="FFFFFF" w:val="clear"/>
            <w:tcMar>
              <w:top w:type="dxa" w:w="70"/>
              <w:left w:type="dxa" w:w="120"/>
              <w:bottom w:type="dxa" w:w="70"/>
              <w:right w:type="dxa" w:w="120"/>
            </w:tcMar>
          </w:tcPr>
          <w:p>
            <w:r>
              <w:rPr>
                <w:sz w:val="19"/>
                <w:szCs w:val="19"/>
              </w:rPr>
              <w:t xml:space="preserve">dias = máximo observado (731), sin excepciones</w:t>
            </w:r>
          </w:p>
        </w:tc>
        <w:tc>
          <w:tcPr>
            <w:tcW w:type="pct" w:w="2200"/>
            <w:shd w:fill="FFFFFF" w:val="clear"/>
            <w:tcMar>
              <w:top w:type="dxa" w:w="70"/>
              <w:left w:type="dxa" w:w="120"/>
              <w:bottom w:type="dxa" w:w="70"/>
              <w:right w:type="dxa" w:w="120"/>
            </w:tcMar>
          </w:tcPr>
          <w:p>
            <w:r>
              <w:rPr>
                <w:sz w:val="19"/>
                <w:szCs w:val="19"/>
              </w:rPr>
              <w:t xml:space="preserve">Sin tolerancia: una empresa a la que le falta un solo día también queda afuera.</w:t>
            </w:r>
          </w:p>
        </w:tc>
      </w:tr>
      <w:tr>
        <w:trPr>
          <w:cantSplit/>
        </w:trPr>
        <w:tc>
          <w:tcPr>
            <w:tcW w:type="pct" w:w="1300"/>
            <w:shd w:fill="FAFCFD" w:val="clear"/>
            <w:tcMar>
              <w:top w:type="dxa" w:w="70"/>
              <w:left w:type="dxa" w:w="120"/>
              <w:bottom w:type="dxa" w:w="70"/>
              <w:right w:type="dxa" w:w="120"/>
            </w:tcMar>
          </w:tcPr>
          <w:p>
            <w:r>
              <w:rPr>
                <w:sz w:val="19"/>
                <w:szCs w:val="19"/>
              </w:rPr>
              <w:t xml:space="preserve">Días con volumen real</w:t>
            </w:r>
          </w:p>
        </w:tc>
        <w:tc>
          <w:tcPr>
            <w:tcW w:type="pct" w:w="1500"/>
            <w:shd w:fill="FAFCFD" w:val="clear"/>
            <w:tcMar>
              <w:top w:type="dxa" w:w="70"/>
              <w:left w:type="dxa" w:w="120"/>
              <w:bottom w:type="dxa" w:w="70"/>
              <w:right w:type="dxa" w:w="120"/>
            </w:tcMar>
          </w:tcPr>
          <w:p>
            <w:r>
              <w:rPr>
                <w:sz w:val="19"/>
                <w:szCs w:val="19"/>
              </w:rPr>
              <w:t xml:space="preserve">≥ 90%</w:t>
            </w:r>
          </w:p>
        </w:tc>
        <w:tc>
          <w:tcPr>
            <w:tcW w:type="pct" w:w="2200"/>
            <w:shd w:fill="FAFCFD" w:val="clear"/>
            <w:tcMar>
              <w:top w:type="dxa" w:w="70"/>
              <w:left w:type="dxa" w:w="120"/>
              <w:bottom w:type="dxa" w:w="70"/>
              <w:right w:type="dxa" w:w="120"/>
            </w:tcMar>
          </w:tcPr>
          <w:p>
            <w:r>
              <w:rPr>
                <w:sz w:val="19"/>
                <w:szCs w:val="19"/>
              </w:rPr>
              <w:t xml:space="preserve">Tolera algún corte de datos aislado, pero excluye a las que tienen huecos largos de inactividad.</w:t>
            </w:r>
          </w:p>
        </w:tc>
      </w:tr>
    </w:tbl>
    <w:p>
      <w:pPr>
        <w:spacing w:after="160" w:line="300"/>
      </w:pPr>
      <w:r>
        <w:t xml:space="preserve"/>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Calendario real de BYMA — tomado del índice, no de cada acción</w:t>
            </w:r>
          </w:p>
          <w:p>
            <w:pPr>
              <w:spacing w:after="60" w:line="276"/>
            </w:pPr>
            <w:r>
              <w:t xml:space="preserve">Yahoo Finance agrega, para cada acción individual, una fila "fantasma" en los feriados de BYMA (precio pegado al cierre anterior, Volume = 0) que el índice ^MERV no tiene. Se confirmó con YPFD.BA el 01/05/2026 (feriado): la acción trae una fila con Volume = 0, el índice no trae nada ese día. Como pasa en varias fechas a lo largo de los 3 años, el script descarga primero ^MERV y usa su lista de fechas como filtro para todas las acciones — así todas comparten exactamente las mismas ruedas que el índice. Sin ese filtro, el máximo de días sería 732 en vez de 731 y la mayoría de las acciones mostraría ~99,9% de días con volumen en vez de 100%, por feriados que no son ruedas reales.</w:t>
            </w:r>
          </w:p>
        </w:tc>
      </w:tr>
    </w:tbl>
    <w:p>
      <w:pPr>
        <w:spacing w:after="160" w:line="300"/>
      </w:pPr>
      <w:r>
        <w:t xml:space="preserve"/>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Reintentos ante fallas transitorias de Yahoo Finance</w:t>
            </w:r>
          </w:p>
          <w:p>
            <w:pPr>
              <w:spacing w:after="60" w:line="276"/>
            </w:pPr>
            <w:r>
              <w:t xml:space="preserve">Yahoo Finance falla de forma intermitente para algunos tickers: GARO.BA y HAVA.BA llegaron a dar "sin datos" en una corrida y días completos en la siguiente. Para no confundir una falla de la fuente con una baja real, el script reintenta hasta 3 veces por ticker antes de declarar "sin datos"; con eso el resultado es estable entre corridas.</w:t>
            </w:r>
          </w:p>
        </w:tc>
      </w:tr>
    </w:tbl>
    <w:p>
      <w:pPr>
        <w:pStyle w:val="Heading1"/>
        <w:keepNext/>
        <w:spacing w:after="160" w:before="360"/>
      </w:pPr>
      <w:r>
        <w:t xml:space="preserve">5. Eventos corporativos mal ajustados por Yahoo Finance</w:t>
      </w:r>
    </w:p>
    <w:p>
      <w:pPr>
        <w:keepNext/>
        <w:spacing w:after="160" w:line="300"/>
      </w:pPr>
      <w:r>
        <w:t xml:space="preserve">Yahoo Finance entrega precios ajustados por splits y dividendos en acciones, pero en dos casos el ajuste vino mal. Se detectaron buscando retornos diarios mayores a ±50% en las 47 acciones seleccionadas, y se corrigen dentro del propio script (lista CORRECCIONES), con el ajuste estándar de un split: precios divididos por el factor y volumen multiplicado por el mismo factor.</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349"/>
        <w:gridCol w:w="5205"/>
        <w:gridCol w:w="3084"/>
      </w:tblGrid>
      <w:tr>
        <w:trPr>
          <w:tblHeader/>
        </w:trPr>
        <w:tc>
          <w:tcPr>
            <w:tcW w:type="pct" w:w="700"/>
            <w:shd w:fill="1C3A5C" w:val="clear"/>
            <w:tcMar>
              <w:top w:type="dxa" w:w="80"/>
              <w:left w:type="dxa" w:w="120"/>
              <w:bottom w:type="dxa" w:w="80"/>
              <w:right w:type="dxa" w:w="120"/>
            </w:tcMar>
          </w:tcPr>
          <w:p>
            <w:r>
              <w:rPr>
                <w:b/>
                <w:bCs/>
                <w:color w:val="FFFFFF"/>
                <w:sz w:val="19"/>
                <w:szCs w:val="19"/>
              </w:rPr>
              <w:t xml:space="preserve">Acción</w:t>
            </w:r>
          </w:p>
        </w:tc>
        <w:tc>
          <w:tcPr>
            <w:tcW w:type="pct" w:w="2700"/>
            <w:shd w:fill="1C3A5C" w:val="clear"/>
            <w:tcMar>
              <w:top w:type="dxa" w:w="80"/>
              <w:left w:type="dxa" w:w="120"/>
              <w:bottom w:type="dxa" w:w="80"/>
              <w:right w:type="dxa" w:w="120"/>
            </w:tcMar>
          </w:tcPr>
          <w:p>
            <w:r>
              <w:rPr>
                <w:b/>
                <w:bCs/>
                <w:color w:val="FFFFFF"/>
                <w:sz w:val="19"/>
                <w:szCs w:val="19"/>
              </w:rPr>
              <w:t xml:space="preserve">Qué vino mal</w:t>
            </w:r>
          </w:p>
        </w:tc>
        <w:tc>
          <w:tcPr>
            <w:tcW w:type="pct" w:w="1600"/>
            <w:shd w:fill="1C3A5C" w:val="clear"/>
            <w:tcMar>
              <w:top w:type="dxa" w:w="80"/>
              <w:left w:type="dxa" w:w="120"/>
              <w:bottom w:type="dxa" w:w="80"/>
              <w:right w:type="dxa" w:w="120"/>
            </w:tcMar>
          </w:tcPr>
          <w:p>
            <w:r>
              <w:rPr>
                <w:b/>
                <w:bCs/>
                <w:color w:val="FFFFFF"/>
                <w:sz w:val="19"/>
                <w:szCs w:val="19"/>
              </w:rPr>
              <w:t xml:space="preserve">Corrección</w:t>
            </w:r>
          </w:p>
        </w:tc>
      </w:tr>
      <w:tr>
        <w:trPr>
          <w:cantSplit/>
        </w:trPr>
        <w:tc>
          <w:tcPr>
            <w:tcW w:type="pct" w:w="700"/>
            <w:shd w:fill="FFFFFF" w:val="clear"/>
            <w:tcMar>
              <w:top w:type="dxa" w:w="70"/>
              <w:left w:type="dxa" w:w="120"/>
              <w:bottom w:type="dxa" w:w="70"/>
              <w:right w:type="dxa" w:w="120"/>
            </w:tcMar>
          </w:tcPr>
          <w:p>
            <w:r>
              <w:rPr>
                <w:sz w:val="19"/>
                <w:szCs w:val="19"/>
              </w:rPr>
              <w:t xml:space="preserve">SEMI.BA</w:t>
            </w:r>
          </w:p>
        </w:tc>
        <w:tc>
          <w:tcPr>
            <w:tcW w:type="pct" w:w="2700"/>
            <w:shd w:fill="FFFFFF" w:val="clear"/>
            <w:tcMar>
              <w:top w:type="dxa" w:w="70"/>
              <w:left w:type="dxa" w:w="120"/>
              <w:bottom w:type="dxa" w:w="70"/>
              <w:right w:type="dxa" w:w="120"/>
            </w:tcMar>
          </w:tcPr>
          <w:p>
            <w:r>
              <w:rPr>
                <w:sz w:val="19"/>
                <w:szCs w:val="19"/>
              </w:rPr>
              <w:t xml:space="preserve">Yahoo registra un split de 4,227 el 16/12/2024 y ajustó los días anteriores, pero dejó ese día con el precio sin dividir: $113,2 entre $27,3 y $29,8.</w:t>
            </w:r>
          </w:p>
        </w:tc>
        <w:tc>
          <w:tcPr>
            <w:tcW w:type="pct" w:w="1600"/>
            <w:shd w:fill="FFFFFF" w:val="clear"/>
            <w:tcMar>
              <w:top w:type="dxa" w:w="70"/>
              <w:left w:type="dxa" w:w="120"/>
              <w:bottom w:type="dxa" w:w="70"/>
              <w:right w:type="dxa" w:w="120"/>
            </w:tcMar>
          </w:tcPr>
          <w:p>
            <w:r>
              <w:rPr>
                <w:sz w:val="19"/>
                <w:szCs w:val="19"/>
              </w:rPr>
              <w:t xml:space="preserve">Solo el 16/12/2024, dividido por 4,227 (queda en $26,8).</w:t>
            </w:r>
          </w:p>
        </w:tc>
      </w:tr>
      <w:tr>
        <w:trPr>
          <w:cantSplit/>
        </w:trPr>
        <w:tc>
          <w:tcPr>
            <w:tcW w:type="pct" w:w="700"/>
            <w:shd w:fill="FAFCFD" w:val="clear"/>
            <w:tcMar>
              <w:top w:type="dxa" w:w="70"/>
              <w:left w:type="dxa" w:w="120"/>
              <w:bottom w:type="dxa" w:w="70"/>
              <w:right w:type="dxa" w:w="120"/>
            </w:tcMar>
          </w:tcPr>
          <w:p>
            <w:r>
              <w:rPr>
                <w:sz w:val="19"/>
                <w:szCs w:val="19"/>
              </w:rPr>
              <w:t xml:space="preserve">AGRO.BA</w:t>
            </w:r>
          </w:p>
        </w:tc>
        <w:tc>
          <w:tcPr>
            <w:tcW w:type="pct" w:w="2700"/>
            <w:shd w:fill="FAFCFD" w:val="clear"/>
            <w:tcMar>
              <w:top w:type="dxa" w:w="70"/>
              <w:left w:type="dxa" w:w="120"/>
              <w:bottom w:type="dxa" w:w="70"/>
              <w:right w:type="dxa" w:w="120"/>
            </w:tcMar>
          </w:tcPr>
          <w:p>
            <w:r>
              <w:rPr>
                <w:sz w:val="19"/>
                <w:szCs w:val="19"/>
              </w:rPr>
              <w:t xml:space="preserve">Dividendo en acciones de noviembre 2023 (Yahoo lo registra como split 21:10 el 06/11/2023) que Yahoo no aplicó a los precios anteriores: la serie mostraba una caída falsa de −88%.</w:t>
            </w:r>
          </w:p>
        </w:tc>
        <w:tc>
          <w:tcPr>
            <w:tcW w:type="pct" w:w="1600"/>
            <w:shd w:fill="FAFCFD" w:val="clear"/>
            <w:tcMar>
              <w:top w:type="dxa" w:w="70"/>
              <w:left w:type="dxa" w:w="120"/>
              <w:bottom w:type="dxa" w:w="70"/>
              <w:right w:type="dxa" w:w="120"/>
            </w:tcMar>
          </w:tcPr>
          <w:p>
            <w:r>
              <w:rPr>
                <w:sz w:val="19"/>
                <w:szCs w:val="19"/>
              </w:rPr>
              <w:t xml:space="preserve">Todo hasta el 02/11/2023, dividido por 2,1.</w:t>
            </w:r>
          </w:p>
        </w:tc>
      </w:tr>
    </w:tbl>
    <w:p>
      <w:pPr>
        <w:spacing w:after="160" w:line="300"/>
      </w:pPr>
      <w:r>
        <w:t xml:space="preserve"/>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Lo que se dejó como está</w:t>
            </w:r>
          </w:p>
          <w:p>
            <w:pPr>
              <w:spacing w:after="60" w:line="276"/>
            </w:pPr>
            <w:r>
              <w:rPr>
                <w:b/>
                <w:bCs/>
              </w:rPr>
              <w:t xml:space="preserve">AGRO.BA 03/11/2023: </w:t>
            </w:r>
            <w:r>
              <w:t xml:space="preserve">aun después del ajuste, ese día cierra en $13,9 (−76%) y el siguiente en $27 (+94%). Tiene 8,5 millones de acciones operadas, así que no hay prueba de que sea un dato falso; se mantiene, pero conviene tenerlo presente al interpretar a AGRO en los análisis de 3 años.</w:t>
            </w:r>
          </w:p>
          <w:p>
            <w:pPr>
              <w:spacing w:after="60" w:line="276"/>
            </w:pPr>
            <w:r>
              <w:rPr>
                <w:b/>
                <w:bCs/>
              </w:rPr>
              <w:t xml:space="preserve">Saltos grandes que son reales: </w:t>
            </w:r>
            <w:r>
              <w:t xml:space="preserve">GCDI 24/01/2024 (+97%), CELU 17/09/2025 (+54%) y 18/02/2026 (−40% y +50% al día siguiente), RIGO 18/06/2025 (+31% y −20%). En todos el precio se sostiene o el movimiento viene con volumen muy por encima de lo normal, la firma de un shock real y no de un error de datos.</w:t>
            </w:r>
          </w:p>
        </w:tc>
      </w:tr>
    </w:tbl>
    <w:p>
      <w:pPr>
        <w:pStyle w:val="Heading1"/>
        <w:keepNext/>
        <w:spacing w:after="160" w:before="360"/>
      </w:pPr>
      <w:r>
        <w:t xml:space="preserve">6. Resultado — 47 de 53 pasan el criterio</w:t>
      </w:r>
    </w:p>
    <w:p>
      <w:pPr>
        <w:keepNext/>
        <w:spacing w:after="160" w:line="300"/>
      </w:pPr>
      <w:r>
        <w:t xml:space="preserve">47 de las 53 candidatas cumplen las dos condiciones. Quedan repartidas en 10 sectores: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120"/>
        <w:gridCol w:w="1253"/>
        <w:gridCol w:w="6265"/>
      </w:tblGrid>
      <w:tr>
        <w:trPr>
          <w:tblHeader/>
        </w:trPr>
        <w:tc>
          <w:tcPr>
            <w:tcW w:type="pct" w:w="1100"/>
            <w:shd w:fill="1C3A5C" w:val="clear"/>
            <w:tcMar>
              <w:top w:type="dxa" w:w="80"/>
              <w:left w:type="dxa" w:w="120"/>
              <w:bottom w:type="dxa" w:w="80"/>
              <w:right w:type="dxa" w:w="120"/>
            </w:tcMar>
          </w:tcPr>
          <w:p>
            <w:r>
              <w:rPr>
                <w:b/>
                <w:bCs/>
                <w:color w:val="FFFFFF"/>
                <w:sz w:val="19"/>
                <w:szCs w:val="19"/>
              </w:rPr>
              <w:t xml:space="preserve">Sector</w:t>
            </w:r>
          </w:p>
        </w:tc>
        <w:tc>
          <w:tcPr>
            <w:tcW w:type="pct" w:w="650"/>
            <w:shd w:fill="1C3A5C" w:val="clear"/>
            <w:tcMar>
              <w:top w:type="dxa" w:w="80"/>
              <w:left w:type="dxa" w:w="120"/>
              <w:bottom w:type="dxa" w:w="80"/>
              <w:right w:type="dxa" w:w="120"/>
            </w:tcMar>
          </w:tcPr>
          <w:p>
            <w:r>
              <w:rPr>
                <w:b/>
                <w:bCs/>
                <w:color w:val="FFFFFF"/>
                <w:sz w:val="19"/>
                <w:szCs w:val="19"/>
              </w:rPr>
              <w:t xml:space="preserve">Empresas</w:t>
            </w:r>
          </w:p>
        </w:tc>
        <w:tc>
          <w:tcPr>
            <w:tcW w:type="pct" w:w="3250"/>
            <w:shd w:fill="1C3A5C" w:val="clear"/>
            <w:tcMar>
              <w:top w:type="dxa" w:w="80"/>
              <w:left w:type="dxa" w:w="120"/>
              <w:bottom w:type="dxa" w:w="80"/>
              <w:right w:type="dxa" w:w="120"/>
            </w:tcMar>
          </w:tcPr>
          <w:p>
            <w:r>
              <w:rPr>
                <w:b/>
                <w:bCs/>
                <w:color w:val="FFFFFF"/>
                <w:sz w:val="19"/>
                <w:szCs w:val="19"/>
              </w:rPr>
              <w:t xml:space="preserve">Tickers</w:t>
            </w:r>
          </w:p>
        </w:tc>
      </w:tr>
      <w:tr>
        <w:trPr>
          <w:cantSplit/>
        </w:trPr>
        <w:tc>
          <w:tcPr>
            <w:tcW w:type="pct" w:w="1100"/>
            <w:shd w:fill="FFFFFF" w:val="clear"/>
            <w:tcMar>
              <w:top w:type="dxa" w:w="70"/>
              <w:left w:type="dxa" w:w="120"/>
              <w:bottom w:type="dxa" w:w="70"/>
              <w:right w:type="dxa" w:w="120"/>
            </w:tcMar>
          </w:tcPr>
          <w:p>
            <w:r>
              <w:rPr>
                <w:sz w:val="19"/>
                <w:szCs w:val="19"/>
              </w:rPr>
              <w:t xml:space="preserve">Consumo</w:t>
            </w:r>
          </w:p>
        </w:tc>
        <w:tc>
          <w:tcPr>
            <w:tcW w:type="pct" w:w="650"/>
            <w:shd w:fill="FFFFFF" w:val="clear"/>
            <w:tcMar>
              <w:top w:type="dxa" w:w="70"/>
              <w:left w:type="dxa" w:w="120"/>
              <w:bottom w:type="dxa" w:w="70"/>
              <w:right w:type="dxa" w:w="120"/>
            </w:tcMar>
          </w:tcPr>
          <w:p>
            <w:r>
              <w:rPr>
                <w:sz w:val="19"/>
                <w:szCs w:val="19"/>
              </w:rPr>
              <w:t xml:space="preserve">9</w:t>
            </w:r>
          </w:p>
        </w:tc>
        <w:tc>
          <w:tcPr>
            <w:tcW w:type="pct" w:w="3250"/>
            <w:shd w:fill="FFFFFF" w:val="clear"/>
            <w:tcMar>
              <w:top w:type="dxa" w:w="70"/>
              <w:left w:type="dxa" w:w="120"/>
              <w:bottom w:type="dxa" w:w="70"/>
              <w:right w:type="dxa" w:w="120"/>
            </w:tcMar>
          </w:tcPr>
          <w:p>
            <w:r>
              <w:rPr>
                <w:sz w:val="19"/>
                <w:szCs w:val="19"/>
              </w:rPr>
              <w:t xml:space="preserve">GRIM, HAVA, LEDE, LONG, MIRG, MOLI, MORI, SAMI, SEMI</w:t>
            </w:r>
          </w:p>
        </w:tc>
      </w:tr>
      <w:tr>
        <w:trPr>
          <w:cantSplit/>
        </w:trPr>
        <w:tc>
          <w:tcPr>
            <w:tcW w:type="pct" w:w="1100"/>
            <w:shd w:fill="FAFCFD" w:val="clear"/>
            <w:tcMar>
              <w:top w:type="dxa" w:w="70"/>
              <w:left w:type="dxa" w:w="120"/>
              <w:bottom w:type="dxa" w:w="70"/>
              <w:right w:type="dxa" w:w="120"/>
            </w:tcMar>
          </w:tcPr>
          <w:p>
            <w:r>
              <w:rPr>
                <w:sz w:val="19"/>
                <w:szCs w:val="19"/>
              </w:rPr>
              <w:t xml:space="preserve">Financiero</w:t>
            </w:r>
          </w:p>
        </w:tc>
        <w:tc>
          <w:tcPr>
            <w:tcW w:type="pct" w:w="650"/>
            <w:shd w:fill="FAFCFD" w:val="clear"/>
            <w:tcMar>
              <w:top w:type="dxa" w:w="70"/>
              <w:left w:type="dxa" w:w="120"/>
              <w:bottom w:type="dxa" w:w="70"/>
              <w:right w:type="dxa" w:w="120"/>
            </w:tcMar>
          </w:tcPr>
          <w:p>
            <w:r>
              <w:rPr>
                <w:sz w:val="19"/>
                <w:szCs w:val="19"/>
              </w:rPr>
              <w:t xml:space="preserve">8</w:t>
            </w:r>
          </w:p>
        </w:tc>
        <w:tc>
          <w:tcPr>
            <w:tcW w:type="pct" w:w="3250"/>
            <w:shd w:fill="FAFCFD" w:val="clear"/>
            <w:tcMar>
              <w:top w:type="dxa" w:w="70"/>
              <w:left w:type="dxa" w:w="120"/>
              <w:bottom w:type="dxa" w:w="70"/>
              <w:right w:type="dxa" w:w="120"/>
            </w:tcMar>
          </w:tcPr>
          <w:p>
            <w:r>
              <w:rPr>
                <w:sz w:val="19"/>
                <w:szCs w:val="19"/>
              </w:rPr>
              <w:t xml:space="preserve">BBAR, BHIP, BMA, BPAT, BYMA, GGAL, SUPV, VALO</w:t>
            </w:r>
          </w:p>
        </w:tc>
      </w:tr>
      <w:tr>
        <w:trPr>
          <w:cantSplit/>
        </w:trPr>
        <w:tc>
          <w:tcPr>
            <w:tcW w:type="pct" w:w="1100"/>
            <w:shd w:fill="FFFFFF" w:val="clear"/>
            <w:tcMar>
              <w:top w:type="dxa" w:w="70"/>
              <w:left w:type="dxa" w:w="120"/>
              <w:bottom w:type="dxa" w:w="70"/>
              <w:right w:type="dxa" w:w="120"/>
            </w:tcMar>
          </w:tcPr>
          <w:p>
            <w:r>
              <w:rPr>
                <w:sz w:val="19"/>
                <w:szCs w:val="19"/>
              </w:rPr>
              <w:t xml:space="preserve">Utilities</w:t>
            </w:r>
          </w:p>
        </w:tc>
        <w:tc>
          <w:tcPr>
            <w:tcW w:type="pct" w:w="650"/>
            <w:shd w:fill="FFFFFF" w:val="clear"/>
            <w:tcMar>
              <w:top w:type="dxa" w:w="70"/>
              <w:left w:type="dxa" w:w="120"/>
              <w:bottom w:type="dxa" w:w="70"/>
              <w:right w:type="dxa" w:w="120"/>
            </w:tcMar>
          </w:tcPr>
          <w:p>
            <w:r>
              <w:rPr>
                <w:sz w:val="19"/>
                <w:szCs w:val="19"/>
              </w:rPr>
              <w:t xml:space="preserve">8</w:t>
            </w:r>
          </w:p>
        </w:tc>
        <w:tc>
          <w:tcPr>
            <w:tcW w:type="pct" w:w="3250"/>
            <w:shd w:fill="FFFFFF" w:val="clear"/>
            <w:tcMar>
              <w:top w:type="dxa" w:w="70"/>
              <w:left w:type="dxa" w:w="120"/>
              <w:bottom w:type="dxa" w:w="70"/>
              <w:right w:type="dxa" w:w="120"/>
            </w:tcMar>
          </w:tcPr>
          <w:p>
            <w:r>
              <w:rPr>
                <w:sz w:val="19"/>
                <w:szCs w:val="19"/>
              </w:rPr>
              <w:t xml:space="preserve">CEPU, CGPA2, DGCU2, EDN, GBAN, METR, PAMP, TRAN</w:t>
            </w:r>
          </w:p>
        </w:tc>
      </w:tr>
      <w:tr>
        <w:trPr>
          <w:cantSplit/>
        </w:trPr>
        <w:tc>
          <w:tcPr>
            <w:tcW w:type="pct" w:w="1100"/>
            <w:shd w:fill="FAFCFD" w:val="clear"/>
            <w:tcMar>
              <w:top w:type="dxa" w:w="70"/>
              <w:left w:type="dxa" w:w="120"/>
              <w:bottom w:type="dxa" w:w="70"/>
              <w:right w:type="dxa" w:w="120"/>
            </w:tcMar>
          </w:tcPr>
          <w:p>
            <w:r>
              <w:rPr>
                <w:sz w:val="19"/>
                <w:szCs w:val="19"/>
              </w:rPr>
              <w:t xml:space="preserve">Materiales</w:t>
            </w:r>
          </w:p>
        </w:tc>
        <w:tc>
          <w:tcPr>
            <w:tcW w:type="pct" w:w="650"/>
            <w:shd w:fill="FAFCFD" w:val="clear"/>
            <w:tcMar>
              <w:top w:type="dxa" w:w="70"/>
              <w:left w:type="dxa" w:w="120"/>
              <w:bottom w:type="dxa" w:w="70"/>
              <w:right w:type="dxa" w:w="120"/>
            </w:tcMar>
          </w:tcPr>
          <w:p>
            <w:r>
              <w:rPr>
                <w:sz w:val="19"/>
                <w:szCs w:val="19"/>
              </w:rPr>
              <w:t xml:space="preserve">6</w:t>
            </w:r>
          </w:p>
        </w:tc>
        <w:tc>
          <w:tcPr>
            <w:tcW w:type="pct" w:w="3250"/>
            <w:shd w:fill="FAFCFD" w:val="clear"/>
            <w:tcMar>
              <w:top w:type="dxa" w:w="70"/>
              <w:left w:type="dxa" w:w="120"/>
              <w:bottom w:type="dxa" w:w="70"/>
              <w:right w:type="dxa" w:w="120"/>
            </w:tcMar>
          </w:tcPr>
          <w:p>
            <w:r>
              <w:rPr>
                <w:sz w:val="19"/>
                <w:szCs w:val="19"/>
              </w:rPr>
              <w:t xml:space="preserve">ALUA, CELU, FIPL, LOMA, RIGO, TXAR</w:t>
            </w:r>
          </w:p>
        </w:tc>
      </w:tr>
      <w:tr>
        <w:trPr>
          <w:cantSplit/>
        </w:trPr>
        <w:tc>
          <w:tcPr>
            <w:tcW w:type="pct" w:w="1100"/>
            <w:shd w:fill="FFFFFF" w:val="clear"/>
            <w:tcMar>
              <w:top w:type="dxa" w:w="70"/>
              <w:left w:type="dxa" w:w="120"/>
              <w:bottom w:type="dxa" w:w="70"/>
              <w:right w:type="dxa" w:w="120"/>
            </w:tcMar>
          </w:tcPr>
          <w:p>
            <w:r>
              <w:rPr>
                <w:sz w:val="19"/>
                <w:szCs w:val="19"/>
              </w:rPr>
              <w:t xml:space="preserve">Energía</w:t>
            </w:r>
          </w:p>
        </w:tc>
        <w:tc>
          <w:tcPr>
            <w:tcW w:type="pct" w:w="650"/>
            <w:shd w:fill="FFFFFF" w:val="clear"/>
            <w:tcMar>
              <w:top w:type="dxa" w:w="70"/>
              <w:left w:type="dxa" w:w="120"/>
              <w:bottom w:type="dxa" w:w="70"/>
              <w:right w:type="dxa" w:w="120"/>
            </w:tcMar>
          </w:tcPr>
          <w:p>
            <w:r>
              <w:rPr>
                <w:sz w:val="19"/>
                <w:szCs w:val="19"/>
              </w:rPr>
              <w:t xml:space="preserve">4</w:t>
            </w:r>
          </w:p>
        </w:tc>
        <w:tc>
          <w:tcPr>
            <w:tcW w:type="pct" w:w="3250"/>
            <w:shd w:fill="FFFFFF" w:val="clear"/>
            <w:tcMar>
              <w:top w:type="dxa" w:w="70"/>
              <w:left w:type="dxa" w:w="120"/>
              <w:bottom w:type="dxa" w:w="70"/>
              <w:right w:type="dxa" w:w="120"/>
            </w:tcMar>
          </w:tcPr>
          <w:p>
            <w:r>
              <w:rPr>
                <w:sz w:val="19"/>
                <w:szCs w:val="19"/>
              </w:rPr>
              <w:t xml:space="preserve">CAPX, TGNO4, TGSU2, YPFD</w:t>
            </w:r>
          </w:p>
        </w:tc>
      </w:tr>
      <w:tr>
        <w:trPr>
          <w:cantSplit/>
        </w:trPr>
        <w:tc>
          <w:tcPr>
            <w:tcW w:type="pct" w:w="1100"/>
            <w:shd w:fill="FAFCFD" w:val="clear"/>
            <w:tcMar>
              <w:top w:type="dxa" w:w="70"/>
              <w:left w:type="dxa" w:w="120"/>
              <w:bottom w:type="dxa" w:w="70"/>
              <w:right w:type="dxa" w:w="120"/>
            </w:tcMar>
          </w:tcPr>
          <w:p>
            <w:r>
              <w:rPr>
                <w:sz w:val="19"/>
                <w:szCs w:val="19"/>
              </w:rPr>
              <w:t xml:space="preserve">Conglomerado</w:t>
            </w:r>
          </w:p>
        </w:tc>
        <w:tc>
          <w:tcPr>
            <w:tcW w:type="pct" w:w="650"/>
            <w:shd w:fill="FAFCFD" w:val="clear"/>
            <w:tcMar>
              <w:top w:type="dxa" w:w="70"/>
              <w:left w:type="dxa" w:w="120"/>
              <w:bottom w:type="dxa" w:w="70"/>
              <w:right w:type="dxa" w:w="120"/>
            </w:tcMar>
          </w:tcPr>
          <w:p>
            <w:r>
              <w:rPr>
                <w:sz w:val="19"/>
                <w:szCs w:val="19"/>
              </w:rPr>
              <w:t xml:space="preserve">3</w:t>
            </w:r>
          </w:p>
        </w:tc>
        <w:tc>
          <w:tcPr>
            <w:tcW w:type="pct" w:w="3250"/>
            <w:shd w:fill="FAFCFD" w:val="clear"/>
            <w:tcMar>
              <w:top w:type="dxa" w:w="70"/>
              <w:left w:type="dxa" w:w="120"/>
              <w:bottom w:type="dxa" w:w="70"/>
              <w:right w:type="dxa" w:w="120"/>
            </w:tcMar>
          </w:tcPr>
          <w:p>
            <w:r>
              <w:rPr>
                <w:sz w:val="19"/>
                <w:szCs w:val="19"/>
              </w:rPr>
              <w:t xml:space="preserve">COME, CRES, GARO</w:t>
            </w:r>
          </w:p>
        </w:tc>
      </w:tr>
      <w:tr>
        <w:trPr>
          <w:cantSplit/>
        </w:trPr>
        <w:tc>
          <w:tcPr>
            <w:tcW w:type="pct" w:w="1100"/>
            <w:shd w:fill="FFFFFF" w:val="clear"/>
            <w:tcMar>
              <w:top w:type="dxa" w:w="70"/>
              <w:left w:type="dxa" w:w="120"/>
              <w:bottom w:type="dxa" w:w="70"/>
              <w:right w:type="dxa" w:w="120"/>
            </w:tcMar>
          </w:tcPr>
          <w:p>
            <w:r>
              <w:rPr>
                <w:sz w:val="19"/>
                <w:szCs w:val="19"/>
              </w:rPr>
              <w:t xml:space="preserve">Industrial</w:t>
            </w:r>
          </w:p>
        </w:tc>
        <w:tc>
          <w:tcPr>
            <w:tcW w:type="pct" w:w="650"/>
            <w:shd w:fill="FFFFFF" w:val="clear"/>
            <w:tcMar>
              <w:top w:type="dxa" w:w="70"/>
              <w:left w:type="dxa" w:w="120"/>
              <w:bottom w:type="dxa" w:w="70"/>
              <w:right w:type="dxa" w:w="120"/>
            </w:tcMar>
          </w:tcPr>
          <w:p>
            <w:r>
              <w:rPr>
                <w:sz w:val="19"/>
                <w:szCs w:val="19"/>
              </w:rPr>
              <w:t xml:space="preserve">3</w:t>
            </w:r>
          </w:p>
        </w:tc>
        <w:tc>
          <w:tcPr>
            <w:tcW w:type="pct" w:w="3250"/>
            <w:shd w:fill="FFFFFF" w:val="clear"/>
            <w:tcMar>
              <w:top w:type="dxa" w:w="70"/>
              <w:left w:type="dxa" w:w="120"/>
              <w:bottom w:type="dxa" w:w="70"/>
              <w:right w:type="dxa" w:w="120"/>
            </w:tcMar>
          </w:tcPr>
          <w:p>
            <w:r>
              <w:rPr>
                <w:sz w:val="19"/>
                <w:szCs w:val="19"/>
              </w:rPr>
              <w:t xml:space="preserve">AGRO, AUSO, OEST</w:t>
            </w:r>
          </w:p>
        </w:tc>
      </w:tr>
      <w:tr>
        <w:trPr>
          <w:cantSplit/>
        </w:trPr>
        <w:tc>
          <w:tcPr>
            <w:tcW w:type="pct" w:w="1100"/>
            <w:shd w:fill="FAFCFD" w:val="clear"/>
            <w:tcMar>
              <w:top w:type="dxa" w:w="70"/>
              <w:left w:type="dxa" w:w="120"/>
              <w:bottom w:type="dxa" w:w="70"/>
              <w:right w:type="dxa" w:w="120"/>
            </w:tcMar>
          </w:tcPr>
          <w:p>
            <w:r>
              <w:rPr>
                <w:sz w:val="19"/>
                <w:szCs w:val="19"/>
              </w:rPr>
              <w:t xml:space="preserve">Real Estate</w:t>
            </w:r>
          </w:p>
        </w:tc>
        <w:tc>
          <w:tcPr>
            <w:tcW w:type="pct" w:w="650"/>
            <w:shd w:fill="FAFCFD" w:val="clear"/>
            <w:tcMar>
              <w:top w:type="dxa" w:w="70"/>
              <w:left w:type="dxa" w:w="120"/>
              <w:bottom w:type="dxa" w:w="70"/>
              <w:right w:type="dxa" w:w="120"/>
            </w:tcMar>
          </w:tcPr>
          <w:p>
            <w:r>
              <w:rPr>
                <w:sz w:val="19"/>
                <w:szCs w:val="19"/>
              </w:rPr>
              <w:t xml:space="preserve">3</w:t>
            </w:r>
          </w:p>
        </w:tc>
        <w:tc>
          <w:tcPr>
            <w:tcW w:type="pct" w:w="3250"/>
            <w:shd w:fill="FAFCFD" w:val="clear"/>
            <w:tcMar>
              <w:top w:type="dxa" w:w="70"/>
              <w:left w:type="dxa" w:w="120"/>
              <w:bottom w:type="dxa" w:w="70"/>
              <w:right w:type="dxa" w:w="120"/>
            </w:tcMar>
          </w:tcPr>
          <w:p>
            <w:r>
              <w:rPr>
                <w:sz w:val="19"/>
                <w:szCs w:val="19"/>
              </w:rPr>
              <w:t xml:space="preserve">CTIO, GCDI, IRSA</w:t>
            </w:r>
          </w:p>
        </w:tc>
      </w:tr>
      <w:tr>
        <w:trPr>
          <w:cantSplit/>
        </w:trPr>
        <w:tc>
          <w:tcPr>
            <w:tcW w:type="pct" w:w="1100"/>
            <w:shd w:fill="FFFFFF" w:val="clear"/>
            <w:tcMar>
              <w:top w:type="dxa" w:w="70"/>
              <w:left w:type="dxa" w:w="120"/>
              <w:bottom w:type="dxa" w:w="70"/>
              <w:right w:type="dxa" w:w="120"/>
            </w:tcMar>
          </w:tcPr>
          <w:p>
            <w:r>
              <w:rPr>
                <w:sz w:val="19"/>
                <w:szCs w:val="19"/>
              </w:rPr>
              <w:t xml:space="preserve">Comunicaciones</w:t>
            </w:r>
          </w:p>
        </w:tc>
        <w:tc>
          <w:tcPr>
            <w:tcW w:type="pct" w:w="650"/>
            <w:shd w:fill="FFFFFF" w:val="clear"/>
            <w:tcMar>
              <w:top w:type="dxa" w:w="70"/>
              <w:left w:type="dxa" w:w="120"/>
              <w:bottom w:type="dxa" w:w="70"/>
              <w:right w:type="dxa" w:w="120"/>
            </w:tcMar>
          </w:tcPr>
          <w:p>
            <w:r>
              <w:rPr>
                <w:sz w:val="19"/>
                <w:szCs w:val="19"/>
              </w:rPr>
              <w:t xml:space="preserve">2</w:t>
            </w:r>
          </w:p>
        </w:tc>
        <w:tc>
          <w:tcPr>
            <w:tcW w:type="pct" w:w="3250"/>
            <w:shd w:fill="FFFFFF" w:val="clear"/>
            <w:tcMar>
              <w:top w:type="dxa" w:w="70"/>
              <w:left w:type="dxa" w:w="120"/>
              <w:bottom w:type="dxa" w:w="70"/>
              <w:right w:type="dxa" w:w="120"/>
            </w:tcMar>
          </w:tcPr>
          <w:p>
            <w:r>
              <w:rPr>
                <w:sz w:val="19"/>
                <w:szCs w:val="19"/>
              </w:rPr>
              <w:t xml:space="preserve">CVH, TECO2</w:t>
            </w:r>
          </w:p>
        </w:tc>
      </w:tr>
      <w:tr>
        <w:trPr>
          <w:cantSplit/>
        </w:trPr>
        <w:tc>
          <w:tcPr>
            <w:tcW w:type="pct" w:w="1100"/>
            <w:shd w:fill="FAFCFD" w:val="clear"/>
            <w:tcMar>
              <w:top w:type="dxa" w:w="70"/>
              <w:left w:type="dxa" w:w="120"/>
              <w:bottom w:type="dxa" w:w="70"/>
              <w:right w:type="dxa" w:w="120"/>
            </w:tcMar>
          </w:tcPr>
          <w:p>
            <w:r>
              <w:rPr>
                <w:sz w:val="19"/>
                <w:szCs w:val="19"/>
              </w:rPr>
              <w:t xml:space="preserve">Tecnología</w:t>
            </w:r>
          </w:p>
        </w:tc>
        <w:tc>
          <w:tcPr>
            <w:tcW w:type="pct" w:w="650"/>
            <w:shd w:fill="FAFCFD" w:val="clear"/>
            <w:tcMar>
              <w:top w:type="dxa" w:w="70"/>
              <w:left w:type="dxa" w:w="120"/>
              <w:bottom w:type="dxa" w:w="70"/>
              <w:right w:type="dxa" w:w="120"/>
            </w:tcMar>
          </w:tcPr>
          <w:p>
            <w:r>
              <w:rPr>
                <w:sz w:val="19"/>
                <w:szCs w:val="19"/>
              </w:rPr>
              <w:t xml:space="preserve">1</w:t>
            </w:r>
          </w:p>
        </w:tc>
        <w:tc>
          <w:tcPr>
            <w:tcW w:type="pct" w:w="3250"/>
            <w:shd w:fill="FAFCFD" w:val="clear"/>
            <w:tcMar>
              <w:top w:type="dxa" w:w="70"/>
              <w:left w:type="dxa" w:w="120"/>
              <w:bottom w:type="dxa" w:w="70"/>
              <w:right w:type="dxa" w:w="120"/>
            </w:tcMar>
          </w:tcPr>
          <w:p>
            <w:r>
              <w:rPr>
                <w:sz w:val="19"/>
                <w:szCs w:val="19"/>
              </w:rPr>
              <w:t xml:space="preserve">BOLT</w:t>
            </w:r>
          </w:p>
        </w:tc>
      </w:tr>
    </w:tbl>
    <w:p>
      <w:pPr>
        <w:spacing w:after="160" w:line="300"/>
      </w:pPr>
      <w:r>
        <w:t xml:space="preserve"/>
      </w:r>
    </w:p>
    <w:p>
      <w:pPr>
        <w:keepNext/>
        <w:spacing w:after="160" w:line="300"/>
      </w:pPr>
      <w:r>
        <w:t xml:space="preserve">Las 6 que quedan afuera: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542"/>
        <w:gridCol w:w="3277"/>
        <w:gridCol w:w="4819"/>
      </w:tblGrid>
      <w:tr>
        <w:trPr>
          <w:tblHeader/>
        </w:trPr>
        <w:tc>
          <w:tcPr>
            <w:tcW w:type="pct" w:w="800"/>
            <w:shd w:fill="1C3A5C" w:val="clear"/>
            <w:tcMar>
              <w:top w:type="dxa" w:w="80"/>
              <w:left w:type="dxa" w:w="120"/>
              <w:bottom w:type="dxa" w:w="80"/>
              <w:right w:type="dxa" w:w="120"/>
            </w:tcMar>
          </w:tcPr>
          <w:p>
            <w:r>
              <w:rPr>
                <w:b/>
                <w:bCs/>
                <w:color w:val="FFFFFF"/>
                <w:sz w:val="19"/>
                <w:szCs w:val="19"/>
              </w:rPr>
              <w:t xml:space="preserve">Ticker</w:t>
            </w:r>
          </w:p>
        </w:tc>
        <w:tc>
          <w:tcPr>
            <w:tcW w:type="pct" w:w="1700"/>
            <w:shd w:fill="1C3A5C" w:val="clear"/>
            <w:tcMar>
              <w:top w:type="dxa" w:w="80"/>
              <w:left w:type="dxa" w:w="120"/>
              <w:bottom w:type="dxa" w:w="80"/>
              <w:right w:type="dxa" w:w="120"/>
            </w:tcMar>
          </w:tcPr>
          <w:p>
            <w:r>
              <w:rPr>
                <w:b/>
                <w:bCs/>
                <w:color w:val="FFFFFF"/>
                <w:sz w:val="19"/>
                <w:szCs w:val="19"/>
              </w:rPr>
              <w:t xml:space="preserve">Empresa</w:t>
            </w:r>
          </w:p>
        </w:tc>
        <w:tc>
          <w:tcPr>
            <w:tcW w:type="pct" w:w="2500"/>
            <w:shd w:fill="1C3A5C" w:val="clear"/>
            <w:tcMar>
              <w:top w:type="dxa" w:w="80"/>
              <w:left w:type="dxa" w:w="120"/>
              <w:bottom w:type="dxa" w:w="80"/>
              <w:right w:type="dxa" w:w="120"/>
            </w:tcMar>
          </w:tcPr>
          <w:p>
            <w:r>
              <w:rPr>
                <w:b/>
                <w:bCs/>
                <w:color w:val="FFFFFF"/>
                <w:sz w:val="19"/>
                <w:szCs w:val="19"/>
              </w:rPr>
              <w:t xml:space="preserve">Motivo</w:t>
            </w:r>
          </w:p>
        </w:tc>
      </w:tr>
      <w:tr>
        <w:trPr>
          <w:cantSplit/>
        </w:trPr>
        <w:tc>
          <w:tcPr>
            <w:tcW w:type="pct" w:w="800"/>
            <w:shd w:fill="FFFFFF" w:val="clear"/>
            <w:tcMar>
              <w:top w:type="dxa" w:w="70"/>
              <w:left w:type="dxa" w:w="120"/>
              <w:bottom w:type="dxa" w:w="70"/>
              <w:right w:type="dxa" w:w="120"/>
            </w:tcMar>
          </w:tcPr>
          <w:p>
            <w:r>
              <w:rPr>
                <w:sz w:val="19"/>
                <w:szCs w:val="19"/>
              </w:rPr>
              <w:t xml:space="preserve">CARC.BA</w:t>
            </w:r>
          </w:p>
        </w:tc>
        <w:tc>
          <w:tcPr>
            <w:tcW w:type="pct" w:w="1700"/>
            <w:shd w:fill="FFFFFF" w:val="clear"/>
            <w:tcMar>
              <w:top w:type="dxa" w:w="70"/>
              <w:left w:type="dxa" w:w="120"/>
              <w:bottom w:type="dxa" w:w="70"/>
              <w:right w:type="dxa" w:w="120"/>
            </w:tcMar>
          </w:tcPr>
          <w:p>
            <w:r>
              <w:rPr>
                <w:sz w:val="19"/>
                <w:szCs w:val="19"/>
              </w:rPr>
              <w:t xml:space="preserve">Carboclor</w:t>
            </w:r>
          </w:p>
        </w:tc>
        <w:tc>
          <w:tcPr>
            <w:tcW w:type="pct" w:w="2500"/>
            <w:shd w:fill="FFFFFF" w:val="clear"/>
            <w:tcMar>
              <w:top w:type="dxa" w:w="70"/>
              <w:left w:type="dxa" w:w="120"/>
              <w:bottom w:type="dxa" w:w="70"/>
              <w:right w:type="dxa" w:w="120"/>
            </w:tcMar>
          </w:tcPr>
          <w:p>
            <w:r>
              <w:rPr>
                <w:sz w:val="19"/>
                <w:szCs w:val="19"/>
              </w:rPr>
              <w:t xml:space="preserve">462 de 731 días (cotiza desde 06/2024) y solo 39,0% con volumen real</w:t>
            </w:r>
          </w:p>
        </w:tc>
      </w:tr>
      <w:tr>
        <w:trPr>
          <w:cantSplit/>
        </w:trPr>
        <w:tc>
          <w:tcPr>
            <w:tcW w:type="pct" w:w="800"/>
            <w:shd w:fill="FAFCFD" w:val="clear"/>
            <w:tcMar>
              <w:top w:type="dxa" w:w="70"/>
              <w:left w:type="dxa" w:w="120"/>
              <w:bottom w:type="dxa" w:w="70"/>
              <w:right w:type="dxa" w:w="120"/>
            </w:tcMar>
          </w:tcPr>
          <w:p>
            <w:r>
              <w:rPr>
                <w:sz w:val="19"/>
                <w:szCs w:val="19"/>
              </w:rPr>
              <w:t xml:space="preserve">HARG.BA</w:t>
            </w:r>
          </w:p>
        </w:tc>
        <w:tc>
          <w:tcPr>
            <w:tcW w:type="pct" w:w="1700"/>
            <w:shd w:fill="FAFCFD" w:val="clear"/>
            <w:tcMar>
              <w:top w:type="dxa" w:w="70"/>
              <w:left w:type="dxa" w:w="120"/>
              <w:bottom w:type="dxa" w:w="70"/>
              <w:right w:type="dxa" w:w="120"/>
            </w:tcMar>
          </w:tcPr>
          <w:p>
            <w:r>
              <w:rPr>
                <w:sz w:val="19"/>
                <w:szCs w:val="19"/>
              </w:rPr>
              <w:t xml:space="preserve">Holcim Argentina</w:t>
            </w:r>
          </w:p>
        </w:tc>
        <w:tc>
          <w:tcPr>
            <w:tcW w:type="pct" w:w="2500"/>
            <w:shd w:fill="FAFCFD" w:val="clear"/>
            <w:tcMar>
              <w:top w:type="dxa" w:w="70"/>
              <w:left w:type="dxa" w:w="120"/>
              <w:bottom w:type="dxa" w:w="70"/>
              <w:right w:type="dxa" w:w="120"/>
            </w:tcMar>
          </w:tcPr>
          <w:p>
            <w:r>
              <w:rPr>
                <w:sz w:val="19"/>
                <w:szCs w:val="19"/>
              </w:rPr>
              <w:t xml:space="preserve">731 días, pero solo 67,2% con volumen real</w:t>
            </w:r>
          </w:p>
        </w:tc>
      </w:tr>
      <w:tr>
        <w:trPr>
          <w:cantSplit/>
        </w:trPr>
        <w:tc>
          <w:tcPr>
            <w:tcW w:type="pct" w:w="800"/>
            <w:shd w:fill="FFFFFF" w:val="clear"/>
            <w:tcMar>
              <w:top w:type="dxa" w:w="70"/>
              <w:left w:type="dxa" w:w="120"/>
              <w:bottom w:type="dxa" w:w="70"/>
              <w:right w:type="dxa" w:w="120"/>
            </w:tcMar>
          </w:tcPr>
          <w:p>
            <w:r>
              <w:rPr>
                <w:sz w:val="19"/>
                <w:szCs w:val="19"/>
              </w:rPr>
              <w:t xml:space="preserve">NQNO.BA</w:t>
            </w:r>
          </w:p>
        </w:tc>
        <w:tc>
          <w:tcPr>
            <w:tcW w:type="pct" w:w="1700"/>
            <w:shd w:fill="FFFFFF" w:val="clear"/>
            <w:tcMar>
              <w:top w:type="dxa" w:w="70"/>
              <w:left w:type="dxa" w:w="120"/>
              <w:bottom w:type="dxa" w:w="70"/>
              <w:right w:type="dxa" w:w="120"/>
            </w:tcMar>
          </w:tcPr>
          <w:p>
            <w:r>
              <w:rPr>
                <w:sz w:val="19"/>
                <w:szCs w:val="19"/>
              </w:rPr>
              <w:t xml:space="preserve">NII Holdings (Nextel)</w:t>
            </w:r>
          </w:p>
        </w:tc>
        <w:tc>
          <w:tcPr>
            <w:tcW w:type="pct" w:w="2500"/>
            <w:shd w:fill="FFFFFF" w:val="clear"/>
            <w:tcMar>
              <w:top w:type="dxa" w:w="70"/>
              <w:left w:type="dxa" w:w="120"/>
              <w:bottom w:type="dxa" w:w="70"/>
              <w:right w:type="dxa" w:w="120"/>
            </w:tcMar>
          </w:tcPr>
          <w:p>
            <w:r>
              <w:rPr>
                <w:sz w:val="19"/>
                <w:szCs w:val="19"/>
              </w:rPr>
              <w:t xml:space="preserve">Sin datos en Yahoo Finance</w:t>
            </w:r>
          </w:p>
        </w:tc>
      </w:tr>
      <w:tr>
        <w:trPr>
          <w:cantSplit/>
        </w:trPr>
        <w:tc>
          <w:tcPr>
            <w:tcW w:type="pct" w:w="800"/>
            <w:shd w:fill="FAFCFD" w:val="clear"/>
            <w:tcMar>
              <w:top w:type="dxa" w:w="70"/>
              <w:left w:type="dxa" w:w="120"/>
              <w:bottom w:type="dxa" w:w="70"/>
              <w:right w:type="dxa" w:w="120"/>
            </w:tcMar>
          </w:tcPr>
          <w:p>
            <w:r>
              <w:rPr>
                <w:sz w:val="19"/>
                <w:szCs w:val="19"/>
              </w:rPr>
              <w:t xml:space="preserve">POLL.BA</w:t>
            </w:r>
          </w:p>
        </w:tc>
        <w:tc>
          <w:tcPr>
            <w:tcW w:type="pct" w:w="1700"/>
            <w:shd w:fill="FAFCFD" w:val="clear"/>
            <w:tcMar>
              <w:top w:type="dxa" w:w="70"/>
              <w:left w:type="dxa" w:w="120"/>
              <w:bottom w:type="dxa" w:w="70"/>
              <w:right w:type="dxa" w:w="120"/>
            </w:tcMar>
          </w:tcPr>
          <w:p>
            <w:r>
              <w:rPr>
                <w:sz w:val="19"/>
                <w:szCs w:val="19"/>
              </w:rPr>
              <w:t xml:space="preserve">Polledo</w:t>
            </w:r>
          </w:p>
        </w:tc>
        <w:tc>
          <w:tcPr>
            <w:tcW w:type="pct" w:w="2500"/>
            <w:shd w:fill="FAFCFD" w:val="clear"/>
            <w:tcMar>
              <w:top w:type="dxa" w:w="70"/>
              <w:left w:type="dxa" w:w="120"/>
              <w:bottom w:type="dxa" w:w="70"/>
              <w:right w:type="dxa" w:w="120"/>
            </w:tcMar>
          </w:tcPr>
          <w:p>
            <w:r>
              <w:rPr>
                <w:sz w:val="19"/>
                <w:szCs w:val="19"/>
              </w:rPr>
              <w:t xml:space="preserve">731 días, pero solo 50,2% con volumen real</w:t>
            </w:r>
          </w:p>
        </w:tc>
      </w:tr>
      <w:tr>
        <w:trPr>
          <w:cantSplit/>
        </w:trPr>
        <w:tc>
          <w:tcPr>
            <w:tcW w:type="pct" w:w="800"/>
            <w:shd w:fill="FFFFFF" w:val="clear"/>
            <w:tcMar>
              <w:top w:type="dxa" w:w="70"/>
              <w:left w:type="dxa" w:w="120"/>
              <w:bottom w:type="dxa" w:w="70"/>
              <w:right w:type="dxa" w:w="120"/>
            </w:tcMar>
          </w:tcPr>
          <w:p>
            <w:r>
              <w:rPr>
                <w:sz w:val="19"/>
                <w:szCs w:val="19"/>
              </w:rPr>
              <w:t xml:space="preserve">ROSE.BA</w:t>
            </w:r>
          </w:p>
        </w:tc>
        <w:tc>
          <w:tcPr>
            <w:tcW w:type="pct" w:w="1700"/>
            <w:shd w:fill="FFFFFF" w:val="clear"/>
            <w:tcMar>
              <w:top w:type="dxa" w:w="70"/>
              <w:left w:type="dxa" w:w="120"/>
              <w:bottom w:type="dxa" w:w="70"/>
              <w:right w:type="dxa" w:w="120"/>
            </w:tcMar>
          </w:tcPr>
          <w:p>
            <w:r>
              <w:rPr>
                <w:sz w:val="19"/>
                <w:szCs w:val="19"/>
              </w:rPr>
              <w:t xml:space="preserve">Instituto Rosenbusch</w:t>
            </w:r>
          </w:p>
        </w:tc>
        <w:tc>
          <w:tcPr>
            <w:tcW w:type="pct" w:w="2500"/>
            <w:shd w:fill="FFFFFF" w:val="clear"/>
            <w:tcMar>
              <w:top w:type="dxa" w:w="70"/>
              <w:left w:type="dxa" w:w="120"/>
              <w:bottom w:type="dxa" w:w="70"/>
              <w:right w:type="dxa" w:w="120"/>
            </w:tcMar>
          </w:tcPr>
          <w:p>
            <w:r>
              <w:rPr>
                <w:sz w:val="19"/>
                <w:szCs w:val="19"/>
              </w:rPr>
              <w:t xml:space="preserve">731 días, pero solo 87,3% con volumen real</w:t>
            </w:r>
          </w:p>
        </w:tc>
      </w:tr>
      <w:tr>
        <w:trPr>
          <w:cantSplit/>
        </w:trPr>
        <w:tc>
          <w:tcPr>
            <w:tcW w:type="pct" w:w="800"/>
            <w:shd w:fill="FAFCFD" w:val="clear"/>
            <w:tcMar>
              <w:top w:type="dxa" w:w="70"/>
              <w:left w:type="dxa" w:w="120"/>
              <w:bottom w:type="dxa" w:w="70"/>
              <w:right w:type="dxa" w:w="120"/>
            </w:tcMar>
          </w:tcPr>
          <w:p>
            <w:r>
              <w:rPr>
                <w:sz w:val="19"/>
                <w:szCs w:val="19"/>
              </w:rPr>
              <w:t xml:space="preserve">TGLT.BA</w:t>
            </w:r>
          </w:p>
        </w:tc>
        <w:tc>
          <w:tcPr>
            <w:tcW w:type="pct" w:w="1700"/>
            <w:shd w:fill="FAFCFD" w:val="clear"/>
            <w:tcMar>
              <w:top w:type="dxa" w:w="70"/>
              <w:left w:type="dxa" w:w="120"/>
              <w:bottom w:type="dxa" w:w="70"/>
              <w:right w:type="dxa" w:w="120"/>
            </w:tcMar>
          </w:tcPr>
          <w:p>
            <w:r>
              <w:rPr>
                <w:sz w:val="19"/>
                <w:szCs w:val="19"/>
              </w:rPr>
              <w:t xml:space="preserve">TGLT SA (hoy GCDI)</w:t>
            </w:r>
          </w:p>
        </w:tc>
        <w:tc>
          <w:tcPr>
            <w:tcW w:type="pct" w:w="2500"/>
            <w:shd w:fill="FAFCFD" w:val="clear"/>
            <w:tcMar>
              <w:top w:type="dxa" w:w="70"/>
              <w:left w:type="dxa" w:w="120"/>
              <w:bottom w:type="dxa" w:w="70"/>
              <w:right w:type="dxa" w:w="120"/>
            </w:tcMar>
          </w:tcPr>
          <w:p>
            <w:r>
              <w:rPr>
                <w:sz w:val="19"/>
                <w:szCs w:val="19"/>
              </w:rPr>
              <w:t xml:space="preserve">Sin datos en Yahoo Finance</w:t>
            </w:r>
          </w:p>
        </w:tc>
      </w:tr>
    </w:tbl>
    <w:p>
      <w:pPr>
        <w:spacing w:after="160" w:line="300"/>
      </w:pPr>
      <w:r>
        <w:t xml:space="preserve"/>
      </w:r>
    </w:p>
    <w:p>
      <w:pPr>
        <w:spacing w:after="160" w:line="300"/>
      </w:pPr>
      <w:r>
        <w:rPr>
          <w:b/>
          <w:bCs/>
        </w:rPr>
        <w:t xml:space="preserve">Casos al borde del umbral de volumen. </w:t>
      </w:r>
      <w:r>
        <w:t xml:space="preserve">GCDI.BA entra con 94,9% de días con volumen real; ROSE.BA queda afuera con 87,3%.</w:t>
      </w:r>
    </w:p>
    <w:p>
      <w:pPr>
        <w:spacing w:after="160" w:line="300"/>
      </w:pPr>
      <w:r>
        <w:rPr>
          <w:b/>
          <w:bCs/>
        </w:rPr>
        <w:t xml:space="preserve">Las 20 oficiales del Merval, todas incluidas. </w:t>
      </w:r>
      <w:r>
        <w:t xml:space="preserve">Las 20 cumplen el máximo de días y ≥90% de volumen real. El panel las contiene a las 20, más 27 adicionales.</w:t>
      </w:r>
    </w:p>
    <w:p>
      <w:pPr>
        <w:pStyle w:val="Heading1"/>
        <w:keepNext/>
        <w:spacing w:after="160" w:before="360"/>
      </w:pPr>
      <w:r>
        <w:t xml:space="preserve">7. Archivos generados</w:t>
      </w:r>
    </w:p>
    <w:p>
      <w:pPr>
        <w:spacing w:after="160" w:line="300"/>
      </w:pPr>
      <w:r>
        <w:rPr>
          <w:rFonts w:ascii="Consolas" w:cs="Consolas" w:eastAsia="Consolas" w:hAnsi="Consolas"/>
          <w:color w:val="1C3A5C"/>
          <w:sz w:val="19"/>
          <w:szCs w:val="19"/>
        </w:rPr>
        <w:t xml:space="preserve">D:\2.Tesina\tesis version 3.0\Lado Bursatil\01_scraping_acciones\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636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Archivo</w:t>
            </w:r>
          </w:p>
        </w:tc>
        <w:tc>
          <w:tcPr>
            <w:tcW w:type="pct" w:w="3300"/>
            <w:shd w:fill="1C3A5C" w:val="clear"/>
            <w:tcMar>
              <w:top w:type="dxa" w:w="80"/>
              <w:left w:type="dxa" w:w="120"/>
              <w:bottom w:type="dxa" w:w="80"/>
              <w:right w:type="dxa" w:w="120"/>
            </w:tcMar>
          </w:tcPr>
          <w:p>
            <w:r>
              <w:rPr>
                <w:b/>
                <w:bCs/>
                <w:color w:val="FFFFFF"/>
                <w:sz w:val="19"/>
                <w:szCs w:val="19"/>
              </w:rPr>
              <w:t xml:space="preserve">Qué es</w:t>
            </w:r>
          </w:p>
        </w:tc>
      </w:tr>
      <w:tr>
        <w:trPr>
          <w:cantSplit/>
        </w:trPr>
        <w:tc>
          <w:tcPr>
            <w:tcW w:type="pct" w:w="1700"/>
            <w:shd w:fill="FFFFFF" w:val="clear"/>
            <w:tcMar>
              <w:top w:type="dxa" w:w="70"/>
              <w:left w:type="dxa" w:w="120"/>
              <w:bottom w:type="dxa" w:w="70"/>
              <w:right w:type="dxa" w:w="120"/>
            </w:tcMar>
          </w:tcPr>
          <w:p>
            <w:r>
              <w:rPr>
                <w:sz w:val="19"/>
                <w:szCs w:val="19"/>
              </w:rPr>
              <w:t xml:space="preserve">scraping_acciones.py</w:t>
            </w:r>
          </w:p>
        </w:tc>
        <w:tc>
          <w:tcPr>
            <w:tcW w:type="pct" w:w="3300"/>
            <w:shd w:fill="FFFFFF" w:val="clear"/>
            <w:tcMar>
              <w:top w:type="dxa" w:w="70"/>
              <w:left w:type="dxa" w:w="120"/>
              <w:bottom w:type="dxa" w:w="70"/>
              <w:right w:type="dxa" w:w="120"/>
            </w:tcMar>
          </w:tcPr>
          <w:p>
            <w:r>
              <w:rPr>
                <w:sz w:val="19"/>
                <w:szCs w:val="19"/>
              </w:rPr>
              <w:t xml:space="preserve">Único script. Descarga ^MERV para fijar el calendario real; descarga las 53 (con reintentos y las correcciones de eventos corporativos) y mide cobertura -&gt; aplica el criterio -&gt; guarda los precios diarios de las que pasan.</w:t>
            </w:r>
          </w:p>
        </w:tc>
      </w:tr>
      <w:tr>
        <w:trPr>
          <w:cantSplit/>
        </w:trPr>
        <w:tc>
          <w:tcPr>
            <w:tcW w:type="pct" w:w="1700"/>
            <w:shd w:fill="FAFCFD" w:val="clear"/>
            <w:tcMar>
              <w:top w:type="dxa" w:w="70"/>
              <w:left w:type="dxa" w:w="120"/>
              <w:bottom w:type="dxa" w:w="70"/>
              <w:right w:type="dxa" w:w="120"/>
            </w:tcMar>
          </w:tcPr>
          <w:p>
            <w:r>
              <w:rPr>
                <w:sz w:val="19"/>
                <w:szCs w:val="19"/>
              </w:rPr>
              <w:t xml:space="preserve">cobertura_53_candidatas.csv</w:t>
            </w:r>
          </w:p>
        </w:tc>
        <w:tc>
          <w:tcPr>
            <w:tcW w:type="pct" w:w="3300"/>
            <w:shd w:fill="FAFCFD" w:val="clear"/>
            <w:tcMar>
              <w:top w:type="dxa" w:w="70"/>
              <w:left w:type="dxa" w:w="120"/>
              <w:bottom w:type="dxa" w:w="70"/>
              <w:right w:type="dxa" w:w="120"/>
            </w:tcMar>
          </w:tcPr>
          <w:p>
            <w:r>
              <w:rPr>
                <w:sz w:val="19"/>
                <w:szCs w:val="19"/>
              </w:rPr>
              <w:t xml:space="preserve">Las 53 candidatas con sus días, % de volumen y estado (descargada / sin_datos).</w:t>
            </w:r>
          </w:p>
        </w:tc>
      </w:tr>
      <w:tr>
        <w:trPr>
          <w:cantSplit/>
        </w:trPr>
        <w:tc>
          <w:tcPr>
            <w:tcW w:type="pct" w:w="1700"/>
            <w:shd w:fill="FFFFFF" w:val="clear"/>
            <w:tcMar>
              <w:top w:type="dxa" w:w="70"/>
              <w:left w:type="dxa" w:w="120"/>
              <w:bottom w:type="dxa" w:w="70"/>
              <w:right w:type="dxa" w:w="120"/>
            </w:tcMar>
          </w:tcPr>
          <w:p>
            <w:r>
              <w:rPr>
                <w:sz w:val="19"/>
                <w:szCs w:val="19"/>
              </w:rPr>
              <w:t xml:space="preserve">panel_acciones_final.csv</w:t>
            </w:r>
          </w:p>
        </w:tc>
        <w:tc>
          <w:tcPr>
            <w:tcW w:type="pct" w:w="3300"/>
            <w:shd w:fill="FFFFFF" w:val="clear"/>
            <w:tcMar>
              <w:top w:type="dxa" w:w="70"/>
              <w:left w:type="dxa" w:w="120"/>
              <w:bottom w:type="dxa" w:w="70"/>
              <w:right w:type="dxa" w:w="120"/>
            </w:tcMar>
          </w:tcPr>
          <w:p>
            <w:r>
              <w:rPr>
                <w:sz w:val="19"/>
                <w:szCs w:val="19"/>
              </w:rPr>
              <w:t xml:space="preserve">Las 47 que pasan el criterio, con empresa y sector.</w:t>
            </w:r>
          </w:p>
        </w:tc>
      </w:tr>
      <w:tr>
        <w:trPr>
          <w:cantSplit/>
        </w:trPr>
        <w:tc>
          <w:tcPr>
            <w:tcW w:type="pct" w:w="1700"/>
            <w:shd w:fill="FAFCFD" w:val="clear"/>
            <w:tcMar>
              <w:top w:type="dxa" w:w="70"/>
              <w:left w:type="dxa" w:w="120"/>
              <w:bottom w:type="dxa" w:w="70"/>
              <w:right w:type="dxa" w:w="120"/>
            </w:tcMar>
          </w:tcPr>
          <w:p>
            <w:r>
              <w:rPr>
                <w:sz w:val="19"/>
                <w:szCs w:val="19"/>
              </w:rPr>
              <w:t xml:space="preserve">descartadas_por_cobertura.csv</w:t>
            </w:r>
          </w:p>
        </w:tc>
        <w:tc>
          <w:tcPr>
            <w:tcW w:type="pct" w:w="3300"/>
            <w:shd w:fill="FAFCFD" w:val="clear"/>
            <w:tcMar>
              <w:top w:type="dxa" w:w="70"/>
              <w:left w:type="dxa" w:w="120"/>
              <w:bottom w:type="dxa" w:w="70"/>
              <w:right w:type="dxa" w:w="120"/>
            </w:tcMar>
          </w:tcPr>
          <w:p>
            <w:r>
              <w:rPr>
                <w:sz w:val="19"/>
                <w:szCs w:val="19"/>
              </w:rPr>
              <w:t xml:space="preserve">Las 6 que no pasan, con sus días y % de volumen.</w:t>
            </w:r>
          </w:p>
        </w:tc>
      </w:tr>
      <w:tr>
        <w:trPr>
          <w:cantSplit/>
        </w:trPr>
        <w:tc>
          <w:tcPr>
            <w:tcW w:type="pct" w:w="1700"/>
            <w:shd w:fill="FFFFFF" w:val="clear"/>
            <w:tcMar>
              <w:top w:type="dxa" w:w="70"/>
              <w:left w:type="dxa" w:w="120"/>
              <w:bottom w:type="dxa" w:w="70"/>
              <w:right w:type="dxa" w:w="120"/>
            </w:tcMar>
          </w:tcPr>
          <w:p>
            <w:r>
              <w:rPr>
                <w:sz w:val="19"/>
                <w:szCs w:val="19"/>
              </w:rPr>
              <w:t xml:space="preserve">precios_diarios_47_acciones.csv</w:t>
            </w:r>
          </w:p>
        </w:tc>
        <w:tc>
          <w:tcPr>
            <w:tcW w:type="pct" w:w="3300"/>
            <w:shd w:fill="FFFFFF" w:val="clear"/>
            <w:tcMar>
              <w:top w:type="dxa" w:w="70"/>
              <w:left w:type="dxa" w:w="120"/>
              <w:bottom w:type="dxa" w:w="70"/>
              <w:right w:type="dxa" w:w="120"/>
            </w:tcMar>
          </w:tcPr>
          <w:p>
            <w:r>
              <w:rPr>
                <w:sz w:val="19"/>
                <w:szCs w:val="19"/>
              </w:rPr>
              <w:t xml:space="preserve">Precios día por día (Open/High/Low/Close/Volume) de las 47 seleccionadas, recortados al calendario real y con los dos eventos corporativos corregidos — 34.357 filas.</w:t>
            </w:r>
          </w:p>
        </w:tc>
      </w:tr>
    </w:tbl>
    <w:p>
      <w:pPr>
        <w:pStyle w:val="Heading1"/>
        <w:keepNext/>
        <w:spacing w:after="160" w:before="360"/>
      </w:pPr>
      <w:r>
        <w:t xml:space="preserve">8. Qué queda fuera de este documento (a propósito)</w:t>
      </w:r>
    </w:p>
    <w:p>
      <w:pPr>
        <w:spacing w:after="160" w:line="300"/>
      </w:pPr>
      <w:r>
        <w:t xml:space="preserve">Este documento cubre únicamente la selección de acciones a partir de datos de mercado (cobertura y volumen). No evalúa si estas empresas tienen o no menciones en el corpus de noticias, ni toca el diccionario de variantes de nombres (gazetteer) usado para detectar sentimiento por empresa — eso corresponde a la rama de noticias del trabajo.</w:t>
      </w:r>
    </w:p>
    <w:p>
      <w:pPr>
        <w:pStyle w:val="Heading1"/>
        <w:keepNext/>
        <w:spacing w:after="160" w:before="360"/>
      </w:pPr>
      <w:r>
        <w:t xml:space="preserve">9. Referencias bibliográficas</w:t>
      </w:r>
    </w:p>
    <w:p>
      <w:pPr>
        <w:spacing w:after="160" w:line="300"/>
      </w:pPr>
      <w:r>
        <w:t xml:space="preserve">Trabajos previos sobre este tema, en español, inglés y portugués. Los que son de acceso libre están descargados en </w:t>
      </w:r>
      <w:r>
        <w:rPr>
          <w:rFonts w:ascii="Consolas" w:cs="Consolas" w:eastAsia="Consolas" w:hAnsi="Consolas"/>
          <w:color w:val="1C3A5C"/>
          <w:sz w:val="19"/>
          <w:szCs w:val="19"/>
        </w:rPr>
        <w:t xml:space="preserve">papers\</w:t>
      </w:r>
      <w:r>
        <w:t xml:space="preserve"> dentro de esta misma carpeta (1 archivos); los que tienen acceso restringido se citan con su enlace oficial. La misma lista, en formato BibTeX para citar en la tesis, está en </w:t>
      </w:r>
      <w:r>
        <w:rPr>
          <w:rFonts w:ascii="Consolas" w:cs="Consolas" w:eastAsia="Consolas" w:hAnsi="Consolas"/>
          <w:color w:val="1C3A5C"/>
          <w:sz w:val="19"/>
          <w:szCs w:val="19"/>
        </w:rPr>
        <w:t xml:space="preserve">papers\referencias.bib</w:t>
      </w:r>
      <w:r>
        <w:t xml:space="preserve">.</w:t>
      </w:r>
    </w:p>
    <w:p>
      <w:pPr>
        <w:keepNext/>
        <w:keepLines/>
        <w:spacing w:after="80" w:before="200" w:line="276"/>
      </w:pPr>
      <w:r>
        <w:rPr>
          <w:b/>
          <w:bCs/>
          <w:color w:val="40798C"/>
        </w:rPr>
        <w:t xml:space="preserve">[1] </w:t>
      </w:r>
      <w:r>
        <w:rPr>
          <w:b/>
          <w:bCs/>
          <w:sz w:val="20"/>
          <w:szCs w:val="20"/>
        </w:rPr>
        <w:t xml:space="preserve">Nanyonga, E., Kasozi, J., Mayambala, F., Kayondo, H. W. y Davison, M. (2025). A Stochastic Model for Illiquid Stock Prices and its Conclusion about Correlation Measurement. Research in Mathematics, 13(1), 2026. arXiv:2509.10553.</w:t>
      </w:r>
    </w:p>
    <w:p>
      <w:pPr>
        <w:keepNext/>
        <w:keepLines/>
        <w:spacing w:after="60" w:line="276"/>
        <w:ind w:left="360"/>
      </w:pPr>
      <w:r>
        <w:rPr>
          <w:b/>
          <w:bCs/>
          <w:color w:val="1C3A5C"/>
          <w:sz w:val="19"/>
          <w:szCs w:val="19"/>
        </w:rPr>
        <w:t xml:space="preserve">De qué trata: </w:t>
      </w:r>
      <w:r>
        <w:rPr>
          <w:sz w:val="19"/>
          <w:szCs w:val="19"/>
        </w:rPr>
        <w:t xml:space="preserve">Modela los precios de la bolsa de Uganda, que pasan gran parte del tiempo sin cambiar por falta de operaciones. Muestra que cuantos más días "quietos" tiene una acción, más baja sale su correlación medida con otras, aunque la relación de fondo sea alta.</w:t>
      </w:r>
    </w:p>
    <w:p>
      <w:pPr>
        <w:keepNext/>
        <w:keepLines/>
        <w:spacing w:after="60" w:line="276"/>
        <w:ind w:left="360"/>
      </w:pPr>
      <w:r>
        <w:rPr>
          <w:b/>
          <w:bCs/>
          <w:color w:val="1C3A5C"/>
          <w:sz w:val="19"/>
          <w:szCs w:val="19"/>
        </w:rPr>
        <w:t xml:space="preserve">Relación con este análisis: </w:t>
      </w:r>
      <w:r>
        <w:rPr>
          <w:sz w:val="19"/>
          <w:szCs w:val="19"/>
        </w:rPr>
        <w:t xml:space="preserve">Respalda el criterio de ≥ 90% de días con volumen real: los días con Volume = 0 (precio pegado) no solo ensucian la serie de esa acción, también achican artificialmente sus correlaciones con las demás — justo la medida que usan el clustering (02) y el VAR.</w:t>
      </w:r>
    </w:p>
    <w:p>
      <w:pPr>
        <w:keepLines/>
        <w:spacing w:after="60" w:line="276"/>
        <w:ind w:left="360"/>
      </w:pPr>
      <w:r>
        <w:rPr>
          <w:b/>
          <w:bCs/>
          <w:color w:val="1C3A5C"/>
          <w:sz w:val="19"/>
          <w:szCs w:val="19"/>
        </w:rPr>
        <w:t xml:space="preserve">Archivo: </w:t>
      </w:r>
      <w:r>
        <w:rPr>
          <w:rFonts w:ascii="Consolas" w:cs="Consolas" w:eastAsia="Consolas" w:hAnsi="Consolas"/>
          <w:color w:val="1C3A5C"/>
          <w:sz w:val="19"/>
          <w:szCs w:val="19"/>
        </w:rPr>
        <w:t xml:space="preserve">papers\2025_Illiquid_stock_prices_correlation.pdf</w:t>
      </w:r>
      <w:r>
        <w:rPr>
          <w:color w:val="5C6B7A"/>
          <w:sz w:val="19"/>
          <w:szCs w:val="19"/>
        </w:rPr>
        <w:t xml:space="preserve">  ·  inglés</w:t>
      </w:r>
    </w:p>
    <w:p>
      <w:pPr>
        <w:keepNext/>
        <w:keepLines/>
        <w:spacing w:after="80" w:before="200" w:line="276"/>
      </w:pPr>
      <w:r>
        <w:rPr>
          <w:b/>
          <w:bCs/>
          <w:color w:val="40798C"/>
        </w:rPr>
        <w:t xml:space="preserve">[2] </w:t>
      </w:r>
      <w:r>
        <w:rPr>
          <w:b/>
          <w:bCs/>
          <w:sz w:val="20"/>
          <w:szCs w:val="20"/>
        </w:rPr>
        <w:t xml:space="preserve">Lesmond, D. A., Ogden, J. P. y Trzcinka, C. A. (1999). A New Estimate of Transaction Costs. Review of Financial Studies, 12(5), 1113–1141.</w:t>
      </w:r>
    </w:p>
    <w:p>
      <w:pPr>
        <w:keepNext/>
        <w:keepLines/>
        <w:spacing w:after="60" w:line="276"/>
        <w:ind w:left="360"/>
      </w:pPr>
      <w:r>
        <w:rPr>
          <w:b/>
          <w:bCs/>
          <w:color w:val="1C3A5C"/>
          <w:sz w:val="19"/>
          <w:szCs w:val="19"/>
        </w:rPr>
        <w:t xml:space="preserve">De qué trata: </w:t>
      </w:r>
      <w:r>
        <w:rPr>
          <w:sz w:val="19"/>
          <w:szCs w:val="19"/>
        </w:rPr>
        <w:t xml:space="preserve">Usa la frecuencia de días con retorno cero como medida de iliquidez y de costos de transacción de una acción.</w:t>
      </w:r>
    </w:p>
    <w:p>
      <w:pPr>
        <w:keepNext/>
        <w:keepLines/>
        <w:spacing w:after="60" w:line="276"/>
        <w:ind w:left="360"/>
      </w:pPr>
      <w:r>
        <w:rPr>
          <w:b/>
          <w:bCs/>
          <w:color w:val="1C3A5C"/>
          <w:sz w:val="19"/>
          <w:szCs w:val="19"/>
        </w:rPr>
        <w:t xml:space="preserve">Relación con este análisis: </w:t>
      </w:r>
      <w:r>
        <w:rPr>
          <w:sz w:val="19"/>
          <w:szCs w:val="19"/>
        </w:rPr>
        <w:t xml:space="preserve">Es la referencia clásica para medir liquidez a partir de días sin movimiento de precio — la misma lógica del criterio de porcentaje de días con volumen real.</w:t>
      </w:r>
    </w:p>
    <w:p>
      <w:pPr>
        <w:keepLines/>
        <w:spacing w:after="60" w:line="276"/>
        <w:ind w:left="360"/>
      </w:pPr>
      <w:r>
        <w:rPr>
          <w:b/>
          <w:bCs/>
          <w:color w:val="C1272D"/>
          <w:sz w:val="19"/>
          <w:szCs w:val="19"/>
        </w:rPr>
        <w:t xml:space="preserve">No descargado: </w:t>
      </w:r>
      <w:r>
        <w:rPr>
          <w:sz w:val="19"/>
          <w:szCs w:val="19"/>
        </w:rPr>
        <w:t xml:space="preserve">acceso por suscripción (Oxford University Press / JSTOR). </w:t>
      </w:r>
      <w:r>
        <w:rPr>
          <w:color w:val="40798C"/>
          <w:sz w:val="18"/>
          <w:szCs w:val="18"/>
        </w:rPr>
        <w:t xml:space="preserve">https://ideas.repec.org/a/oup/rfinst/v12y1999i5p1113-41.html</w:t>
      </w:r>
      <w:r>
        <w:rPr>
          <w:color w:val="5C6B7A"/>
          <w:sz w:val="19"/>
          <w:szCs w:val="19"/>
        </w:rPr>
        <w:t xml:space="preserve">  ·  inglés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Scraping de acciones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2026-10-17T23:42:49.920Z</dcterms:created>
  <dcterms:modified xsi:type="dcterms:W3CDTF">2026-10-17T23:42:49.921Z</dcterms:modified>
</cp:coreProperties>
</file>

<file path=docProps/custom.xml><?xml version="1.0" encoding="utf-8"?>
<Properties xmlns="http://schemas.openxmlformats.org/officeDocument/2006/custom-properties" xmlns:vt="http://schemas.openxmlformats.org/officeDocument/2006/docPropsVTypes"/>
</file>