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mbria" w:cs="Cambria" w:eastAsia="Cambria" w:hAnsi="Cambria"/>
          <w:b/>
          <w:bCs/>
          <w:color w:val="12263A"/>
          <w:sz w:val="44"/>
          <w:szCs w:val="44"/>
        </w:rPr>
        <w:t xml:space="preserve">Clustering de acciones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1C3A5C"/>
          <w:sz w:val="24"/>
          <w:szCs w:val="24"/>
        </w:rPr>
        <w:t xml:space="preserve">¿Existen familias de acciones que se comportan parecido?</w:t>
      </w:r>
    </w:p>
    <w:p>
      <w:pPr>
        <w:pBdr>
          <w:bottom w:val="single" w:color="D9E0E7" w:sz="4" w:space="8"/>
        </w:pBdr>
        <w:spacing w:after="200"/>
      </w:pPr>
      <w:r>
        <w:rPr>
          <w:color w:val="5C6B7A"/>
          <w:sz w:val="19"/>
          <w:szCs w:val="19"/>
        </w:rPr>
        <w:t xml:space="preserve">Tesina — Impacto de shocks informativos en acciones argentinas (BYMA / S&amp;P Merval). Documento exclusivamente del lado bursátil. No toca noticias, sentimiento ni gazetteer.</w:t>
      </w:r>
    </w:p>
    <w:p>
      <w:pPr>
        <w:spacing w:after="160" w:line="300"/>
      </w:pPr>
      <w:r>
        <w:rPr>
          <w:b/>
          <w:bCs/>
        </w:rPr>
        <w:t xml:space="preserve">Ubicación de todo lo generado.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D:\2.Tesina\tesis version 3.0\Lado Bursatil\02_clustering_acciones\</w:t>
      </w:r>
      <w:r>
        <w:t xml:space="preserve">. Input: el panel de 47 acciones de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01_scraping_acciones</w:t>
      </w:r>
      <w:r>
        <w:t xml:space="preserve">.</w:t>
      </w:r>
    </w:p>
    <w:p>
      <w:pPr>
        <w:pageBreakBefore/>
      </w:pPr>
    </w:p>
    <w:p>
      <w:pPr>
        <w:pStyle w:val="Heading1"/>
        <w:keepNext/>
        <w:spacing w:after="160" w:before="360"/>
      </w:pPr>
      <w:r>
        <w:t xml:space="preserve">1. Objetivo</w:t>
      </w:r>
    </w:p>
    <w:p>
      <w:pPr>
        <w:spacing w:after="160" w:line="300"/>
      </w:pPr>
      <w:r>
        <w:t xml:space="preserve">Si existen grupos de acciones que reaccionan de forma parecida entre sí, el impacto de las noticias se podría analizar por familia en vez de acción por acción — más señal, menos ruido, un relato más simple que 47 series sueltas. Este documento evalúa esa pregunta sobre el panel de 47 acciones (ver 01_scraping_acciones): K-Means, Jerárquico y MST, sobre 3 representaciones de comportamiento, en 2 ventanas temporales.</w:t>
      </w:r>
    </w:p>
    <w:tbl>
      <w:tblPr>
        <w:tblW w:type="pct" w:w="5000"/>
        <w:tblBorders>
          <w:top w:val="single" w:color="D9E0E7" w:sz="4"/>
          <w:left w:val="single" w:color="40798C" w:sz="24"/>
          <w:bottom w:val="single" w:color="D9E0E7" w:sz="4"/>
          <w:right w:val="single" w:color="D9E0E7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shd w:fill="F5F8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C3A5C"/>
              </w:rPr>
              <w:t xml:space="preserve">Qué representaciones se usan, y por qué no otras</w:t>
            </w:r>
          </w:p>
          <w:p>
            <w:pPr>
              <w:spacing w:after="60" w:line="276"/>
            </w:pPr>
            <w:r>
              <w:t xml:space="preserve">Se usan solo representaciones que miden comportamiento (cómo se mueve el precio, cómo varía el volumen) — se descartó deliberadamente cualquier representación de nivel "crudo" (precio promedio, volumen promedio sin normalizar), porque eso agrupa por magnitud — caro contra barato, mucho volumen contra poco — no por comportamiento, y no responde la pregunta de la sección anterior.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2. Metodología aplicada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1928"/>
        <w:gridCol w:w="4819"/>
        <w:gridCol w:w="2891"/>
      </w:tblGrid>
      <w:tr>
        <w:trPr>
          <w:tblHeader/>
        </w:trPr>
        <w:tc>
          <w:tcPr>
            <w:tcW w:type="pct" w:w="10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Representación</w:t>
            </w:r>
          </w:p>
        </w:tc>
        <w:tc>
          <w:tcPr>
            <w:tcW w:type="pct" w:w="25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mide</w:t>
            </w:r>
          </w:p>
        </w:tc>
        <w:tc>
          <w:tcPr>
            <w:tcW w:type="pct" w:w="15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Distancia / algoritmo base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Precio</w:t>
            </w:r>
          </w:p>
        </w:tc>
        <w:tc>
          <w:tcPr>
            <w:tcW w:type="pct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Retornos logarítmicos diarios, normalizados por empresa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1 − correlación entre series</w:t>
            </w:r>
          </w:p>
        </w:tc>
      </w:tr>
      <w:tr>
        <w:trPr>
          <w:cantSplit/>
        </w:trPr>
        <w:tc>
          <w:tcPr>
            <w:tcW w:type="pct" w:w="1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Volumen</w:t>
            </w:r>
          </w:p>
        </w:tc>
        <w:tc>
          <w:tcPr>
            <w:tcW w:type="pct" w:w="2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Log-volumen diario, normalizado por empresa</w:t>
            </w:r>
          </w:p>
        </w:tc>
        <w:tc>
          <w:tcPr>
            <w:tcW w:type="pct" w:w="1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1 − correlación entre series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 features</w:t>
            </w:r>
          </w:p>
        </w:tc>
        <w:tc>
          <w:tcPr>
            <w:tcW w:type="pct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Retorno medio, volatilidad, asimetría, curtosis, máxima caída, beta y correlación contra el promedio del panel, momentum 20d/50d, volumen medio/desvío, volumen anormal, correlación volumen-retorno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Distancia euclídea (features estandarizadas)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Cada representación se corrió con 3 algoritmos (K-Means, Jerárquico con linkage average/ward, MST) sobre 2 ventanas, probando k de 2 a 8 y quedándose con el k de mayor silueta. En total, 18 combinaciones (3 representaciones × 2 ventanas × 3 algoritmos) sobre las 47 acciones del panel.</w:t>
      </w:r>
    </w:p>
    <w:tbl>
      <w:tblPr>
        <w:tblW w:type="pct" w:w="5000"/>
        <w:tblBorders>
          <w:top w:val="single" w:color="D9E0E7" w:sz="4"/>
          <w:left w:val="single" w:color="40798C" w:sz="24"/>
          <w:bottom w:val="single" w:color="D9E0E7" w:sz="4"/>
          <w:right w:val="single" w:color="D9E0E7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shd w:fill="F5F8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C3A5C"/>
              </w:rPr>
              <w:t xml:space="preserve">Las dos ventanas, alineadas con el resto del análisis</w:t>
            </w:r>
          </w:p>
          <w:p>
            <w:pPr>
              <w:spacing w:after="60" w:line="276"/>
            </w:pPr>
            <w:r>
              <w:t xml:space="preserve">"3 años" es el panel completo (2023-05-03 → 2026-05-03, exacto). "1 año" no es un recorte arbitrario de los últimos 365 días del panel — se toma la ventana de </w:t>
            </w:r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../03_vix_argentino/vix_arg.csv</w:t>
            </w:r>
            <w:r>
              <w:t xml:space="preserve"> (2025-01-02 → 2026-04-30), la misma que usan VIX, ADF y volatilidad por acción. El retorno se calcula sobre la serie completa y recién después se recorta a cada ventana, para no perder el primer día.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rPr>
          <w:b/>
          <w:bCs/>
        </w:rPr>
        <w:t xml:space="preserve">Datos de entrada. </w:t>
      </w:r>
      <w:r>
        <w:t xml:space="preserve">Los precios ya incluyen las dos correcciones de eventos corporativos de 01_scraping_acciones (SEMI 16/12/2024 y AGRO hasta el 02/11/2023), que entran de lleno en la ventana de 3 años.</w:t>
      </w:r>
    </w:p>
    <w:p>
      <w:pPr>
        <w:pStyle w:val="Heading1"/>
        <w:keepNext/>
        <w:spacing w:after="160" w:before="360"/>
      </w:pPr>
      <w:r>
        <w:t xml:space="preserve">3. Resultado — casi todo degenerado, y un grupo de tamaño real</w:t>
      </w:r>
    </w:p>
    <w:p>
      <w:pPr>
        <w:keepNext/>
        <w:spacing w:after="160" w:line="300"/>
      </w:pPr>
      <w:r>
        <w:t xml:space="preserve">Ranking de las 10 combinaciones con mejor silueta, y qué tan parejo es el reparto real de empresas: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1446"/>
        <w:gridCol w:w="1060"/>
        <w:gridCol w:w="1349"/>
        <w:gridCol w:w="578"/>
        <w:gridCol w:w="1060"/>
        <w:gridCol w:w="4144"/>
      </w:tblGrid>
      <w:tr>
        <w:trPr>
          <w:tblHeader/>
        </w:trPr>
        <w:tc>
          <w:tcPr>
            <w:tcW w:type="pct" w:w="7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Análisis</w:t>
            </w:r>
          </w:p>
        </w:tc>
        <w:tc>
          <w:tcPr>
            <w:tcW w:type="pct" w:w="5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pct" w:w="7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pct" w:w="3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pct" w:w="5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Silueta</w:t>
            </w:r>
          </w:p>
        </w:tc>
        <w:tc>
          <w:tcPr>
            <w:tcW w:type="pct" w:w="21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Tamaños de los grupos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 features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años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MST</w:t>
            </w:r>
          </w:p>
        </w:tc>
        <w:tc>
          <w:tcPr>
            <w:tcW w:type="pct" w:w="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0,567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46 y 1 — degenerado (AGRO aislada)</w:t>
            </w:r>
          </w:p>
        </w:tc>
      </w:tr>
      <w:tr>
        <w:trPr>
          <w:cantSplit/>
        </w:trPr>
        <w:tc>
          <w:tcPr>
            <w:tcW w:type="pct" w:w="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 features</w:t>
            </w:r>
          </w:p>
        </w:tc>
        <w:tc>
          <w:tcPr>
            <w:tcW w:type="pct" w:w="5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años</w:t>
            </w:r>
          </w:p>
        </w:tc>
        <w:tc>
          <w:tcPr>
            <w:tcW w:type="pct" w:w="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Jerárquico</w:t>
            </w:r>
          </w:p>
        </w:tc>
        <w:tc>
          <w:tcPr>
            <w:tcW w:type="pct" w:w="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pct" w:w="5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0,430</w:t>
            </w:r>
          </w:p>
        </w:tc>
        <w:tc>
          <w:tcPr>
            <w:tcW w:type="pct" w:w="21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 y 7 — tamaño real (ver sección 4)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 features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años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K-Means</w:t>
            </w:r>
          </w:p>
        </w:tc>
        <w:tc>
          <w:tcPr>
            <w:tcW w:type="pct" w:w="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0,406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39 y 8 — tamaño real (ver sección 4)</w:t>
            </w:r>
          </w:p>
        </w:tc>
      </w:tr>
      <w:tr>
        <w:trPr>
          <w:cantSplit/>
        </w:trPr>
        <w:tc>
          <w:tcPr>
            <w:tcW w:type="pct" w:w="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 features</w:t>
            </w:r>
          </w:p>
        </w:tc>
        <w:tc>
          <w:tcPr>
            <w:tcW w:type="pct" w:w="5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año</w:t>
            </w:r>
          </w:p>
        </w:tc>
        <w:tc>
          <w:tcPr>
            <w:tcW w:type="pct" w:w="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MST</w:t>
            </w:r>
          </w:p>
        </w:tc>
        <w:tc>
          <w:tcPr>
            <w:tcW w:type="pct" w:w="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pct" w:w="5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0,383</w:t>
            </w:r>
          </w:p>
        </w:tc>
        <w:tc>
          <w:tcPr>
            <w:tcW w:type="pct" w:w="21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46 y 1 — degenerado (BOLT aislada)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Precio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año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Jerárquico</w:t>
            </w:r>
          </w:p>
        </w:tc>
        <w:tc>
          <w:tcPr>
            <w:tcW w:type="pct" w:w="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0,357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46 y 1 — degenerado (RIGO aislada)</w:t>
            </w:r>
          </w:p>
        </w:tc>
      </w:tr>
      <w:tr>
        <w:trPr>
          <w:cantSplit/>
        </w:trPr>
        <w:tc>
          <w:tcPr>
            <w:tcW w:type="pct" w:w="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Precio</w:t>
            </w:r>
          </w:p>
        </w:tc>
        <w:tc>
          <w:tcPr>
            <w:tcW w:type="pct" w:w="5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año</w:t>
            </w:r>
          </w:p>
        </w:tc>
        <w:tc>
          <w:tcPr>
            <w:tcW w:type="pct" w:w="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MST</w:t>
            </w:r>
          </w:p>
        </w:tc>
        <w:tc>
          <w:tcPr>
            <w:tcW w:type="pct" w:w="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pct" w:w="5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0,357</w:t>
            </w:r>
          </w:p>
        </w:tc>
        <w:tc>
          <w:tcPr>
            <w:tcW w:type="pct" w:w="21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46 y 1 — degenerado (RIGO aislada)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Precio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años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Jerárquico</w:t>
            </w:r>
          </w:p>
        </w:tc>
        <w:tc>
          <w:tcPr>
            <w:tcW w:type="pct" w:w="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0,330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45 y 2</w:t>
            </w:r>
          </w:p>
        </w:tc>
      </w:tr>
      <w:tr>
        <w:trPr>
          <w:cantSplit/>
        </w:trPr>
        <w:tc>
          <w:tcPr>
            <w:tcW w:type="pct" w:w="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Precio</w:t>
            </w:r>
          </w:p>
        </w:tc>
        <w:tc>
          <w:tcPr>
            <w:tcW w:type="pct" w:w="5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años</w:t>
            </w:r>
          </w:p>
        </w:tc>
        <w:tc>
          <w:tcPr>
            <w:tcW w:type="pct" w:w="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MST</w:t>
            </w:r>
          </w:p>
        </w:tc>
        <w:tc>
          <w:tcPr>
            <w:tcW w:type="pct" w:w="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pct" w:w="5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0,327</w:t>
            </w:r>
          </w:p>
        </w:tc>
        <w:tc>
          <w:tcPr>
            <w:tcW w:type="pct" w:w="21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46 y 1 — degenerado (GRIM aislada)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 features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año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K-Means</w:t>
            </w:r>
          </w:p>
        </w:tc>
        <w:tc>
          <w:tcPr>
            <w:tcW w:type="pct" w:w="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0,249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16, 14, 11, 3, 2 y 1</w:t>
            </w:r>
          </w:p>
        </w:tc>
      </w:tr>
      <w:tr>
        <w:trPr>
          <w:cantSplit/>
        </w:trPr>
        <w:tc>
          <w:tcPr>
            <w:tcW w:type="pct" w:w="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 features</w:t>
            </w:r>
          </w:p>
        </w:tc>
        <w:tc>
          <w:tcPr>
            <w:tcW w:type="pct" w:w="5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año</w:t>
            </w:r>
          </w:p>
        </w:tc>
        <w:tc>
          <w:tcPr>
            <w:tcW w:type="pct" w:w="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Jerárquico</w:t>
            </w:r>
          </w:p>
        </w:tc>
        <w:tc>
          <w:tcPr>
            <w:tcW w:type="pct" w:w="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pct" w:w="5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0,246</w:t>
            </w:r>
          </w:p>
        </w:tc>
        <w:tc>
          <w:tcPr>
            <w:tcW w:type="pct" w:w="21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18, 12, 11, 3, 2 y 1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La mejor silueta de todas (0,567, MST) es un caso degenerado: aísla a AGRO sola contra las otras 46. La mayoría del top 10 tiene esa misma firma — 1 o 2 outliers contra el resto —, salvo dos splits con tamaño real, ambos sobre "13 features" a 3 años: 40/7 con Jerárquico y 39/8 con K-Means.</w:t>
      </w:r>
    </w:p>
    <w:p>
      <w:pPr>
        <w:pStyle w:val="Heading1"/>
        <w:keepNext/>
        <w:spacing w:after="160" w:before="360"/>
      </w:pPr>
      <w:r>
        <w:t xml:space="preserve">4. El grupo de 8 — qué lo distingue: sobre todo, la liquidez</w:t>
      </w:r>
    </w:p>
    <w:p>
      <w:pPr>
        <w:spacing w:after="160" w:line="300"/>
      </w:pPr>
      <w:r>
        <w:t xml:space="preserve">13 features, 3 años, K-Means, k=2, silueta 0,406 separa 39 empresas de un grupo de 8: AGRO, CELU, FIPL, GARO, GCDI, GRIM, LONG, RIGO. Jerárquico (silueta 0,430) encuentra prácticamente el mismo grupo: coincide en 7 de las 8, todas menos FIPL.</w:t>
      </w:r>
    </w:p>
    <w:p>
      <w:pPr>
        <w:keepNext/>
        <w:spacing w:after="160" w:line="300"/>
      </w:pPr>
      <w:r>
        <w:t xml:space="preserve">A primera vista el grupo es más volátil y rinde menos que el resto: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4241"/>
        <w:gridCol w:w="2699"/>
        <w:gridCol w:w="2699"/>
      </w:tblGrid>
      <w:tr>
        <w:trPr>
          <w:tblHeader/>
        </w:trPr>
        <w:tc>
          <w:tcPr>
            <w:tcW w:type="pct" w:w="22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pct" w:w="14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Retorno diario promedio</w:t>
            </w:r>
          </w:p>
        </w:tc>
        <w:tc>
          <w:tcPr>
            <w:tcW w:type="pct" w:w="14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Volatilidad diaria (desvío)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Las otras 39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0,281%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3,85%</w:t>
            </w:r>
          </w:p>
        </w:tc>
      </w:tr>
      <w:tr>
        <w:trPr>
          <w:cantSplit/>
        </w:trPr>
        <w:tc>
          <w:tcPr>
            <w:tcW w:type="pct" w:w="2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AGRO, CELU, FIPL, GARO, GCDI, GRIM, LONG, RIGO</w:t>
            </w:r>
          </w:p>
        </w:tc>
        <w:tc>
          <w:tcPr>
            <w:tcW w:type="pct" w:w="14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0,123%</w:t>
            </w:r>
          </w:p>
        </w:tc>
        <w:tc>
          <w:tcPr>
            <w:tcW w:type="pct" w:w="14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4,55%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keepNext/>
        <w:spacing w:after="160" w:line="300"/>
      </w:pPr>
      <w:r>
        <w:rPr>
          <w:b/>
          <w:bCs/>
        </w:rPr>
        <w:t xml:space="preserve">Pero lo que más lo separa del resto es la liquidez. </w:t>
      </w:r>
      <w:r>
        <w:t xml:space="preserve">Ordenando las 13 features según cuánto difieren entre el grupo y el resto, las primeras no son la volatilidad sino las huellas de una acción que se opera de a ratos: poca correlación con las demás y un volumen irregular.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pct" w:w="30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pct" w:w="20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Diferencia grupo vs. resto (en desvíos estándar)</w:t>
            </w:r>
          </w:p>
        </w:tc>
      </w:tr>
      <w:tr>
        <w:trPr>
          <w:cantSplit/>
        </w:trPr>
        <w:tc>
          <w:tcPr>
            <w:tcW w:type="pct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Correlación con el promedio del panel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−2,10</w:t>
            </w:r>
          </w:p>
        </w:tc>
      </w:tr>
      <w:tr>
        <w:trPr>
          <w:cantSplit/>
        </w:trPr>
        <w:tc>
          <w:tcPr>
            <w:tcW w:type="pct" w:w="3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Volumen anormal (irregularidad del volumen)</w:t>
            </w:r>
          </w:p>
        </w:tc>
        <w:tc>
          <w:tcPr>
            <w:tcW w:type="pct" w:w="2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+2,00</w:t>
            </w:r>
          </w:p>
        </w:tc>
      </w:tr>
      <w:tr>
        <w:trPr>
          <w:cantSplit/>
        </w:trPr>
        <w:tc>
          <w:tcPr>
            <w:tcW w:type="pct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Desvío del volumen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+1,79</w:t>
            </w:r>
          </w:p>
        </w:tc>
      </w:tr>
      <w:tr>
        <w:trPr>
          <w:cantSplit/>
        </w:trPr>
        <w:tc>
          <w:tcPr>
            <w:tcW w:type="pct" w:w="3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Retorno medio</w:t>
            </w:r>
          </w:p>
        </w:tc>
        <w:tc>
          <w:tcPr>
            <w:tcW w:type="pct" w:w="2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−1,54</w:t>
            </w:r>
          </w:p>
        </w:tc>
      </w:tr>
      <w:tr>
        <w:trPr>
          <w:cantSplit/>
        </w:trPr>
        <w:tc>
          <w:tcPr>
            <w:tcW w:type="pct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Curtosis (días extremos)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+1,39</w:t>
            </w:r>
          </w:p>
        </w:tc>
      </w:tr>
      <w:tr>
        <w:trPr>
          <w:cantSplit/>
        </w:trPr>
        <w:tc>
          <w:tcPr>
            <w:tcW w:type="pct" w:w="3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Beta</w:t>
            </w:r>
          </w:p>
        </w:tc>
        <w:tc>
          <w:tcPr>
            <w:tcW w:type="pct" w:w="2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−1,18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keepNext/>
        <w:spacing w:after="160" w:line="300"/>
      </w:pPr>
      <w:r>
        <w:t xml:space="preserve">La liquidez de cada empresa del grupo, en los 3 años: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1349"/>
        <w:gridCol w:w="1542"/>
        <w:gridCol w:w="2313"/>
        <w:gridCol w:w="2313"/>
        <w:gridCol w:w="2120"/>
      </w:tblGrid>
      <w:tr>
        <w:trPr>
          <w:tblHeader/>
        </w:trPr>
        <w:tc>
          <w:tcPr>
            <w:tcW w:type="pct" w:w="7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pct" w:w="8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Días sin operar</w:t>
            </w:r>
          </w:p>
        </w:tc>
        <w:tc>
          <w:tcPr>
            <w:tcW w:type="pct" w:w="12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Días con el precio igual al anterior</w:t>
            </w:r>
          </w:p>
        </w:tc>
        <w:tc>
          <w:tcPr>
            <w:tcW w:type="pct" w:w="12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Acciones operadas en un día típico</w:t>
            </w:r>
          </w:p>
        </w:tc>
        <w:tc>
          <w:tcPr>
            <w:tcW w:type="pct" w:w="11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Puesto por volumen (1 = el menor)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GCDI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9,6%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222.220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22 de 47</w:t>
            </w:r>
          </w:p>
        </w:tc>
      </w:tr>
      <w:tr>
        <w:trPr>
          <w:cantSplit/>
        </w:trPr>
        <w:tc>
          <w:tcPr>
            <w:tcW w:type="pct" w:w="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RIGO</w:t>
            </w:r>
          </w:p>
        </w:tc>
        <w:tc>
          <w:tcPr>
            <w:tcW w:type="pct" w:w="8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pct" w:w="1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17,9%</w:t>
            </w:r>
          </w:p>
        </w:tc>
        <w:tc>
          <w:tcPr>
            <w:tcW w:type="pct" w:w="1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779</w:t>
            </w:r>
          </w:p>
        </w:tc>
        <w:tc>
          <w:tcPr>
            <w:tcW w:type="pct" w:w="1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de 47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GRIM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16,6%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1.077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de 47</w:t>
            </w:r>
          </w:p>
        </w:tc>
      </w:tr>
      <w:tr>
        <w:trPr>
          <w:cantSplit/>
        </w:trPr>
        <w:tc>
          <w:tcPr>
            <w:tcW w:type="pct" w:w="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GARO</w:t>
            </w:r>
          </w:p>
        </w:tc>
        <w:tc>
          <w:tcPr>
            <w:tcW w:type="pct" w:w="8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pct" w:w="1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11,1%</w:t>
            </w:r>
          </w:p>
        </w:tc>
        <w:tc>
          <w:tcPr>
            <w:tcW w:type="pct" w:w="1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9.476</w:t>
            </w:r>
          </w:p>
        </w:tc>
        <w:tc>
          <w:tcPr>
            <w:tcW w:type="pct" w:w="1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 de 47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FIPL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3,3%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46.682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 de 47</w:t>
            </w:r>
          </w:p>
        </w:tc>
      </w:tr>
      <w:tr>
        <w:trPr>
          <w:cantSplit/>
        </w:trPr>
        <w:tc>
          <w:tcPr>
            <w:tcW w:type="pct" w:w="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AGRO</w:t>
            </w:r>
          </w:p>
        </w:tc>
        <w:tc>
          <w:tcPr>
            <w:tcW w:type="pct" w:w="8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pct" w:w="1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1,8%</w:t>
            </w:r>
          </w:p>
        </w:tc>
        <w:tc>
          <w:tcPr>
            <w:tcW w:type="pct" w:w="1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1.990.626</w:t>
            </w:r>
          </w:p>
        </w:tc>
        <w:tc>
          <w:tcPr>
            <w:tcW w:type="pct" w:w="1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41 de 47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CELU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1,9%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126.192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19 de 47</w:t>
            </w:r>
          </w:p>
        </w:tc>
      </w:tr>
      <w:tr>
        <w:trPr>
          <w:cantSplit/>
        </w:trPr>
        <w:tc>
          <w:tcPr>
            <w:tcW w:type="pct" w:w="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LONG</w:t>
            </w:r>
          </w:p>
        </w:tc>
        <w:tc>
          <w:tcPr>
            <w:tcW w:type="pct" w:w="8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pct" w:w="1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3,1%</w:t>
            </w:r>
          </w:p>
        </w:tc>
        <w:tc>
          <w:tcPr>
            <w:tcW w:type="pct" w:w="1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232.641</w:t>
            </w:r>
          </w:p>
        </w:tc>
        <w:tc>
          <w:tcPr>
            <w:tcW w:type="pct" w:w="1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23 de 47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En promedio, el precio de una empresa del grupo queda igual al del día anterior en el 8,2% de los días, contra 2,1% en el resto del panel; 7 de las 8 están en la mitad del panel con menos volumen. Las cuatro con más días sin operar — GCDI, RIGO, GRIM, GARO — están todas en el grupo.</w:t>
      </w:r>
    </w:p>
    <w:tbl>
      <w:tblPr>
        <w:tblW w:type="pct" w:w="5000"/>
        <w:tblBorders>
          <w:top w:val="single" w:color="D9E0E7" w:sz="4"/>
          <w:left w:val="single" w:color="40798C" w:sz="24"/>
          <w:bottom w:val="single" w:color="D9E0E7" w:sz="4"/>
          <w:right w:val="single" w:color="D9E0E7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shd w:fill="F5F8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C3A5C"/>
              </w:rPr>
              <w:t xml:space="preserve">Por qué la baja liquidez arma un grupo</w:t>
            </w:r>
          </w:p>
          <w:p>
            <w:pPr>
              <w:spacing w:after="60" w:line="276"/>
            </w:pPr>
            <w:r>
              <w:t xml:space="preserve">Tener un dato todos los días no es lo mismo que operar todos los días: cuando nadie opera una acción, Yahoo Finance igual entrega la fila, con el precio del día anterior y volumen 0. Una acción cuyo precio queda congelado muchos días "no acompaña" al resto del mercado aunque su negocio sí lo haga, y su correlación medida con las demás sale más baja que la real (Nanyonga et al., 2025, en las referencias de 01_scraping_acciones). El clustering la ve distinta por cómo se actualiza su precio, no por cómo reacciona.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keepNext/>
        <w:spacing w:after="160" w:line="300"/>
      </w:pPr>
      <w:r>
        <w:t xml:space="preserve">Para comprobarlo, se repitió el mismo K-Means en tres versiones (robustez_grupo_liquidez.csv):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4048"/>
        <w:gridCol w:w="1060"/>
        <w:gridCol w:w="1060"/>
        <w:gridCol w:w="1349"/>
        <w:gridCol w:w="2120"/>
      </w:tblGrid>
      <w:tr>
        <w:trPr>
          <w:tblHeader/>
        </w:trPr>
        <w:tc>
          <w:tcPr>
            <w:tcW w:type="pct" w:w="21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pct" w:w="5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Acciones</w:t>
            </w:r>
          </w:p>
        </w:tc>
        <w:tc>
          <w:tcPr>
            <w:tcW w:type="pct" w:w="5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Silueta</w:t>
            </w:r>
          </w:p>
        </w:tc>
        <w:tc>
          <w:tcPr>
            <w:tcW w:type="pct" w:w="7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Tamaños</w:t>
            </w:r>
          </w:p>
        </w:tc>
        <w:tc>
          <w:tcPr>
            <w:tcW w:type="pct" w:w="11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Coincidencia con el grupo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A) Como está hoy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0,406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 / 39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 de 8</w:t>
            </w:r>
          </w:p>
        </w:tc>
      </w:tr>
      <w:tr>
        <w:trPr>
          <w:cantSplit/>
        </w:trPr>
        <w:tc>
          <w:tcPr>
            <w:tcW w:type="pct" w:w="2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B) Días sin operación como dato faltante</w:t>
            </w:r>
          </w:p>
        </w:tc>
        <w:tc>
          <w:tcPr>
            <w:tcW w:type="pct" w:w="5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pct" w:w="5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0,400</w:t>
            </w:r>
          </w:p>
        </w:tc>
        <w:tc>
          <w:tcPr>
            <w:tcW w:type="pct" w:w="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 / 40</w:t>
            </w:r>
          </w:p>
        </w:tc>
        <w:tc>
          <w:tcPr>
            <w:tcW w:type="pct" w:w="1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 de 8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C) Sin las 4 acciones con más días sin operar (GCDI, RIGO, GRIM, GARO)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0,219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 / 27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de 8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rPr>
          <w:b/>
          <w:bCs/>
        </w:rPr>
        <w:t xml:space="preserve">Lectura: </w:t>
      </w:r>
      <w:r>
        <w:t xml:space="preserve">tratar los días sin operación como faltantes casi no cambia nada (prueba B: silueta 0,400, 7 de las 8), así que el grupo no es un error de carga de esos días. Pero si se sacan las 4 acciones menos líquidas (prueba C), el grupo se deshace: la silueta cae de 0,406 a 0,219 y el reparto pasa a 16 / 27, sin una identidad clara. El grupo existe, sobre todo, porque existen acciones de baja liquidez. Las otras 4 del grupo se operan con normalidad y entran por otros rasgos — por ejemplo, la volatilidad extrema de CELU o el día dudoso de AGRO.</w:t>
      </w:r>
    </w:p>
    <w:tbl>
      <w:tblPr>
        <w:tblW w:type="pct" w:w="5000"/>
        <w:tblBorders>
          <w:top w:val="single" w:color="D9E0E7" w:sz="4"/>
          <w:left w:val="single" w:color="40798C" w:sz="24"/>
          <w:bottom w:val="single" w:color="D9E0E7" w:sz="4"/>
          <w:right w:val="single" w:color="D9E0E7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shd w:fill="F5F8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C3A5C"/>
              </w:rPr>
              <w:t xml:space="preserve">Dos aclaraciones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GCDI: </w:t>
            </w:r>
            <w:r>
              <w:t xml:space="preserve">hoy se opera con normalidad (su volumen típico es como el de la acción promedio); sus días sin operar se concentran en 2023 y principios de 2024, antes del salto de precio del 24/01/2024.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AGRO: </w:t>
            </w:r>
            <w:r>
              <w:t xml:space="preserve">además de estar en el grupo es la empresa que MST aísla sola. Conserva un día dudoso (03/11/2023: −76% y +94% al día siguiente, ver 01_scraping_acciones) que infla su volatilidad, curtosis y máxima caída en la ventana de 3 años.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5. Gráficos — silueta por k, cada ventana</w:t>
      </w:r>
    </w:p>
    <w:p>
      <w:pPr>
        <w:keepNext/>
        <w:spacing w:after="160" w:line="300"/>
      </w:pPr>
      <w:r>
        <w:t xml:space="preserve">Ventana de 1 año</w:t>
      </w:r>
    </w:p>
    <w:p>
      <w:pPr>
        <w:spacing w:after="160"/>
        <w:jc w:val="center"/>
      </w:pPr>
      <w:r>
        <w:drawing>
          <wp:inline distT="0" distB="0" distL="0" distR="0">
            <wp:extent cx="57150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300"/>
      </w:pPr>
      <w:r>
        <w:t xml:space="preserve">Ventana de 3 años (todo el período)</w:t>
      </w:r>
    </w:p>
    <w:p>
      <w:pPr>
        <w:spacing w:after="160"/>
        <w:jc w:val="center"/>
      </w:pPr>
      <w:r>
        <w:drawing>
          <wp:inline distT="0" distB="0" distL="0" distR="0">
            <wp:extent cx="5715000" cy="13906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t xml:space="preserve">En Precio y Volumen, K-Means se mantiene bajo y plano para todo k (silueta entre 0,025 y 0,107) — sin estructura de grupos. Jerárquico y MST muestran en general la silueta cayendo a medida que k crece, la firma típica de ir "pelando" un outlier a la vez en vez de encontrar grupos genuinos. Solo "13 features" a 3 años despega con K-Means y Jerárquico, exactamente en el resultado de la sección 4. Los valores de cada punto están en siluetas_por_k.csv.</w:t>
      </w:r>
    </w:p>
    <w:p>
      <w:pPr>
        <w:pStyle w:val="Heading1"/>
        <w:keepNext/>
        <w:spacing w:after="160" w:before="360"/>
      </w:pPr>
      <w:r>
        <w:t xml:space="preserve">6. Conclusión de este paso</w:t>
      </w:r>
    </w:p>
    <w:p>
      <w:pPr>
        <w:spacing w:after="160" w:line="300"/>
      </w:pPr>
      <w:r>
        <w:t xml:space="preserve">Sobre el panel de 47 acciones no aparecen familias de comportamiento bien definidas. Casi todas las combinaciones solo aíslan 1 o 2 outliers, y el único grupo de tamaño real (8 empresas) se explica sobre todo por la baja liquidez de varias de sus integrantes: al sacarlas, la estructura desaparece. Para el análisis con noticias, esto lleva a trabajar acción por acción (y por sector), no por familias.</w:t>
      </w:r>
    </w:p>
    <w:p>
      <w:pPr>
        <w:spacing w:after="160" w:line="300"/>
      </w:pPr>
      <w:r>
        <w:rPr>
          <w:b/>
          <w:bCs/>
        </w:rPr>
        <w:t xml:space="preserve">Para la etapa siguiente: </w:t>
      </w:r>
      <w:r>
        <w:t xml:space="preserve">en las acciones de baja liquidez (GCDI, RIGO, GRIM, GARO) el precio se actualiza menos seguido. En un VAR o un test de Granger eso puede hacer que parezcan reaccionar con retraso aunque no sea así, por lo que sus resultados por empresa deben leerse con cautela.</w:t>
      </w:r>
    </w:p>
    <w:p>
      <w:pPr>
        <w:pStyle w:val="Heading1"/>
        <w:keepNext/>
        <w:spacing w:after="160" w:before="360"/>
      </w:pPr>
      <w:r>
        <w:t xml:space="preserve">7. Archivos generados</w:t>
      </w:r>
    </w:p>
    <w:p>
      <w:pPr>
        <w:spacing w:after="160" w:line="300"/>
      </w:pPr>
      <w:r>
        <w:rPr>
          <w:rFonts w:ascii="Consolas" w:cs="Consolas" w:eastAsia="Consolas" w:hAnsi="Consolas"/>
          <w:color w:val="1C3A5C"/>
          <w:sz w:val="19"/>
          <w:szCs w:val="19"/>
        </w:rPr>
        <w:t xml:space="preserve">D:\2.Tesina\tesis version 3.0\Lado Bursatil\02_clustering_acciones\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pct" w:w="19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pct" w:w="31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clustering_acciones.py</w:t>
            </w:r>
          </w:p>
        </w:tc>
        <w:tc>
          <w:tcPr>
            <w:tcW w:type="pct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Script principal. Carga el panel de 47, corre las 18 combinaciones, guarda el resumen, las siluetas y los gráficos.</w:t>
            </w:r>
          </w:p>
        </w:tc>
      </w:tr>
      <w:tr>
        <w:trPr>
          <w:cantSplit/>
        </w:trPr>
        <w:tc>
          <w:tcPr>
            <w:tcW w:type="pct" w:w="1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resumen_clustering_47.csv</w:t>
            </w:r>
          </w:p>
        </w:tc>
        <w:tc>
          <w:tcPr>
            <w:tcW w:type="pct" w:w="3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Una fila por cluster × método × período × análisis (50 filas).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siluetas_por_k.csv</w:t>
            </w:r>
          </w:p>
        </w:tc>
        <w:tc>
          <w:tcPr>
            <w:tcW w:type="pct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Silueta de cada k (2 a 8) para las 18 combinaciones (126 filas) — los mismos valores de los gráficos.</w:t>
            </w:r>
          </w:p>
        </w:tc>
      </w:tr>
      <w:tr>
        <w:trPr>
          <w:cantSplit/>
        </w:trPr>
        <w:tc>
          <w:tcPr>
            <w:tcW w:type="pct" w:w="1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clustering_1ano.png / clustering_3anos.png</w:t>
            </w:r>
          </w:p>
        </w:tc>
        <w:tc>
          <w:tcPr>
            <w:tcW w:type="pct" w:w="3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Silueta vs. k, 3 algoritmos, una figura por representación.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analizar_grupo_no_degenerado.py</w:t>
            </w:r>
          </w:p>
        </w:tc>
        <w:tc>
          <w:tcPr>
            <w:tcW w:type="pct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Script de la sección 4: lee el grupo de resumen_clustering_47.csv, mide su liquidez, qué features lo separan, y corre las pruebas de robustez A, B y C.</w:t>
            </w:r>
          </w:p>
        </w:tc>
      </w:tr>
      <w:tr>
        <w:trPr>
          <w:cantSplit/>
        </w:trPr>
        <w:tc>
          <w:tcPr>
            <w:tcW w:type="pct" w:w="1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comparacion_grupo_no_degenerado.csv</w:t>
            </w:r>
          </w:p>
        </w:tc>
        <w:tc>
          <w:tcPr>
            <w:tcW w:type="pct" w:w="3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Una fila por empresa (47): retorno, volatilidad, volumen, días sin operar, % de días con el precio quieto y puesto por volumen.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features_que_separan_grupo.csv</w:t>
            </w:r>
          </w:p>
        </w:tc>
        <w:tc>
          <w:tcPr>
            <w:tcW w:type="pct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Diferencia de cada una de las 13 features entre el grupo y el resto, en desvíos estándar.</w:t>
            </w:r>
          </w:p>
        </w:tc>
      </w:tr>
      <w:tr>
        <w:trPr>
          <w:cantSplit/>
        </w:trPr>
        <w:tc>
          <w:tcPr>
            <w:tcW w:type="pct" w:w="1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robustez_grupo_liquidez.csv</w:t>
            </w:r>
          </w:p>
        </w:tc>
        <w:tc>
          <w:tcPr>
            <w:tcW w:type="pct" w:w="3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Las pruebas A, B y C: silueta, tamaños y coincidencia con el grupo en cada versión.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8. Referencias bibliográficas</w:t>
      </w:r>
    </w:p>
    <w:p>
      <w:pPr>
        <w:spacing w:after="160" w:line="300"/>
      </w:pPr>
      <w:r>
        <w:t xml:space="preserve">Trabajos previos sobre este tema, en español, inglés y portugués. Los que son de acceso libre están descargados en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</w:t>
      </w:r>
      <w:r>
        <w:t xml:space="preserve"> dentro de esta misma carpeta (10 archivos); los que tienen acceso restringido se citan con su enlace oficial. La misma lista, en formato BibTeX para citar en la tesis, está en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papers\referencias.bib</w:t>
      </w:r>
      <w:r>
        <w:t xml:space="preserve">.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[1] </w:t>
      </w:r>
      <w:r>
        <w:rPr>
          <w:b/>
          <w:bCs/>
          <w:sz w:val="20"/>
          <w:szCs w:val="20"/>
        </w:rPr>
        <w:t xml:space="preserve">Mantegna, R. N. (1999). Hierarchical Structure in Financial Markets. European Physical Journal B, 11, 193–197. arXiv:cond-mat/9802256.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Construye el árbol de expansión mínima (MST) a partir de las correlaciones entre los retornos de todas las acciones y muestra que el árbol agrupa a las empresas por sector económico.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Es el origen del método MST que usamos. Mantegna usa la distancia √(2(1 − ρ)) y nosotros 1 − ρ; el árbol resultante es el mismo, porque el MST solo depende del orden de las distancias y una es función creciente de la otra.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papers\1999_Mantegna_hierarchical_structure.pdf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[2] </w:t>
      </w:r>
      <w:r>
        <w:rPr>
          <w:b/>
          <w:bCs/>
          <w:sz w:val="20"/>
          <w:szCs w:val="20"/>
        </w:rPr>
        <w:t xml:space="preserve">Rousseeuw, P. J. (1987). Silhouettes: a graphical aid to the interpretation and validation of cluster analysis. Journal of Computational and Applied Mathematics, 20, 53–65.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Introduce el índice de silueta: para cada elemento compara qué tan cerca está de su propio grupo y qué tan lejos del grupo más cercano; el promedio sirve para evaluar un agrupamiento y elegir la cantidad de grupos.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Es la medida con la que se elige el k de cada combinación y se ordena el ranking de la sección 3.</w:t>
      </w:r>
    </w:p>
    <w:p>
      <w:pPr>
        <w:keepLines/>
        <w:spacing w:after="60" w:line="276"/>
        <w:ind w:left="360"/>
      </w:pPr>
      <w:r>
        <w:rPr>
          <w:b/>
          <w:bCs/>
          <w:color w:val="C1272D"/>
          <w:sz w:val="19"/>
          <w:szCs w:val="19"/>
        </w:rPr>
        <w:t xml:space="preserve">No descargado: </w:t>
      </w:r>
      <w:r>
        <w:rPr>
          <w:sz w:val="19"/>
          <w:szCs w:val="19"/>
        </w:rPr>
        <w:t xml:space="preserve">acceso por suscripción (Elsevier). </w:t>
      </w:r>
      <w:r>
        <w:rPr>
          <w:color w:val="40798C"/>
          <w:sz w:val="18"/>
          <w:szCs w:val="18"/>
        </w:rPr>
        <w:t xml:space="preserve">https://ftp.math.utah.edu/pub/tex/bib/idx/jcomputapplmath1980/20/z/53_65.html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[3] </w:t>
      </w:r>
      <w:r>
        <w:rPr>
          <w:b/>
          <w:bCs/>
          <w:sz w:val="20"/>
          <w:szCs w:val="20"/>
        </w:rPr>
        <w:t xml:space="preserve">Onnela, J.-P., Chakraborti, A., Kaski, K. y Kertész, J. (2003). Dynamic asset trees and Black Monday. Physica A, 324, 247. arXiv:cond-mat/0212037.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Sigue el árbol MST en el tiempo y muestra que se "encoge" durante una crisis (el Lunes Negro de 1987): en los días de pánico todas las acciones pasan a moverse juntas.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Ayuda a entender por qué en un período con shocks fuertes, como 2025 en Argentina, la estructura de grupos se vuelve difusa: en los días extremos todo el panel se correlaciona y las familias se desdibujan.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papers\2003_Onnela_dynamic_asset_trees.pdf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[4] </w:t>
      </w:r>
      <w:r>
        <w:rPr>
          <w:b/>
          <w:bCs/>
          <w:sz w:val="20"/>
          <w:szCs w:val="20"/>
        </w:rPr>
        <w:t xml:space="preserve">Marti, G., Nielsen, F., Bińkowski, M. y Donnat, P. (2021). A review of two decades of correlations, hierarchies, networks and clustering in financial markets. En Progress in Information Geometry, 245–274. arXiv:1703.00485.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Revisión de veinte años de investigación sobre clustering de series financieras: distancias basadas en correlación, métodos jerárquicos, árboles y redes.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Marco general del paso: documenta las decisiones que tomamos (distancia 1 − correlación, linkage jerárquico, MST) y sus limitaciones conocidas.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papers\2017_Marti_review_correlations_clustering.pdf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[5] </w:t>
      </w:r>
      <w:r>
        <w:rPr>
          <w:b/>
          <w:bCs/>
          <w:sz w:val="20"/>
          <w:szCs w:val="20"/>
        </w:rPr>
        <w:t xml:space="preserve">Pharasi, H. K., Seligman, E. y Seligman, T. H. (2020). Market states: A new understanding. arXiv:2003.07058.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Agrupa períodos (no acciones) del S&amp;P 500 y del Nikkei 225 según la estructura de sus matrices de correlación, y llama "estados de mercado" a los grupos resultantes. Autores de la UNAM.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Es el puente entre este paso y el HMM (06): usa clustering para encontrar regímenes de mercado, la misma idea que el régimen Calmo / Moderado / Tenso pero por otro camino.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papers\2020_Market_states_UNAM.pdf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[6] </w:t>
      </w:r>
      <w:r>
        <w:rPr>
          <w:b/>
          <w:bCs/>
          <w:sz w:val="20"/>
          <w:szCs w:val="20"/>
        </w:rPr>
        <w:t xml:space="preserve">Ghosh, D. (2025). Polyspectral Mean based Time Series Clustering of Indian Stock Market. Discover Data, 3, 10. arXiv:2504.07021.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Aplica K-Means sobre 49 acciones del mercado indio, describiendo cada serie con información espectral.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Panel de tamaño casi igual al nuestro (47 acciones) en un mercado emergente: referencia directa para comparar el uso de K-Means sobre una representación resumida de cada acción, como nuestras 13 features.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papers\2025_Kmeans_49_stocks_India.pdf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[7] </w:t>
      </w:r>
      <w:r>
        <w:rPr>
          <w:b/>
          <w:bCs/>
          <w:sz w:val="20"/>
          <w:szCs w:val="20"/>
        </w:rPr>
        <w:t xml:space="preserve">Arratia, A. y Cabaña, A. (2013). Tracing the temporal evolution of clusters in a financial stock market. Computational Economics, 41, 213–231. arXiv:1111.3127.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Agrupa 34 acciones del IBEX 35 (Bolsa de Madrid) en 2008-2009 y propone una forma de seguir cómo cambian los clusters a lo largo del tiempo.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Muestra que los grupos de acciones no son fijos sino que cambian entre períodos — consistente con que nuestros resultados difieran entre la ventana de 1 año y la de 3 años.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papers\2011_Temporal_evolution_clusters.pdf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[8] </w:t>
      </w:r>
      <w:r>
        <w:rPr>
          <w:b/>
          <w:bCs/>
          <w:sz w:val="20"/>
          <w:szCs w:val="20"/>
        </w:rPr>
        <w:t xml:space="preserve">Ramírez-Carrillo, G., Ortiz-Mora, D. y Aguilar-Larrotta, A. (2025). Hierarchical Risk Parity for Portfolio Allocation in the Latin American NUAM Market. arXiv:2509.03712.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Aplica clustering jerárquico de acciones para armar carteras en el mercado regional NUAM (Chile, Colombia y Perú). Universidad del Rosario.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Antecedente latinoamericano de clustering jerárquico sobre correlaciones de acciones, en mercados emergentes de tamaño comparable al argentino.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papers\2025_HRP_NUAM_Latinoamerica.pdf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[9] </w:t>
      </w:r>
      <w:r>
        <w:rPr>
          <w:b/>
          <w:bCs/>
          <w:sz w:val="20"/>
          <w:szCs w:val="20"/>
        </w:rPr>
        <w:t xml:space="preserve">Alexandre, M., Lopes de Moraes, K. y Rodrigues, F. A. (2021). Risk-dependent centrality in the Brazilian stock market. arXiv:2103.09059.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Calcula qué acciones son más "centrales" en la red de la bolsa brasileña (2008-2020) y muestra que ese orden cambia según el nivel de riesgo externo y las crisis.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En el mercado vecino, la estructura de relaciones entre acciones es inestable y depende de los shocks — otra razón por la que un grupo encontrado en una ventana puede no repetirse en otra.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papers\2021_Risk_centrality_Brasil.pdf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[10] </w:t>
      </w:r>
      <w:r>
        <w:rPr>
          <w:b/>
          <w:bCs/>
          <w:sz w:val="20"/>
          <w:szCs w:val="20"/>
        </w:rPr>
        <w:t xml:space="preserve">Huth, N. y Abergel, F. (2011). High Frequency Lead/lag Relationships — Empirical facts. arXiv:1111.7103.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Con datos tick a tick, muestra que algunos activos siguen a otros con un pequeño retraso: los más líquidos tienden a adelantarse a las acciones más chicas, y las acciones más correlacionadas entre sí son las que tienen niveles de liquidez parecidos.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Respalda los dos puntos de la sección 4 y la conclusión: que la liquidez arma grupos por sí misma (las acciones se parecen en correlación cuando se parecen en liquidez) y que en el VAR las acciones poco líquidas pueden parecer reaccionar con retraso respecto de las más operadas.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papers\2011_Lead_lag_relationships.pdf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[11] </w:t>
      </w:r>
      <w:r>
        <w:rPr>
          <w:b/>
          <w:bCs/>
          <w:sz w:val="20"/>
          <w:szCs w:val="20"/>
        </w:rPr>
        <w:t xml:space="preserve">Busca, J. y Thomir, L. (2023). Epps Effect and the Signature of Short-Term Momentum Traders. arXiv:2309.06711.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Parte del efecto Epps (Epps, 1979): la correlación entre los retornos de dos activos relacionados baja cuando se mide en horizontes cortos, porque no se actualizan al mismo tiempo. El paper estudia una excepción en divisas y criptomonedas.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Es el mismo mecanismo que separa a las acciones poco líquidas: si una acción tarda en actualizar su precio, su correlación diaria con el resto sale más baja que la real. Medido a horizontes más largos (semanal), la diferencia se achicaría.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papers\2023_Epps_effect_momentum_traders.pdf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[12] </w:t>
      </w:r>
      <w:r>
        <w:rPr>
          <w:b/>
          <w:bCs/>
          <w:sz w:val="20"/>
          <w:szCs w:val="20"/>
        </w:rPr>
        <w:t xml:space="preserve">Lo, A. W. y MacKinlay, A. C. (1990). An econometric analysis of nonsynchronous trading. Journal of Econometrics, 45(1–2), 181–211.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Modela qué pasa con las estadísticas de los retornos cuando las acciones no operan todos los días: los precios atrasados generan correlaciones y adelantos/retrasos espurios entre acciones.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Es la referencia clásica de la advertencia para la etapa siguiente: en las acciones de baja liquidez (GCDI, RIGO, GRIM, GARO), un test de Granger puede detectar un retraso que es efecto del precio atrasado y no una reacción real.</w:t>
      </w:r>
    </w:p>
    <w:p>
      <w:pPr>
        <w:keepLines/>
        <w:spacing w:after="60" w:line="276"/>
        <w:ind w:left="360"/>
      </w:pPr>
      <w:r>
        <w:rPr>
          <w:b/>
          <w:bCs/>
          <w:color w:val="C1272D"/>
          <w:sz w:val="19"/>
          <w:szCs w:val="19"/>
        </w:rPr>
        <w:t xml:space="preserve">No descargado: </w:t>
      </w:r>
      <w:r>
        <w:rPr>
          <w:sz w:val="19"/>
          <w:szCs w:val="19"/>
        </w:rPr>
        <w:t xml:space="preserve">acceso por suscripción (Elsevier); la versión de trabajo del MIT bloquea la descarga automática. </w:t>
      </w:r>
      <w:r>
        <w:rPr>
          <w:color w:val="40798C"/>
          <w:sz w:val="18"/>
          <w:szCs w:val="18"/>
        </w:rPr>
        <w:t xml:space="preserve">https://www.nber.org/papers/w2960</w:t>
      </w:r>
      <w:r>
        <w:rPr>
          <w:color w:val="5C6B7A"/>
          <w:sz w:val="19"/>
          <w:szCs w:val="19"/>
        </w:rPr>
        <w:t xml:space="preserve">  ·  inglés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A"/>
        <w:sz w:val="16"/>
        <w:szCs w:val="16"/>
      </w:rPr>
      <w:t xml:space="preserve">Nicolás Diddi · Página </w:t>
    </w:r>
    <w:r>
      <w:rPr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B7A"/>
        <w:sz w:val="16"/>
        <w:szCs w:val="16"/>
      </w:rPr>
      <w:t xml:space="preserve"> de </w:t>
    </w:r>
    <w:r>
      <w:rPr>
        <w:color w:val="5C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7A"/>
        <w:sz w:val="16"/>
        <w:szCs w:val="16"/>
      </w:rPr>
      <w:t xml:space="preserve">Clustering de acciones — tesis version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0798C" w:sz="6" w:space="4"/>
      </w:pBdr>
      <w:spacing w:after="160" w:before="360"/>
    </w:pPr>
    <w:rPr>
      <w:rFonts w:ascii="Cambria" w:cs="Cambria" w:eastAsia="Cambria" w:hAnsi="Cambria"/>
      <w:b/>
      <w:bCs/>
      <w:color w:val="12263A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5de7dda223eb464b23cdbd953af9192f98380e9.png"/><Relationship Id="rId10" Type="http://schemas.openxmlformats.org/officeDocument/2006/relationships/image" Target="media/009b4e273de68c998ae85f52c185eba03f2f5fb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2026-10-17T23:42:49.345Z</dcterms:created>
  <dcterms:modified xsi:type="dcterms:W3CDTF">2026-10-17T23:42:49.346Z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