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VIX argentino</w:t>
      </w:r>
    </w:p>
    <w:p>
      <w:pPr>
        <w:spacing w:after="200"/>
      </w:pPr>
      <w:r>
        <w:rPr>
          <w:rFonts w:ascii="Cambria" w:cs="Cambria" w:eastAsia="Cambria" w:hAnsi="Cambria"/>
          <w:i/>
          <w:iCs/>
          <w:color w:val="1C3A5C"/>
          <w:sz w:val="24"/>
          <w:szCs w:val="24"/>
        </w:rPr>
        <w:t xml:space="preserve">Volatilidad realizada del mercado, día por día</w:t>
      </w:r>
    </w:p>
    <w:p>
      <w:pPr>
        <w:pBdr>
          <w:bottom w:val="single" w:color="D9E0E7" w:sz="4" w:space="8"/>
        </w:pBdr>
        <w:spacing w:after="200"/>
      </w:pPr>
      <w:r>
        <w:rPr>
          <w:color w:val="5C6B7A"/>
          <w:sz w:val="19"/>
          <w:szCs w:val="19"/>
        </w:rPr>
        <w:t xml:space="preserve">Tesina — Impacto de shocks informativos en acciones argentinas (BYMA / S&amp;P Merval). Documento exclusivamente del lado bursátil. No toca noticias, sentimiento ni gazetteer.</w:t>
      </w:r>
    </w:p>
    <w:p>
      <w:pPr>
        <w:spacing w:after="160" w:line="300"/>
      </w:pPr>
      <w:r>
        <w:rPr>
          <w:b/>
          <w:bCs/>
        </w:rPr>
        <w:t xml:space="preserve">Ubicación de todo lo generado. </w:t>
      </w:r>
      <w:r>
        <w:rPr>
          <w:rFonts w:ascii="Consolas" w:cs="Consolas" w:eastAsia="Consolas" w:hAnsi="Consolas"/>
          <w:color w:val="1C3A5C"/>
          <w:sz w:val="19"/>
          <w:szCs w:val="19"/>
        </w:rPr>
        <w:t xml:space="preserve">D:\2.Tesina\tesis version 3.0\Lado Bursatil\03_vix_argentino\</w:t>
      </w:r>
      <w:r>
        <w:t xml:space="preserve">. Su ventana de fechas es la que después leen ADF, volatilidad por acción, clustering (1 año) y HMM.</w:t>
      </w:r>
    </w:p>
    <w:p>
      <w:pPr>
        <w:pageBreakBefore/>
      </w:pPr>
    </w:p>
    <w:p>
      <w:pPr>
        <w:pStyle w:val="Heading1"/>
        <w:keepNext/>
        <w:spacing w:after="160" w:before="360"/>
      </w:pPr>
      <w:r>
        <w:t xml:space="preserve">1. Qué es y cómo se calcula</w:t>
      </w:r>
    </w:p>
    <w:p>
      <w:pPr>
        <w:keepNext/>
        <w:spacing w:after="160" w:line="300"/>
      </w:pPr>
      <w:r>
        <w:t xml:space="preserve">El VIX de Chicago Board se construye con precios de opciones sobre el S&amp;P 500 — mide volatilidad implícita, lo que el mercado espera que pase. En Argentina no existe un mercado de opciones con la liquidez necesaria para calcular algo así, así que se construye un análogo con volatilidad realizada: qué tan dispersos fueron los retornos del índice en los últimos días.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157"/>
        <w:gridCol w:w="8481"/>
      </w:tblGrid>
      <w:tr>
        <w:trPr>
          <w:tblHeader/>
        </w:trPr>
        <w:tc>
          <w:tcPr>
            <w:tcW w:type="pct" w:w="600"/>
            <w:shd w:fill="1C3A5C" w:val="clear"/>
            <w:tcMar>
              <w:top w:type="dxa" w:w="80"/>
              <w:left w:type="dxa" w:w="120"/>
              <w:bottom w:type="dxa" w:w="80"/>
              <w:right w:type="dxa" w:w="120"/>
            </w:tcMar>
          </w:tcPr>
          <w:p>
            <w:r>
              <w:rPr>
                <w:b/>
                <w:bCs/>
                <w:color w:val="FFFFFF"/>
                <w:sz w:val="19"/>
                <w:szCs w:val="19"/>
              </w:rPr>
              <w:t xml:space="preserve">Paso</w:t>
            </w:r>
          </w:p>
        </w:tc>
        <w:tc>
          <w:tcPr>
            <w:tcW w:type="pct" w:w="4400"/>
            <w:shd w:fill="1C3A5C" w:val="clear"/>
            <w:tcMar>
              <w:top w:type="dxa" w:w="80"/>
              <w:left w:type="dxa" w:w="120"/>
              <w:bottom w:type="dxa" w:w="80"/>
              <w:right w:type="dxa" w:w="120"/>
            </w:tcMar>
          </w:tcPr>
          <w:p>
            <w:r>
              <w:rPr>
                <w:b/>
                <w:bCs/>
                <w:color w:val="FFFFFF"/>
                <w:sz w:val="19"/>
                <w:szCs w:val="19"/>
              </w:rPr>
              <w:t xml:space="preserve">Cálculo</w:t>
            </w:r>
          </w:p>
        </w:tc>
      </w:tr>
      <w:tr>
        <w:trPr>
          <w:cantSplit/>
        </w:trPr>
        <w:tc>
          <w:tcPr>
            <w:tcW w:type="pct" w:w="600"/>
            <w:shd w:fill="FFFFFF" w:val="clear"/>
            <w:tcMar>
              <w:top w:type="dxa" w:w="70"/>
              <w:left w:type="dxa" w:w="120"/>
              <w:bottom w:type="dxa" w:w="70"/>
              <w:right w:type="dxa" w:w="120"/>
            </w:tcMar>
          </w:tcPr>
          <w:p>
            <w:r>
              <w:rPr>
                <w:sz w:val="19"/>
                <w:szCs w:val="19"/>
              </w:rPr>
              <w:t xml:space="preserve">1</w:t>
            </w:r>
          </w:p>
        </w:tc>
        <w:tc>
          <w:tcPr>
            <w:tcW w:type="pct" w:w="4400"/>
            <w:shd w:fill="FFFFFF" w:val="clear"/>
            <w:tcMar>
              <w:top w:type="dxa" w:w="70"/>
              <w:left w:type="dxa" w:w="120"/>
              <w:bottom w:type="dxa" w:w="70"/>
              <w:right w:type="dxa" w:w="120"/>
            </w:tcMar>
          </w:tcPr>
          <w:p>
            <w:r>
              <w:rPr>
                <w:sz w:val="19"/>
                <w:szCs w:val="19"/>
              </w:rPr>
              <w:t xml:space="preserve">Cierre diario del índice ^MERV (Yahoo Finance)</w:t>
            </w:r>
          </w:p>
        </w:tc>
      </w:tr>
      <w:tr>
        <w:trPr>
          <w:cantSplit/>
        </w:trPr>
        <w:tc>
          <w:tcPr>
            <w:tcW w:type="pct" w:w="600"/>
            <w:shd w:fill="FAFCFD" w:val="clear"/>
            <w:tcMar>
              <w:top w:type="dxa" w:w="70"/>
              <w:left w:type="dxa" w:w="120"/>
              <w:bottom w:type="dxa" w:w="70"/>
              <w:right w:type="dxa" w:w="120"/>
            </w:tcMar>
          </w:tcPr>
          <w:p>
            <w:r>
              <w:rPr>
                <w:sz w:val="19"/>
                <w:szCs w:val="19"/>
              </w:rPr>
              <w:t xml:space="preserve">2</w:t>
            </w:r>
          </w:p>
        </w:tc>
        <w:tc>
          <w:tcPr>
            <w:tcW w:type="pct" w:w="4400"/>
            <w:shd w:fill="FAFCFD" w:val="clear"/>
            <w:tcMar>
              <w:top w:type="dxa" w:w="70"/>
              <w:left w:type="dxa" w:w="120"/>
              <w:bottom w:type="dxa" w:w="70"/>
              <w:right w:type="dxa" w:w="120"/>
            </w:tcMar>
          </w:tcPr>
          <w:p>
            <w:r>
              <w:rPr>
                <w:sz w:val="19"/>
                <w:szCs w:val="19"/>
              </w:rPr>
              <w:t xml:space="preserve">Retorno diario: (hoy − ayer) / ayer</w:t>
            </w:r>
          </w:p>
        </w:tc>
      </w:tr>
      <w:tr>
        <w:trPr>
          <w:cantSplit/>
        </w:trPr>
        <w:tc>
          <w:tcPr>
            <w:tcW w:type="pct" w:w="600"/>
            <w:shd w:fill="FFFFFF" w:val="clear"/>
            <w:tcMar>
              <w:top w:type="dxa" w:w="70"/>
              <w:left w:type="dxa" w:w="120"/>
              <w:bottom w:type="dxa" w:w="70"/>
              <w:right w:type="dxa" w:w="120"/>
            </w:tcMar>
          </w:tcPr>
          <w:p>
            <w:r>
              <w:rPr>
                <w:sz w:val="19"/>
                <w:szCs w:val="19"/>
              </w:rPr>
              <w:t xml:space="preserve">3</w:t>
            </w:r>
          </w:p>
        </w:tc>
        <w:tc>
          <w:tcPr>
            <w:tcW w:type="pct" w:w="4400"/>
            <w:shd w:fill="FFFFFF" w:val="clear"/>
            <w:tcMar>
              <w:top w:type="dxa" w:w="70"/>
              <w:left w:type="dxa" w:w="120"/>
              <w:bottom w:type="dxa" w:w="70"/>
              <w:right w:type="dxa" w:w="120"/>
            </w:tcMar>
          </w:tcPr>
          <w:p>
            <w:r>
              <w:rPr>
                <w:sz w:val="19"/>
                <w:szCs w:val="19"/>
              </w:rPr>
              <w:t xml:space="preserve">Desvío estándar de los últimos 20 días de retornos</w:t>
            </w:r>
          </w:p>
        </w:tc>
      </w:tr>
      <w:tr>
        <w:trPr>
          <w:cantSplit/>
        </w:trPr>
        <w:tc>
          <w:tcPr>
            <w:tcW w:type="pct" w:w="600"/>
            <w:shd w:fill="FAFCFD" w:val="clear"/>
            <w:tcMar>
              <w:top w:type="dxa" w:w="70"/>
              <w:left w:type="dxa" w:w="120"/>
              <w:bottom w:type="dxa" w:w="70"/>
              <w:right w:type="dxa" w:w="120"/>
            </w:tcMar>
          </w:tcPr>
          <w:p>
            <w:r>
              <w:rPr>
                <w:sz w:val="19"/>
                <w:szCs w:val="19"/>
              </w:rPr>
              <w:t xml:space="preserve">4</w:t>
            </w:r>
          </w:p>
        </w:tc>
        <w:tc>
          <w:tcPr>
            <w:tcW w:type="pct" w:w="4400"/>
            <w:shd w:fill="FAFCFD" w:val="clear"/>
            <w:tcMar>
              <w:top w:type="dxa" w:w="70"/>
              <w:left w:type="dxa" w:w="120"/>
              <w:bottom w:type="dxa" w:w="70"/>
              <w:right w:type="dxa" w:w="120"/>
            </w:tcMar>
          </w:tcPr>
          <w:p>
            <w:r>
              <w:rPr>
                <w:sz w:val="19"/>
                <w:szCs w:val="19"/>
              </w:rPr>
              <w:t xml:space="preserve">Anualizado: × raíz(252) × 100, para leerlo como % anual</w:t>
            </w:r>
          </w:p>
        </w:tc>
      </w:tr>
    </w:tbl>
    <w:p>
      <w:pPr>
        <w:spacing w:after="160" w:line="300"/>
      </w:pPr>
      <w:r>
        <w:t xml:space="preserve"/>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Anualización: por qué √252 y no las ruedas reales de BYMA</w:t>
            </w:r>
          </w:p>
          <w:p>
            <w:pPr>
              <w:spacing w:after="60" w:line="276"/>
            </w:pPr>
            <w:r>
              <w:t xml:space="preserve">Para expresar la volatilidad del Merval como porcentaje anual, el desvío diario se multiplica por √252. El 252 es la cantidad de ruedas por año que se usa como convención internacional. BYMA tiene menos, por sus feriados: en esta ventana hubo 323 ruedas en 1,32 años, unas 244 por año. Con ese número, todos los valores serían un 1,5% más bajos (el promedio pasaría de 44,0% a 43,3%). Como el ajuste es el mismo para todos los días y todas las acciones, no cambia ninguna comparación ni ninguna conclusión; se mantiene la convención para que los valores sean comparables con otros trabajos.</w:t>
            </w:r>
          </w:p>
        </w:tc>
      </w:tr>
    </w:tbl>
    <w:p>
      <w:pPr>
        <w:spacing w:after="160" w:line="300"/>
      </w:pPr>
      <w:r>
        <w:t xml:space="preserve"/>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Independiente del panel de acciones — y con la ventana del corpus de noticias</w:t>
            </w:r>
          </w:p>
          <w:p>
            <w:pPr>
              <w:spacing w:after="60" w:line="276"/>
            </w:pPr>
            <w:r>
              <w:t xml:space="preserve">Este cálculo usa el índice ^MERV directamente — no depende de qué empresas estén en el panel de 01_scraping_acciones. La ventana final (2025-01-02 → 2026-05-03) es la que cubre el corpus de noticias del compañero — es la que va a definir el dataset combinado final. Los análisis siguientes leen esta misma ventana directamente de </w:t>
            </w:r>
            <w:r>
              <w:rPr>
                <w:rFonts w:ascii="Consolas" w:cs="Consolas" w:eastAsia="Consolas" w:hAnsi="Consolas"/>
                <w:color w:val="1C3A5C"/>
                <w:sz w:val="19"/>
                <w:szCs w:val="19"/>
              </w:rPr>
              <w:t xml:space="preserve">vix_arg.csv</w:t>
            </w:r>
            <w:r>
              <w:t xml:space="preserve">, no la repiten a mano, para que no puedan desalinearse.</w:t>
            </w:r>
          </w:p>
        </w:tc>
      </w:tr>
    </w:tbl>
    <w:p>
      <w:pPr>
        <w:pStyle w:val="Heading1"/>
        <w:keepNext/>
        <w:spacing w:after="160" w:before="360"/>
      </w:pPr>
      <w:r>
        <w:t xml:space="preserve">2. Ventana y resultado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4241"/>
        <w:gridCol w:w="5397"/>
      </w:tblGrid>
      <w:tr>
        <w:trPr>
          <w:tblHeader/>
        </w:trPr>
        <w:tc>
          <w:tcPr>
            <w:tcW w:type="pct" w:w="2200"/>
            <w:shd w:fill="1C3A5C" w:val="clear"/>
            <w:tcMar>
              <w:top w:type="dxa" w:w="80"/>
              <w:left w:type="dxa" w:w="120"/>
              <w:bottom w:type="dxa" w:w="80"/>
              <w:right w:type="dxa" w:w="120"/>
            </w:tcMar>
          </w:tcPr>
          <w:p>
            <w:r>
              <w:rPr>
                <w:b/>
                <w:bCs/>
                <w:color w:val="FFFFFF"/>
                <w:sz w:val="19"/>
                <w:szCs w:val="19"/>
              </w:rPr>
              <w:t xml:space="preserve"/>
            </w:r>
          </w:p>
        </w:tc>
        <w:tc>
          <w:tcPr>
            <w:tcW w:type="pct" w:w="2800"/>
            <w:shd w:fill="1C3A5C" w:val="clear"/>
            <w:tcMar>
              <w:top w:type="dxa" w:w="80"/>
              <w:left w:type="dxa" w:w="120"/>
              <w:bottom w:type="dxa" w:w="80"/>
              <w:right w:type="dxa" w:w="120"/>
            </w:tcMar>
          </w:tcPr>
          <w:p>
            <w:r>
              <w:rPr>
                <w:b/>
                <w:bCs/>
                <w:color w:val="FFFFFF"/>
                <w:sz w:val="19"/>
                <w:szCs w:val="19"/>
              </w:rPr>
              <w:t xml:space="preserve">Valor</w:t>
            </w:r>
          </w:p>
        </w:tc>
      </w:tr>
      <w:tr>
        <w:trPr>
          <w:cantSplit/>
        </w:trPr>
        <w:tc>
          <w:tcPr>
            <w:tcW w:type="pct" w:w="2200"/>
            <w:shd w:fill="FFFFFF" w:val="clear"/>
            <w:tcMar>
              <w:top w:type="dxa" w:w="70"/>
              <w:left w:type="dxa" w:w="120"/>
              <w:bottom w:type="dxa" w:w="70"/>
              <w:right w:type="dxa" w:w="120"/>
            </w:tcMar>
          </w:tcPr>
          <w:p>
            <w:r>
              <w:rPr>
                <w:sz w:val="19"/>
                <w:szCs w:val="19"/>
              </w:rPr>
              <w:t xml:space="preserve">Ventana pedida</w:t>
            </w:r>
          </w:p>
        </w:tc>
        <w:tc>
          <w:tcPr>
            <w:tcW w:type="pct" w:w="2800"/>
            <w:shd w:fill="FFFFFF" w:val="clear"/>
            <w:tcMar>
              <w:top w:type="dxa" w:w="70"/>
              <w:left w:type="dxa" w:w="120"/>
              <w:bottom w:type="dxa" w:w="70"/>
              <w:right w:type="dxa" w:w="120"/>
            </w:tcMar>
          </w:tcPr>
          <w:p>
            <w:r>
              <w:rPr>
                <w:sz w:val="19"/>
                <w:szCs w:val="19"/>
              </w:rPr>
              <w:t xml:space="preserve">2025-01-02 → 2026-05-03</w:t>
            </w:r>
          </w:p>
        </w:tc>
      </w:tr>
      <w:tr>
        <w:trPr>
          <w:cantSplit/>
        </w:trPr>
        <w:tc>
          <w:tcPr>
            <w:tcW w:type="pct" w:w="2200"/>
            <w:shd w:fill="FAFCFD" w:val="clear"/>
            <w:tcMar>
              <w:top w:type="dxa" w:w="70"/>
              <w:left w:type="dxa" w:w="120"/>
              <w:bottom w:type="dxa" w:w="70"/>
              <w:right w:type="dxa" w:w="120"/>
            </w:tcMar>
          </w:tcPr>
          <w:p>
            <w:r>
              <w:rPr>
                <w:sz w:val="19"/>
                <w:szCs w:val="19"/>
              </w:rPr>
              <w:t xml:space="preserve">Descarga (con margen para la ventana rodante)</w:t>
            </w:r>
          </w:p>
        </w:tc>
        <w:tc>
          <w:tcPr>
            <w:tcW w:type="pct" w:w="2800"/>
            <w:shd w:fill="FAFCFD" w:val="clear"/>
            <w:tcMar>
              <w:top w:type="dxa" w:w="70"/>
              <w:left w:type="dxa" w:w="120"/>
              <w:bottom w:type="dxa" w:w="70"/>
              <w:right w:type="dxa" w:w="120"/>
            </w:tcMar>
          </w:tcPr>
          <w:p>
            <w:r>
              <w:rPr>
                <w:sz w:val="19"/>
                <w:szCs w:val="19"/>
              </w:rPr>
              <w:t xml:space="preserve">2024-11-15 → 2026-05-03</w:t>
            </w:r>
          </w:p>
        </w:tc>
      </w:tr>
      <w:tr>
        <w:trPr>
          <w:cantSplit/>
        </w:trPr>
        <w:tc>
          <w:tcPr>
            <w:tcW w:type="pct" w:w="2200"/>
            <w:shd w:fill="FFFFFF" w:val="clear"/>
            <w:tcMar>
              <w:top w:type="dxa" w:w="70"/>
              <w:left w:type="dxa" w:w="120"/>
              <w:bottom w:type="dxa" w:w="70"/>
              <w:right w:type="dxa" w:w="120"/>
            </w:tcMar>
          </w:tcPr>
          <w:p>
            <w:r>
              <w:rPr>
                <w:sz w:val="19"/>
                <w:szCs w:val="19"/>
              </w:rPr>
              <w:t xml:space="preserve">Días con VIX válido</w:t>
            </w:r>
          </w:p>
        </w:tc>
        <w:tc>
          <w:tcPr>
            <w:tcW w:type="pct" w:w="2800"/>
            <w:shd w:fill="FFFFFF" w:val="clear"/>
            <w:tcMar>
              <w:top w:type="dxa" w:w="70"/>
              <w:left w:type="dxa" w:w="120"/>
              <w:bottom w:type="dxa" w:w="70"/>
              <w:right w:type="dxa" w:w="120"/>
            </w:tcMar>
          </w:tcPr>
          <w:p>
            <w:r>
              <w:rPr>
                <w:sz w:val="19"/>
                <w:szCs w:val="19"/>
              </w:rPr>
              <w:t xml:space="preserve">323</w:t>
            </w:r>
          </w:p>
        </w:tc>
      </w:tr>
      <w:tr>
        <w:trPr>
          <w:cantSplit/>
        </w:trPr>
        <w:tc>
          <w:tcPr>
            <w:tcW w:type="pct" w:w="2200"/>
            <w:shd w:fill="FAFCFD" w:val="clear"/>
            <w:tcMar>
              <w:top w:type="dxa" w:w="70"/>
              <w:left w:type="dxa" w:w="120"/>
              <w:bottom w:type="dxa" w:w="70"/>
              <w:right w:type="dxa" w:w="120"/>
            </w:tcMar>
          </w:tcPr>
          <w:p>
            <w:r>
              <w:rPr>
                <w:sz w:val="19"/>
                <w:szCs w:val="19"/>
              </w:rPr>
              <w:t xml:space="preserve">Rango efectivo del vix_arg</w:t>
            </w:r>
          </w:p>
        </w:tc>
        <w:tc>
          <w:tcPr>
            <w:tcW w:type="pct" w:w="2800"/>
            <w:shd w:fill="FAFCFD" w:val="clear"/>
            <w:tcMar>
              <w:top w:type="dxa" w:w="70"/>
              <w:left w:type="dxa" w:w="120"/>
              <w:bottom w:type="dxa" w:w="70"/>
              <w:right w:type="dxa" w:w="120"/>
            </w:tcMar>
          </w:tcPr>
          <w:p>
            <w:r>
              <w:rPr>
                <w:sz w:val="19"/>
                <w:szCs w:val="19"/>
              </w:rPr>
              <w:t xml:space="preserve">2025-01-02 → 2026-04-30 (no hay ruedas el 01-03/05/2026: feriado y fin de semana)</w:t>
            </w:r>
          </w:p>
        </w:tc>
      </w:tr>
      <w:tr>
        <w:trPr>
          <w:cantSplit/>
        </w:trPr>
        <w:tc>
          <w:tcPr>
            <w:tcW w:type="pct" w:w="2200"/>
            <w:shd w:fill="FFFFFF" w:val="clear"/>
            <w:tcMar>
              <w:top w:type="dxa" w:w="70"/>
              <w:left w:type="dxa" w:w="120"/>
              <w:bottom w:type="dxa" w:w="70"/>
              <w:right w:type="dxa" w:w="120"/>
            </w:tcMar>
          </w:tcPr>
          <w:p>
            <w:r>
              <w:rPr>
                <w:sz w:val="19"/>
                <w:szCs w:val="19"/>
              </w:rPr>
              <w:t xml:space="preserve">Promedio</w:t>
            </w:r>
          </w:p>
        </w:tc>
        <w:tc>
          <w:tcPr>
            <w:tcW w:type="pct" w:w="2800"/>
            <w:shd w:fill="FFFFFF" w:val="clear"/>
            <w:tcMar>
              <w:top w:type="dxa" w:w="70"/>
              <w:left w:type="dxa" w:w="120"/>
              <w:bottom w:type="dxa" w:w="70"/>
              <w:right w:type="dxa" w:w="120"/>
            </w:tcMar>
          </w:tcPr>
          <w:p>
            <w:r>
              <w:rPr>
                <w:sz w:val="19"/>
                <w:szCs w:val="19"/>
              </w:rPr>
              <w:t xml:space="preserve">44,0%</w:t>
            </w:r>
          </w:p>
        </w:tc>
      </w:tr>
      <w:tr>
        <w:trPr>
          <w:cantSplit/>
        </w:trPr>
        <w:tc>
          <w:tcPr>
            <w:tcW w:type="pct" w:w="2200"/>
            <w:shd w:fill="FAFCFD" w:val="clear"/>
            <w:tcMar>
              <w:top w:type="dxa" w:w="70"/>
              <w:left w:type="dxa" w:w="120"/>
              <w:bottom w:type="dxa" w:w="70"/>
              <w:right w:type="dxa" w:w="120"/>
            </w:tcMar>
          </w:tcPr>
          <w:p>
            <w:r>
              <w:rPr>
                <w:sz w:val="19"/>
                <w:szCs w:val="19"/>
              </w:rPr>
              <w:t xml:space="preserve">Mínimo</w:t>
            </w:r>
          </w:p>
        </w:tc>
        <w:tc>
          <w:tcPr>
            <w:tcW w:type="pct" w:w="2800"/>
            <w:shd w:fill="FAFCFD" w:val="clear"/>
            <w:tcMar>
              <w:top w:type="dxa" w:w="70"/>
              <w:left w:type="dxa" w:w="120"/>
              <w:bottom w:type="dxa" w:w="70"/>
              <w:right w:type="dxa" w:w="120"/>
            </w:tcMar>
          </w:tcPr>
          <w:p>
            <w:r>
              <w:rPr>
                <w:sz w:val="19"/>
                <w:szCs w:val="19"/>
              </w:rPr>
              <w:t xml:space="preserve">15,4% — 30/04/2026</w:t>
            </w:r>
          </w:p>
        </w:tc>
      </w:tr>
      <w:tr>
        <w:trPr>
          <w:cantSplit/>
        </w:trPr>
        <w:tc>
          <w:tcPr>
            <w:tcW w:type="pct" w:w="2200"/>
            <w:shd w:fill="FFFFFF" w:val="clear"/>
            <w:tcMar>
              <w:top w:type="dxa" w:w="70"/>
              <w:left w:type="dxa" w:w="120"/>
              <w:bottom w:type="dxa" w:w="70"/>
              <w:right w:type="dxa" w:w="120"/>
            </w:tcMar>
          </w:tcPr>
          <w:p>
            <w:r>
              <w:rPr>
                <w:sz w:val="19"/>
                <w:szCs w:val="19"/>
              </w:rPr>
              <w:t xml:space="preserve">Máximo</w:t>
            </w:r>
          </w:p>
        </w:tc>
        <w:tc>
          <w:tcPr>
            <w:tcW w:type="pct" w:w="2800"/>
            <w:shd w:fill="FFFFFF" w:val="clear"/>
            <w:tcMar>
              <w:top w:type="dxa" w:w="70"/>
              <w:left w:type="dxa" w:w="120"/>
              <w:bottom w:type="dxa" w:w="70"/>
              <w:right w:type="dxa" w:w="120"/>
            </w:tcMar>
          </w:tcPr>
          <w:p>
            <w:r>
              <w:rPr>
                <w:sz w:val="19"/>
                <w:szCs w:val="19"/>
              </w:rPr>
              <w:t xml:space="preserve">91,0% — 21/11/2025</w:t>
            </w:r>
          </w:p>
        </w:tc>
      </w:tr>
      <w:tr>
        <w:trPr>
          <w:cantSplit/>
        </w:trPr>
        <w:tc>
          <w:tcPr>
            <w:tcW w:type="pct" w:w="2200"/>
            <w:shd w:fill="FAFCFD" w:val="clear"/>
            <w:tcMar>
              <w:top w:type="dxa" w:w="70"/>
              <w:left w:type="dxa" w:w="120"/>
              <w:bottom w:type="dxa" w:w="70"/>
              <w:right w:type="dxa" w:w="120"/>
            </w:tcMar>
          </w:tcPr>
          <w:p>
            <w:r>
              <w:rPr>
                <w:sz w:val="19"/>
                <w:szCs w:val="19"/>
              </w:rPr>
              <w:t xml:space="preserve">Merval: mínimo y máximo de la ventana</w:t>
            </w:r>
          </w:p>
        </w:tc>
        <w:tc>
          <w:tcPr>
            <w:tcW w:type="pct" w:w="2800"/>
            <w:shd w:fill="FAFCFD" w:val="clear"/>
            <w:tcMar>
              <w:top w:type="dxa" w:w="70"/>
              <w:left w:type="dxa" w:w="120"/>
              <w:bottom w:type="dxa" w:w="70"/>
              <w:right w:type="dxa" w:w="120"/>
            </w:tcMar>
          </w:tcPr>
          <w:p>
            <w:r>
              <w:rPr>
                <w:sz w:val="19"/>
                <w:szCs w:val="19"/>
              </w:rPr>
              <w:t xml:space="preserve">$1,68 M el 19/09/2025 · $3,24 M el 27/01/2026</w:t>
            </w:r>
          </w:p>
        </w:tc>
      </w:tr>
    </w:tbl>
    <w:p>
      <w:pPr>
        <w:pStyle w:val="Heading1"/>
        <w:keepNext/>
        <w:spacing w:after="160" w:before="360"/>
      </w:pPr>
      <w:r>
        <w:t xml:space="preserve">3. Cómo leer este VIX — el eco de la ventana de 20 días</w:t>
      </w:r>
    </w:p>
    <w:p>
      <w:pPr>
        <w:spacing w:after="160" w:line="300"/>
      </w:pPr>
      <w:r>
        <w:t xml:space="preserve">Al ser un desvío de los últimos 20 días, un único día con un movimiento extremo queda adentro del cálculo durante exactamente 20 ruedas: el VIX salta el día en que entra, y cae de golpe el día en que sale — aunque ese día el mercado no haga nada especial. Además mide movimiento en cualquier dirección: una suba fuerte lo dispara igual que una caída.</w:t>
      </w:r>
    </w:p>
    <w:p>
      <w:pPr>
        <w:keepNext/>
        <w:spacing w:after="160" w:line="300"/>
      </w:pPr>
      <w:r>
        <w:t xml:space="preserve">En toda la ventana hay 4 saltos del VIX de más de 10 puntos en un día: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542"/>
        <w:gridCol w:w="2313"/>
        <w:gridCol w:w="2313"/>
        <w:gridCol w:w="3470"/>
      </w:tblGrid>
      <w:tr>
        <w:trPr>
          <w:tblHeader/>
        </w:trPr>
        <w:tc>
          <w:tcPr>
            <w:tcW w:type="pct" w:w="800"/>
            <w:shd w:fill="1C3A5C" w:val="clear"/>
            <w:tcMar>
              <w:top w:type="dxa" w:w="80"/>
              <w:left w:type="dxa" w:w="120"/>
              <w:bottom w:type="dxa" w:w="80"/>
              <w:right w:type="dxa" w:w="120"/>
            </w:tcMar>
          </w:tcPr>
          <w:p>
            <w:r>
              <w:rPr>
                <w:b/>
                <w:bCs/>
                <w:color w:val="FFFFFF"/>
                <w:sz w:val="19"/>
                <w:szCs w:val="19"/>
              </w:rPr>
              <w:t xml:space="preserve">Fecha</w:t>
            </w:r>
          </w:p>
        </w:tc>
        <w:tc>
          <w:tcPr>
            <w:tcW w:type="pct" w:w="1200"/>
            <w:shd w:fill="1C3A5C" w:val="clear"/>
            <w:tcMar>
              <w:top w:type="dxa" w:w="80"/>
              <w:left w:type="dxa" w:w="120"/>
              <w:bottom w:type="dxa" w:w="80"/>
              <w:right w:type="dxa" w:w="120"/>
            </w:tcMar>
          </w:tcPr>
          <w:p>
            <w:r>
              <w:rPr>
                <w:b/>
                <w:bCs/>
                <w:color w:val="FFFFFF"/>
                <w:sz w:val="19"/>
                <w:szCs w:val="19"/>
              </w:rPr>
              <w:t xml:space="preserve">VIX</w:t>
            </w:r>
          </w:p>
        </w:tc>
        <w:tc>
          <w:tcPr>
            <w:tcW w:type="pct" w:w="1200"/>
            <w:shd w:fill="1C3A5C" w:val="clear"/>
            <w:tcMar>
              <w:top w:type="dxa" w:w="80"/>
              <w:left w:type="dxa" w:w="120"/>
              <w:bottom w:type="dxa" w:w="80"/>
              <w:right w:type="dxa" w:w="120"/>
            </w:tcMar>
          </w:tcPr>
          <w:p>
            <w:r>
              <w:rPr>
                <w:b/>
                <w:bCs/>
                <w:color w:val="FFFFFF"/>
                <w:sz w:val="19"/>
                <w:szCs w:val="19"/>
              </w:rPr>
              <w:t xml:space="preserve">Retorno del Merval ese día</w:t>
            </w:r>
          </w:p>
        </w:tc>
        <w:tc>
          <w:tcPr>
            <w:tcW w:type="pct" w:w="1800"/>
            <w:shd w:fill="1C3A5C" w:val="clear"/>
            <w:tcMar>
              <w:top w:type="dxa" w:w="80"/>
              <w:left w:type="dxa" w:w="120"/>
              <w:bottom w:type="dxa" w:w="80"/>
              <w:right w:type="dxa" w:w="120"/>
            </w:tcMar>
          </w:tcPr>
          <w:p>
            <w:r>
              <w:rPr>
                <w:b/>
                <w:bCs/>
                <w:color w:val="FFFFFF"/>
                <w:sz w:val="19"/>
                <w:szCs w:val="19"/>
              </w:rPr>
              <w:t xml:space="preserve">Qué es</w:t>
            </w:r>
          </w:p>
        </w:tc>
      </w:tr>
      <w:tr>
        <w:trPr>
          <w:cantSplit/>
        </w:trPr>
        <w:tc>
          <w:tcPr>
            <w:tcW w:type="pct" w:w="800"/>
            <w:shd w:fill="FFFFFF" w:val="clear"/>
            <w:tcMar>
              <w:top w:type="dxa" w:w="70"/>
              <w:left w:type="dxa" w:w="120"/>
              <w:bottom w:type="dxa" w:w="70"/>
              <w:right w:type="dxa" w:w="120"/>
            </w:tcMar>
          </w:tcPr>
          <w:p>
            <w:r>
              <w:rPr>
                <w:sz w:val="19"/>
                <w:szCs w:val="19"/>
              </w:rPr>
              <w:t xml:space="preserve">08/09/2025</w:t>
            </w:r>
          </w:p>
        </w:tc>
        <w:tc>
          <w:tcPr>
            <w:tcW w:type="pct" w:w="1200"/>
            <w:shd w:fill="FFFFFF" w:val="clear"/>
            <w:tcMar>
              <w:top w:type="dxa" w:w="70"/>
              <w:left w:type="dxa" w:w="120"/>
              <w:bottom w:type="dxa" w:w="70"/>
              <w:right w:type="dxa" w:w="120"/>
            </w:tcMar>
          </w:tcPr>
          <w:p>
            <w:r>
              <w:rPr>
                <w:sz w:val="19"/>
                <w:szCs w:val="19"/>
              </w:rPr>
              <w:t xml:space="preserve">33,6% → 55,5%</w:t>
            </w:r>
          </w:p>
        </w:tc>
        <w:tc>
          <w:tcPr>
            <w:tcW w:type="pct" w:w="1200"/>
            <w:shd w:fill="FFFFFF" w:val="clear"/>
            <w:tcMar>
              <w:top w:type="dxa" w:w="70"/>
              <w:left w:type="dxa" w:w="120"/>
              <w:bottom w:type="dxa" w:w="70"/>
              <w:right w:type="dxa" w:w="120"/>
            </w:tcMar>
          </w:tcPr>
          <w:p>
            <w:r>
              <w:rPr>
                <w:sz w:val="19"/>
                <w:szCs w:val="19"/>
              </w:rPr>
              <w:t xml:space="preserve">−13,3%</w:t>
            </w:r>
          </w:p>
        </w:tc>
        <w:tc>
          <w:tcPr>
            <w:tcW w:type="pct" w:w="1800"/>
            <w:shd w:fill="FFFFFF" w:val="clear"/>
            <w:tcMar>
              <w:top w:type="dxa" w:w="70"/>
              <w:left w:type="dxa" w:w="120"/>
              <w:bottom w:type="dxa" w:w="70"/>
              <w:right w:type="dxa" w:w="120"/>
            </w:tcMar>
          </w:tcPr>
          <w:p>
            <w:r>
              <w:rPr>
                <w:sz w:val="19"/>
                <w:szCs w:val="19"/>
              </w:rPr>
              <w:t xml:space="preserve">Entra un día extremo a la ventana</w:t>
            </w:r>
          </w:p>
        </w:tc>
      </w:tr>
      <w:tr>
        <w:trPr>
          <w:cantSplit/>
        </w:trPr>
        <w:tc>
          <w:tcPr>
            <w:tcW w:type="pct" w:w="800"/>
            <w:shd w:fill="FAFCFD" w:val="clear"/>
            <w:tcMar>
              <w:top w:type="dxa" w:w="70"/>
              <w:left w:type="dxa" w:w="120"/>
              <w:bottom w:type="dxa" w:w="70"/>
              <w:right w:type="dxa" w:w="120"/>
            </w:tcMar>
          </w:tcPr>
          <w:p>
            <w:r>
              <w:rPr>
                <w:sz w:val="19"/>
                <w:szCs w:val="19"/>
              </w:rPr>
              <w:t xml:space="preserve">06/10/2025</w:t>
            </w:r>
          </w:p>
        </w:tc>
        <w:tc>
          <w:tcPr>
            <w:tcW w:type="pct" w:w="1200"/>
            <w:shd w:fill="FAFCFD" w:val="clear"/>
            <w:tcMar>
              <w:top w:type="dxa" w:w="70"/>
              <w:left w:type="dxa" w:w="120"/>
              <w:bottom w:type="dxa" w:w="70"/>
              <w:right w:type="dxa" w:w="120"/>
            </w:tcMar>
          </w:tcPr>
          <w:p>
            <w:r>
              <w:rPr>
                <w:sz w:val="19"/>
                <w:szCs w:val="19"/>
              </w:rPr>
              <w:t xml:space="preserve">65,9% → 45,2%</w:t>
            </w:r>
          </w:p>
        </w:tc>
        <w:tc>
          <w:tcPr>
            <w:tcW w:type="pct" w:w="1200"/>
            <w:shd w:fill="FAFCFD" w:val="clear"/>
            <w:tcMar>
              <w:top w:type="dxa" w:w="70"/>
              <w:left w:type="dxa" w:w="120"/>
              <w:bottom w:type="dxa" w:w="70"/>
              <w:right w:type="dxa" w:w="120"/>
            </w:tcMar>
          </w:tcPr>
          <w:p>
            <w:r>
              <w:rPr>
                <w:sz w:val="19"/>
                <w:szCs w:val="19"/>
              </w:rPr>
              <w:t xml:space="preserve">−0,1%</w:t>
            </w:r>
          </w:p>
        </w:tc>
        <w:tc>
          <w:tcPr>
            <w:tcW w:type="pct" w:w="1800"/>
            <w:shd w:fill="FAFCFD" w:val="clear"/>
            <w:tcMar>
              <w:top w:type="dxa" w:w="70"/>
              <w:left w:type="dxa" w:w="120"/>
              <w:bottom w:type="dxa" w:w="70"/>
              <w:right w:type="dxa" w:w="120"/>
            </w:tcMar>
          </w:tcPr>
          <w:p>
            <w:r>
              <w:rPr>
                <w:sz w:val="19"/>
                <w:szCs w:val="19"/>
              </w:rPr>
              <w:t xml:space="preserve">Sale de la ventana el −13,3% del 08/09/2025</w:t>
            </w:r>
          </w:p>
        </w:tc>
      </w:tr>
      <w:tr>
        <w:trPr>
          <w:cantSplit/>
        </w:trPr>
        <w:tc>
          <w:tcPr>
            <w:tcW w:type="pct" w:w="800"/>
            <w:shd w:fill="FFFFFF" w:val="clear"/>
            <w:tcMar>
              <w:top w:type="dxa" w:w="70"/>
              <w:left w:type="dxa" w:w="120"/>
              <w:bottom w:type="dxa" w:w="70"/>
              <w:right w:type="dxa" w:w="120"/>
            </w:tcMar>
          </w:tcPr>
          <w:p>
            <w:r>
              <w:rPr>
                <w:sz w:val="19"/>
                <w:szCs w:val="19"/>
              </w:rPr>
              <w:t xml:space="preserve">27/10/2025</w:t>
            </w:r>
          </w:p>
        </w:tc>
        <w:tc>
          <w:tcPr>
            <w:tcW w:type="pct" w:w="1200"/>
            <w:shd w:fill="FFFFFF" w:val="clear"/>
            <w:tcMar>
              <w:top w:type="dxa" w:w="70"/>
              <w:left w:type="dxa" w:w="120"/>
              <w:bottom w:type="dxa" w:w="70"/>
              <w:right w:type="dxa" w:w="120"/>
            </w:tcMar>
          </w:tcPr>
          <w:p>
            <w:r>
              <w:rPr>
                <w:sz w:val="19"/>
                <w:szCs w:val="19"/>
              </w:rPr>
              <w:t xml:space="preserve">30,1% → 80,3%</w:t>
            </w:r>
          </w:p>
        </w:tc>
        <w:tc>
          <w:tcPr>
            <w:tcW w:type="pct" w:w="1200"/>
            <w:shd w:fill="FFFFFF" w:val="clear"/>
            <w:tcMar>
              <w:top w:type="dxa" w:w="70"/>
              <w:left w:type="dxa" w:w="120"/>
              <w:bottom w:type="dxa" w:w="70"/>
              <w:right w:type="dxa" w:w="120"/>
            </w:tcMar>
          </w:tcPr>
          <w:p>
            <w:r>
              <w:rPr>
                <w:sz w:val="19"/>
                <w:szCs w:val="19"/>
              </w:rPr>
              <w:t xml:space="preserve">+21,8%</w:t>
            </w:r>
          </w:p>
        </w:tc>
        <w:tc>
          <w:tcPr>
            <w:tcW w:type="pct" w:w="1800"/>
            <w:shd w:fill="FFFFFF" w:val="clear"/>
            <w:tcMar>
              <w:top w:type="dxa" w:w="70"/>
              <w:left w:type="dxa" w:w="120"/>
              <w:bottom w:type="dxa" w:w="70"/>
              <w:right w:type="dxa" w:w="120"/>
            </w:tcMar>
          </w:tcPr>
          <w:p>
            <w:r>
              <w:rPr>
                <w:sz w:val="19"/>
                <w:szCs w:val="19"/>
              </w:rPr>
              <w:t xml:space="preserve">Entra un día extremo a la ventana</w:t>
            </w:r>
          </w:p>
        </w:tc>
      </w:tr>
      <w:tr>
        <w:trPr>
          <w:cantSplit/>
        </w:trPr>
        <w:tc>
          <w:tcPr>
            <w:tcW w:type="pct" w:w="800"/>
            <w:shd w:fill="FAFCFD" w:val="clear"/>
            <w:tcMar>
              <w:top w:type="dxa" w:w="70"/>
              <w:left w:type="dxa" w:w="120"/>
              <w:bottom w:type="dxa" w:w="70"/>
              <w:right w:type="dxa" w:w="120"/>
            </w:tcMar>
          </w:tcPr>
          <w:p>
            <w:r>
              <w:rPr>
                <w:sz w:val="19"/>
                <w:szCs w:val="19"/>
              </w:rPr>
              <w:t xml:space="preserve">25/11/2025</w:t>
            </w:r>
          </w:p>
        </w:tc>
        <w:tc>
          <w:tcPr>
            <w:tcW w:type="pct" w:w="1200"/>
            <w:shd w:fill="FAFCFD" w:val="clear"/>
            <w:tcMar>
              <w:top w:type="dxa" w:w="70"/>
              <w:left w:type="dxa" w:w="120"/>
              <w:bottom w:type="dxa" w:w="70"/>
              <w:right w:type="dxa" w:w="120"/>
            </w:tcMar>
          </w:tcPr>
          <w:p>
            <w:r>
              <w:rPr>
                <w:sz w:val="19"/>
                <w:szCs w:val="19"/>
              </w:rPr>
              <w:t xml:space="preserve">91,0% → 52,1%</w:t>
            </w:r>
          </w:p>
        </w:tc>
        <w:tc>
          <w:tcPr>
            <w:tcW w:type="pct" w:w="1200"/>
            <w:shd w:fill="FAFCFD" w:val="clear"/>
            <w:tcMar>
              <w:top w:type="dxa" w:w="70"/>
              <w:left w:type="dxa" w:w="120"/>
              <w:bottom w:type="dxa" w:w="70"/>
              <w:right w:type="dxa" w:w="120"/>
            </w:tcMar>
          </w:tcPr>
          <w:p>
            <w:r>
              <w:rPr>
                <w:sz w:val="19"/>
                <w:szCs w:val="19"/>
              </w:rPr>
              <w:t xml:space="preserve">+3,8%</w:t>
            </w:r>
          </w:p>
        </w:tc>
        <w:tc>
          <w:tcPr>
            <w:tcW w:type="pct" w:w="1800"/>
            <w:shd w:fill="FAFCFD" w:val="clear"/>
            <w:tcMar>
              <w:top w:type="dxa" w:w="70"/>
              <w:left w:type="dxa" w:w="120"/>
              <w:bottom w:type="dxa" w:w="70"/>
              <w:right w:type="dxa" w:w="120"/>
            </w:tcMar>
          </w:tcPr>
          <w:p>
            <w:r>
              <w:rPr>
                <w:sz w:val="19"/>
                <w:szCs w:val="19"/>
              </w:rPr>
              <w:t xml:space="preserve">Sale de la ventana el +21,8% del 27/10/2025</w:t>
            </w:r>
          </w:p>
        </w:tc>
      </w:tr>
    </w:tbl>
    <w:p>
      <w:pPr>
        <w:spacing w:after="160" w:line="300"/>
      </w:pPr>
      <w:r>
        <w:t xml:space="preserve"/>
      </w:r>
    </w:p>
    <w:p>
      <w:pPr>
        <w:spacing w:after="160" w:line="300"/>
      </w:pPr>
      <w:r>
        <w:rPr>
          <w:b/>
          <w:bCs/>
        </w:rPr>
        <w:t xml:space="preserve">Consecuencia práctica: </w:t>
      </w:r>
      <w:r>
        <w:t xml:space="preserve">las subidas bruscas del VIX marcan el día del shock, pero las bajadas bruscas no marcan que el mercado se haya calmado ese día — marcan que el shock cumplió 20 ruedas. Cualquier análisis que use el VIX para separar "días calmos" de "días nerviosos" (como el HMM de régimen) hereda estas fechas.</w:t>
      </w:r>
    </w:p>
    <w:p>
      <w:pPr>
        <w:pStyle w:val="Heading1"/>
        <w:keepNext/>
        <w:spacing w:after="160" w:before="360"/>
      </w:pPr>
      <w:r>
        <w:t xml:space="preserve">4. Los episodios de volatilidad alta (VIX &gt; 55%)</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638"/>
        <w:gridCol w:w="867"/>
        <w:gridCol w:w="1542"/>
        <w:gridCol w:w="1638"/>
        <w:gridCol w:w="3952"/>
      </w:tblGrid>
      <w:tr>
        <w:trPr>
          <w:tblHeader/>
        </w:trPr>
        <w:tc>
          <w:tcPr>
            <w:tcW w:type="pct" w:w="850"/>
            <w:shd w:fill="1C3A5C" w:val="clear"/>
            <w:tcMar>
              <w:top w:type="dxa" w:w="80"/>
              <w:left w:type="dxa" w:w="120"/>
              <w:bottom w:type="dxa" w:w="80"/>
              <w:right w:type="dxa" w:w="120"/>
            </w:tcMar>
          </w:tcPr>
          <w:p>
            <w:r>
              <w:rPr>
                <w:b/>
                <w:bCs/>
                <w:color w:val="FFFFFF"/>
                <w:sz w:val="19"/>
                <w:szCs w:val="19"/>
              </w:rPr>
              <w:t xml:space="preserve">Período</w:t>
            </w:r>
          </w:p>
        </w:tc>
        <w:tc>
          <w:tcPr>
            <w:tcW w:type="pct" w:w="450"/>
            <w:shd w:fill="1C3A5C" w:val="clear"/>
            <w:tcMar>
              <w:top w:type="dxa" w:w="80"/>
              <w:left w:type="dxa" w:w="120"/>
              <w:bottom w:type="dxa" w:w="80"/>
              <w:right w:type="dxa" w:w="120"/>
            </w:tcMar>
          </w:tcPr>
          <w:p>
            <w:r>
              <w:rPr>
                <w:b/>
                <w:bCs/>
                <w:color w:val="FFFFFF"/>
                <w:sz w:val="19"/>
                <w:szCs w:val="19"/>
              </w:rPr>
              <w:t xml:space="preserve">Ruedas</w:t>
            </w:r>
          </w:p>
        </w:tc>
        <w:tc>
          <w:tcPr>
            <w:tcW w:type="pct" w:w="800"/>
            <w:shd w:fill="1C3A5C" w:val="clear"/>
            <w:tcMar>
              <w:top w:type="dxa" w:w="80"/>
              <w:left w:type="dxa" w:w="120"/>
              <w:bottom w:type="dxa" w:w="80"/>
              <w:right w:type="dxa" w:w="120"/>
            </w:tcMar>
          </w:tcPr>
          <w:p>
            <w:r>
              <w:rPr>
                <w:b/>
                <w:bCs/>
                <w:color w:val="FFFFFF"/>
                <w:sz w:val="19"/>
                <w:szCs w:val="19"/>
              </w:rPr>
              <w:t xml:space="preserve">Pico</w:t>
            </w:r>
          </w:p>
        </w:tc>
        <w:tc>
          <w:tcPr>
            <w:tcW w:type="pct" w:w="850"/>
            <w:shd w:fill="1C3A5C" w:val="clear"/>
            <w:tcMar>
              <w:top w:type="dxa" w:w="80"/>
              <w:left w:type="dxa" w:w="120"/>
              <w:bottom w:type="dxa" w:w="80"/>
              <w:right w:type="dxa" w:w="120"/>
            </w:tcMar>
          </w:tcPr>
          <w:p>
            <w:r>
              <w:rPr>
                <w:b/>
                <w:bCs/>
                <w:color w:val="FFFFFF"/>
                <w:sz w:val="19"/>
                <w:szCs w:val="19"/>
              </w:rPr>
              <w:t xml:space="preserve">Día que lo dispara</w:t>
            </w:r>
          </w:p>
        </w:tc>
        <w:tc>
          <w:tcPr>
            <w:tcW w:type="pct" w:w="2050"/>
            <w:shd w:fill="1C3A5C" w:val="clear"/>
            <w:tcMar>
              <w:top w:type="dxa" w:w="80"/>
              <w:left w:type="dxa" w:w="120"/>
              <w:bottom w:type="dxa" w:w="80"/>
              <w:right w:type="dxa" w:w="120"/>
            </w:tcMar>
          </w:tcPr>
          <w:p>
            <w:r>
              <w:rPr>
                <w:b/>
                <w:bCs/>
                <w:color w:val="FFFFFF"/>
                <w:sz w:val="19"/>
                <w:szCs w:val="19"/>
              </w:rPr>
              <w:t xml:space="preserve">Contexto</w:t>
            </w:r>
          </w:p>
        </w:tc>
      </w:tr>
      <w:tr>
        <w:trPr>
          <w:cantSplit/>
        </w:trPr>
        <w:tc>
          <w:tcPr>
            <w:tcW w:type="pct" w:w="850"/>
            <w:shd w:fill="FFFFFF" w:val="clear"/>
            <w:tcMar>
              <w:top w:type="dxa" w:w="70"/>
              <w:left w:type="dxa" w:w="120"/>
              <w:bottom w:type="dxa" w:w="70"/>
              <w:right w:type="dxa" w:w="120"/>
            </w:tcMar>
          </w:tcPr>
          <w:p>
            <w:r>
              <w:rPr>
                <w:sz w:val="19"/>
                <w:szCs w:val="19"/>
              </w:rPr>
              <w:t xml:space="preserve">09/04/2025 → 14/05/2025</w:t>
            </w:r>
          </w:p>
        </w:tc>
        <w:tc>
          <w:tcPr>
            <w:tcW w:type="pct" w:w="450"/>
            <w:shd w:fill="FFFFFF" w:val="clear"/>
            <w:tcMar>
              <w:top w:type="dxa" w:w="70"/>
              <w:left w:type="dxa" w:w="120"/>
              <w:bottom w:type="dxa" w:w="70"/>
              <w:right w:type="dxa" w:w="120"/>
            </w:tcMar>
          </w:tcPr>
          <w:p>
            <w:r>
              <w:rPr>
                <w:sz w:val="19"/>
                <w:szCs w:val="19"/>
              </w:rPr>
              <w:t xml:space="preserve">22</w:t>
            </w:r>
          </w:p>
        </w:tc>
        <w:tc>
          <w:tcPr>
            <w:tcW w:type="pct" w:w="800"/>
            <w:shd w:fill="FFFFFF" w:val="clear"/>
            <w:tcMar>
              <w:top w:type="dxa" w:w="70"/>
              <w:left w:type="dxa" w:w="120"/>
              <w:bottom w:type="dxa" w:w="70"/>
              <w:right w:type="dxa" w:w="120"/>
            </w:tcMar>
          </w:tcPr>
          <w:p>
            <w:r>
              <w:rPr>
                <w:sz w:val="19"/>
                <w:szCs w:val="19"/>
              </w:rPr>
              <w:t xml:space="preserve">72,6% (06/05/2025)</w:t>
            </w:r>
          </w:p>
        </w:tc>
        <w:tc>
          <w:tcPr>
            <w:tcW w:type="pct" w:w="850"/>
            <w:shd w:fill="FFFFFF" w:val="clear"/>
            <w:tcMar>
              <w:top w:type="dxa" w:w="70"/>
              <w:left w:type="dxa" w:w="120"/>
              <w:bottom w:type="dxa" w:w="70"/>
              <w:right w:type="dxa" w:w="120"/>
            </w:tcMar>
          </w:tcPr>
          <w:p>
            <w:r>
              <w:rPr>
                <w:sz w:val="19"/>
                <w:szCs w:val="19"/>
              </w:rPr>
              <w:t xml:space="preserve">09/04/2025: +9,7%</w:t>
            </w:r>
          </w:p>
        </w:tc>
        <w:tc>
          <w:tcPr>
            <w:tcW w:type="pct" w:w="2050"/>
            <w:shd w:fill="FFFFFF" w:val="clear"/>
            <w:tcMar>
              <w:top w:type="dxa" w:w="70"/>
              <w:left w:type="dxa" w:w="120"/>
              <w:bottom w:type="dxa" w:w="70"/>
              <w:right w:type="dxa" w:w="120"/>
            </w:tcMar>
          </w:tcPr>
          <w:p>
            <w:r>
              <w:rPr>
                <w:sz w:val="19"/>
                <w:szCs w:val="19"/>
              </w:rPr>
              <w:t xml:space="preserve">Turbulencia global por los aranceles de EE.UU.: el disparador es el rebote del 09/04, el día de la pausa de los aranceles. Incluye la salida del cepo cambiario (14/04/2025).</w:t>
            </w:r>
          </w:p>
        </w:tc>
      </w:tr>
      <w:tr>
        <w:trPr>
          <w:cantSplit/>
        </w:trPr>
        <w:tc>
          <w:tcPr>
            <w:tcW w:type="pct" w:w="850"/>
            <w:shd w:fill="FAFCFD" w:val="clear"/>
            <w:tcMar>
              <w:top w:type="dxa" w:w="70"/>
              <w:left w:type="dxa" w:w="120"/>
              <w:bottom w:type="dxa" w:w="70"/>
              <w:right w:type="dxa" w:w="120"/>
            </w:tcMar>
          </w:tcPr>
          <w:p>
            <w:r>
              <w:rPr>
                <w:sz w:val="19"/>
                <w:szCs w:val="19"/>
              </w:rPr>
              <w:t xml:space="preserve">08/09/2025 → 03/10/2025</w:t>
            </w:r>
          </w:p>
        </w:tc>
        <w:tc>
          <w:tcPr>
            <w:tcW w:type="pct" w:w="450"/>
            <w:shd w:fill="FAFCFD" w:val="clear"/>
            <w:tcMar>
              <w:top w:type="dxa" w:w="70"/>
              <w:left w:type="dxa" w:w="120"/>
              <w:bottom w:type="dxa" w:w="70"/>
              <w:right w:type="dxa" w:w="120"/>
            </w:tcMar>
          </w:tcPr>
          <w:p>
            <w:r>
              <w:rPr>
                <w:sz w:val="19"/>
                <w:szCs w:val="19"/>
              </w:rPr>
              <w:t xml:space="preserve">20</w:t>
            </w:r>
          </w:p>
        </w:tc>
        <w:tc>
          <w:tcPr>
            <w:tcW w:type="pct" w:w="800"/>
            <w:shd w:fill="FAFCFD" w:val="clear"/>
            <w:tcMar>
              <w:top w:type="dxa" w:w="70"/>
              <w:left w:type="dxa" w:w="120"/>
              <w:bottom w:type="dxa" w:w="70"/>
              <w:right w:type="dxa" w:w="120"/>
            </w:tcMar>
          </w:tcPr>
          <w:p>
            <w:r>
              <w:rPr>
                <w:sz w:val="19"/>
                <w:szCs w:val="19"/>
              </w:rPr>
              <w:t xml:space="preserve">67,2% (26/09/2025)</w:t>
            </w:r>
          </w:p>
        </w:tc>
        <w:tc>
          <w:tcPr>
            <w:tcW w:type="pct" w:w="850"/>
            <w:shd w:fill="FAFCFD" w:val="clear"/>
            <w:tcMar>
              <w:top w:type="dxa" w:w="70"/>
              <w:left w:type="dxa" w:w="120"/>
              <w:bottom w:type="dxa" w:w="70"/>
              <w:right w:type="dxa" w:w="120"/>
            </w:tcMar>
          </w:tcPr>
          <w:p>
            <w:r>
              <w:rPr>
                <w:sz w:val="19"/>
                <w:szCs w:val="19"/>
              </w:rPr>
              <w:t xml:space="preserve">08/09/2025: −13,3%</w:t>
            </w:r>
          </w:p>
        </w:tc>
        <w:tc>
          <w:tcPr>
            <w:tcW w:type="pct" w:w="2050"/>
            <w:shd w:fill="FAFCFD" w:val="clear"/>
            <w:tcMar>
              <w:top w:type="dxa" w:w="70"/>
              <w:left w:type="dxa" w:w="120"/>
              <w:bottom w:type="dxa" w:w="70"/>
              <w:right w:type="dxa" w:w="120"/>
            </w:tcMar>
          </w:tcPr>
          <w:p>
            <w:r>
              <w:rPr>
                <w:sz w:val="19"/>
                <w:szCs w:val="19"/>
              </w:rPr>
              <w:t xml:space="preserve">El disparador es la caída del 08/09, el día hábil siguiente a la elección legislativa de la provincia de Buenos Aires (07/09/2025). En este tramo el Merval toca el mínimo de toda la ventana.</w:t>
            </w:r>
          </w:p>
        </w:tc>
      </w:tr>
      <w:tr>
        <w:trPr>
          <w:cantSplit/>
        </w:trPr>
        <w:tc>
          <w:tcPr>
            <w:tcW w:type="pct" w:w="850"/>
            <w:shd w:fill="FFFFFF" w:val="clear"/>
            <w:tcMar>
              <w:top w:type="dxa" w:w="70"/>
              <w:left w:type="dxa" w:w="120"/>
              <w:bottom w:type="dxa" w:w="70"/>
              <w:right w:type="dxa" w:w="120"/>
            </w:tcMar>
          </w:tcPr>
          <w:p>
            <w:r>
              <w:rPr>
                <w:sz w:val="19"/>
                <w:szCs w:val="19"/>
              </w:rPr>
              <w:t xml:space="preserve">27/10/2025 → 21/11/2025</w:t>
            </w:r>
          </w:p>
        </w:tc>
        <w:tc>
          <w:tcPr>
            <w:tcW w:type="pct" w:w="450"/>
            <w:shd w:fill="FFFFFF" w:val="clear"/>
            <w:tcMar>
              <w:top w:type="dxa" w:w="70"/>
              <w:left w:type="dxa" w:w="120"/>
              <w:bottom w:type="dxa" w:w="70"/>
              <w:right w:type="dxa" w:w="120"/>
            </w:tcMar>
          </w:tcPr>
          <w:p>
            <w:r>
              <w:rPr>
                <w:sz w:val="19"/>
                <w:szCs w:val="19"/>
              </w:rPr>
              <w:t xml:space="preserve">20</w:t>
            </w:r>
          </w:p>
        </w:tc>
        <w:tc>
          <w:tcPr>
            <w:tcW w:type="pct" w:w="800"/>
            <w:shd w:fill="FFFFFF" w:val="clear"/>
            <w:tcMar>
              <w:top w:type="dxa" w:w="70"/>
              <w:left w:type="dxa" w:w="120"/>
              <w:bottom w:type="dxa" w:w="70"/>
              <w:right w:type="dxa" w:w="120"/>
            </w:tcMar>
          </w:tcPr>
          <w:p>
            <w:r>
              <w:rPr>
                <w:sz w:val="19"/>
                <w:szCs w:val="19"/>
              </w:rPr>
              <w:t xml:space="preserve">91,0% (21/11/2025)</w:t>
            </w:r>
          </w:p>
        </w:tc>
        <w:tc>
          <w:tcPr>
            <w:tcW w:type="pct" w:w="850"/>
            <w:shd w:fill="FFFFFF" w:val="clear"/>
            <w:tcMar>
              <w:top w:type="dxa" w:w="70"/>
              <w:left w:type="dxa" w:w="120"/>
              <w:bottom w:type="dxa" w:w="70"/>
              <w:right w:type="dxa" w:w="120"/>
            </w:tcMar>
          </w:tcPr>
          <w:p>
            <w:r>
              <w:rPr>
                <w:sz w:val="19"/>
                <w:szCs w:val="19"/>
              </w:rPr>
              <w:t xml:space="preserve">27/10/2025: +21,8%</w:t>
            </w:r>
          </w:p>
        </w:tc>
        <w:tc>
          <w:tcPr>
            <w:tcW w:type="pct" w:w="2050"/>
            <w:shd w:fill="FFFFFF" w:val="clear"/>
            <w:tcMar>
              <w:top w:type="dxa" w:w="70"/>
              <w:left w:type="dxa" w:w="120"/>
              <w:bottom w:type="dxa" w:w="70"/>
              <w:right w:type="dxa" w:w="120"/>
            </w:tcMar>
          </w:tcPr>
          <w:p>
            <w:r>
              <w:rPr>
                <w:sz w:val="19"/>
                <w:szCs w:val="19"/>
              </w:rPr>
              <w:t xml:space="preserve">El disparador es la suba del 27/10, el día hábil siguiente a las elecciones legislativas nacionales (26/10/2025). El máximo de toda la serie viene de una SUBA, no de una caída.</w:t>
            </w:r>
          </w:p>
        </w:tc>
      </w:tr>
    </w:tbl>
    <w:p>
      <w:pPr>
        <w:spacing w:after="160" w:line="300"/>
      </w:pPr>
      <w:r>
        <w:t xml:space="preserve"/>
      </w:r>
    </w:p>
    <w:p>
      <w:pPr>
        <w:spacing w:after="160" w:line="300"/>
      </w:pPr>
      <w:r>
        <w:t xml:space="preserve">Los dos episodios del segundo semestre duran exactamente 20 ruedas: son, casi en su totalidad, el eco de un único día. El de abril-mayo es más largo porque acumula varios días grandes seguidos.</w:t>
      </w:r>
    </w:p>
    <w:p>
      <w:pPr>
        <w:pStyle w:val="Heading1"/>
        <w:keepNext/>
        <w:spacing w:after="160" w:before="360"/>
      </w:pPr>
      <w:r>
        <w:t xml:space="preserve">5. Gráfico</w:t>
      </w:r>
    </w:p>
    <w:p>
      <w:pPr>
        <w:spacing w:after="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76550"/>
                    </a:xfrm>
                    <a:prstGeom prst="rect">
                      <a:avLst/>
                    </a:prstGeom>
                  </pic:spPr>
                </pic:pic>
              </a:graphicData>
            </a:graphic>
          </wp:inline>
        </w:drawing>
      </w:r>
    </w:p>
    <w:p>
      <w:pPr>
        <w:spacing w:after="160" w:line="300"/>
      </w:pPr>
      <w:r>
        <w:t xml:space="preserve">Panel superior: índice Merval en pesos (nominal, sin ajustar por inflación — por eso la tendencia de fondo es tan marcada). Panel inferior: el VIX argentino, con el promedio de referencia y sombreado el tiempo que estuvo por encima de él.</w:t>
      </w:r>
    </w:p>
    <w:p>
      <w:pPr>
        <w:pStyle w:val="Heading1"/>
        <w:keepNext/>
        <w:spacing w:after="160" w:before="360"/>
      </w:pPr>
      <w:r>
        <w:t xml:space="preserve">6. Archivos generados</w:t>
      </w:r>
    </w:p>
    <w:p>
      <w:pPr>
        <w:spacing w:after="160" w:line="300"/>
      </w:pPr>
      <w:r>
        <w:rPr>
          <w:rFonts w:ascii="Consolas" w:cs="Consolas" w:eastAsia="Consolas" w:hAnsi="Consolas"/>
          <w:color w:val="1C3A5C"/>
          <w:sz w:val="19"/>
          <w:szCs w:val="19"/>
        </w:rPr>
        <w:t xml:space="preserve">D:\2.Tesina\tesis version 3.0\Lado Bursatil\03_vix_argentino\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891"/>
        <w:gridCol w:w="6747"/>
      </w:tblGrid>
      <w:tr>
        <w:trPr>
          <w:tblHeader/>
        </w:trPr>
        <w:tc>
          <w:tcPr>
            <w:tcW w:type="pct" w:w="1500"/>
            <w:shd w:fill="1C3A5C" w:val="clear"/>
            <w:tcMar>
              <w:top w:type="dxa" w:w="80"/>
              <w:left w:type="dxa" w:w="120"/>
              <w:bottom w:type="dxa" w:w="80"/>
              <w:right w:type="dxa" w:w="120"/>
            </w:tcMar>
          </w:tcPr>
          <w:p>
            <w:r>
              <w:rPr>
                <w:b/>
                <w:bCs/>
                <w:color w:val="FFFFFF"/>
                <w:sz w:val="19"/>
                <w:szCs w:val="19"/>
              </w:rPr>
              <w:t xml:space="preserve">Archivo</w:t>
            </w:r>
          </w:p>
        </w:tc>
        <w:tc>
          <w:tcPr>
            <w:tcW w:type="pct" w:w="3500"/>
            <w:shd w:fill="1C3A5C" w:val="clear"/>
            <w:tcMar>
              <w:top w:type="dxa" w:w="80"/>
              <w:left w:type="dxa" w:w="120"/>
              <w:bottom w:type="dxa" w:w="80"/>
              <w:right w:type="dxa" w:w="120"/>
            </w:tcMar>
          </w:tcPr>
          <w:p>
            <w:r>
              <w:rPr>
                <w:b/>
                <w:bCs/>
                <w:color w:val="FFFFFF"/>
                <w:sz w:val="19"/>
                <w:szCs w:val="19"/>
              </w:rPr>
              <w:t xml:space="preserve">Qué es</w:t>
            </w:r>
          </w:p>
        </w:tc>
      </w:tr>
      <w:tr>
        <w:trPr>
          <w:cantSplit/>
        </w:trPr>
        <w:tc>
          <w:tcPr>
            <w:tcW w:type="pct" w:w="1500"/>
            <w:shd w:fill="FFFFFF" w:val="clear"/>
            <w:tcMar>
              <w:top w:type="dxa" w:w="70"/>
              <w:left w:type="dxa" w:w="120"/>
              <w:bottom w:type="dxa" w:w="70"/>
              <w:right w:type="dxa" w:w="120"/>
            </w:tcMar>
          </w:tcPr>
          <w:p>
            <w:r>
              <w:rPr>
                <w:sz w:val="19"/>
                <w:szCs w:val="19"/>
              </w:rPr>
              <w:t xml:space="preserve">calcular_vix_arg.py</w:t>
            </w:r>
          </w:p>
        </w:tc>
        <w:tc>
          <w:tcPr>
            <w:tcW w:type="pct" w:w="3500"/>
            <w:shd w:fill="FFFFFF" w:val="clear"/>
            <w:tcMar>
              <w:top w:type="dxa" w:w="70"/>
              <w:left w:type="dxa" w:w="120"/>
              <w:bottom w:type="dxa" w:w="70"/>
              <w:right w:type="dxa" w:w="120"/>
            </w:tcMar>
          </w:tcPr>
          <w:p>
            <w:r>
              <w:rPr>
                <w:sz w:val="19"/>
                <w:szCs w:val="19"/>
              </w:rPr>
              <w:t xml:space="preserve">Script único. Descarga ^MERV, calcula retorno y VIX argentino, guarda el CSV y el gráfico.</w:t>
            </w:r>
          </w:p>
        </w:tc>
      </w:tr>
      <w:tr>
        <w:trPr>
          <w:cantSplit/>
        </w:trPr>
        <w:tc>
          <w:tcPr>
            <w:tcW w:type="pct" w:w="1500"/>
            <w:shd w:fill="FAFCFD" w:val="clear"/>
            <w:tcMar>
              <w:top w:type="dxa" w:w="70"/>
              <w:left w:type="dxa" w:w="120"/>
              <w:bottom w:type="dxa" w:w="70"/>
              <w:right w:type="dxa" w:w="120"/>
            </w:tcMar>
          </w:tcPr>
          <w:p>
            <w:r>
              <w:rPr>
                <w:sz w:val="19"/>
                <w:szCs w:val="19"/>
              </w:rPr>
              <w:t xml:space="preserve">vix_arg.csv</w:t>
            </w:r>
          </w:p>
        </w:tc>
        <w:tc>
          <w:tcPr>
            <w:tcW w:type="pct" w:w="3500"/>
            <w:shd w:fill="FAFCFD" w:val="clear"/>
            <w:tcMar>
              <w:top w:type="dxa" w:w="70"/>
              <w:left w:type="dxa" w:w="120"/>
              <w:bottom w:type="dxa" w:w="70"/>
              <w:right w:type="dxa" w:w="120"/>
            </w:tcMar>
          </w:tcPr>
          <w:p>
            <w:r>
              <w:rPr>
                <w:sz w:val="19"/>
                <w:szCs w:val="19"/>
              </w:rPr>
              <w:t xml:space="preserve">fecha, merv_cierre, retorno_diario, vix_arg — 323 filas.</w:t>
            </w:r>
          </w:p>
        </w:tc>
      </w:tr>
      <w:tr>
        <w:trPr>
          <w:cantSplit/>
        </w:trPr>
        <w:tc>
          <w:tcPr>
            <w:tcW w:type="pct" w:w="1500"/>
            <w:shd w:fill="FFFFFF" w:val="clear"/>
            <w:tcMar>
              <w:top w:type="dxa" w:w="70"/>
              <w:left w:type="dxa" w:w="120"/>
              <w:bottom w:type="dxa" w:w="70"/>
              <w:right w:type="dxa" w:w="120"/>
            </w:tcMar>
          </w:tcPr>
          <w:p>
            <w:r>
              <w:rPr>
                <w:sz w:val="19"/>
                <w:szCs w:val="19"/>
              </w:rPr>
              <w:t xml:space="preserve">vix_arg.png</w:t>
            </w:r>
          </w:p>
        </w:tc>
        <w:tc>
          <w:tcPr>
            <w:tcW w:type="pct" w:w="3500"/>
            <w:shd w:fill="FFFFFF" w:val="clear"/>
            <w:tcMar>
              <w:top w:type="dxa" w:w="70"/>
              <w:left w:type="dxa" w:w="120"/>
              <w:bottom w:type="dxa" w:w="70"/>
              <w:right w:type="dxa" w:w="120"/>
            </w:tcMar>
          </w:tcPr>
          <w:p>
            <w:r>
              <w:rPr>
                <w:sz w:val="19"/>
                <w:szCs w:val="19"/>
              </w:rPr>
              <w:t xml:space="preserve">Merval + VIX argentino, dos paneles.</w:t>
            </w:r>
          </w:p>
        </w:tc>
      </w:tr>
    </w:tbl>
    <w:p>
      <w:pPr>
        <w:pStyle w:val="Heading1"/>
        <w:keepNext/>
        <w:spacing w:after="160" w:before="360"/>
      </w:pPr>
      <w:r>
        <w:t xml:space="preserve">7. Referencias bibliográficas</w:t>
      </w:r>
    </w:p>
    <w:p>
      <w:pPr>
        <w:spacing w:after="160" w:line="300"/>
      </w:pPr>
      <w:r>
        <w:t xml:space="preserve">Trabajos previos sobre este tema, en español, inglés y portugués. Los que son de acceso libre están descargados en </w:t>
      </w:r>
      <w:r>
        <w:rPr>
          <w:rFonts w:ascii="Consolas" w:cs="Consolas" w:eastAsia="Consolas" w:hAnsi="Consolas"/>
          <w:color w:val="1C3A5C"/>
          <w:sz w:val="19"/>
          <w:szCs w:val="19"/>
        </w:rPr>
        <w:t xml:space="preserve">papers\</w:t>
      </w:r>
      <w:r>
        <w:t xml:space="preserve"> dentro de esta misma carpeta (8 archivos); los que tienen acceso restringido se citan con su enlace oficial. La misma lista, en formato BibTeX para citar en la tesis, está en </w:t>
      </w:r>
      <w:r>
        <w:rPr>
          <w:rFonts w:ascii="Consolas" w:cs="Consolas" w:eastAsia="Consolas" w:hAnsi="Consolas"/>
          <w:color w:val="1C3A5C"/>
          <w:sz w:val="19"/>
          <w:szCs w:val="19"/>
        </w:rPr>
        <w:t xml:space="preserve">papers\referencias.bib</w:t>
      </w:r>
      <w:r>
        <w:t xml:space="preserve">.</w:t>
      </w:r>
    </w:p>
    <w:p>
      <w:pPr>
        <w:keepNext/>
        <w:keepLines/>
        <w:spacing w:after="80" w:before="200" w:line="276"/>
      </w:pPr>
      <w:r>
        <w:rPr>
          <w:b/>
          <w:bCs/>
          <w:color w:val="40798C"/>
        </w:rPr>
        <w:t xml:space="preserve">[1] </w:t>
      </w:r>
      <w:r>
        <w:rPr>
          <w:b/>
          <w:bCs/>
          <w:sz w:val="20"/>
          <w:szCs w:val="20"/>
        </w:rPr>
        <w:t xml:space="preserve">Segovia, M. y Favata, F. (2022). Estimación del Valor a Riesgo del mercado accionario argentino mediante modelos GARCH. Revista de la Facultad de Ciencias Económicas (UNNE), 29(2), 7–27. https://doi.org/10.30972/rfce.2926286</w:t>
      </w:r>
    </w:p>
    <w:p>
      <w:pPr>
        <w:keepNext/>
        <w:keepLines/>
        <w:spacing w:after="60" w:line="276"/>
        <w:ind w:left="360"/>
      </w:pPr>
      <w:r>
        <w:rPr>
          <w:b/>
          <w:bCs/>
          <w:color w:val="1C3A5C"/>
          <w:sz w:val="19"/>
          <w:szCs w:val="19"/>
        </w:rPr>
        <w:t xml:space="preserve">De qué trata: </w:t>
      </w:r>
      <w:r>
        <w:rPr>
          <w:sz w:val="19"/>
          <w:szCs w:val="19"/>
        </w:rPr>
        <w:t xml:space="preserve">Modela la volatilidad diaria del S&amp;P Merval con GARCH, GJR-GARCH y E-GARCH, para estimar el Valor a Riesgo. El mejor modelo resulta un E-GARCH(1,1) con distribución t de Student.</w:t>
      </w:r>
    </w:p>
    <w:p>
      <w:pPr>
        <w:keepNext/>
        <w:keepLines/>
        <w:spacing w:after="60" w:line="276"/>
        <w:ind w:left="360"/>
      </w:pPr>
      <w:r>
        <w:rPr>
          <w:b/>
          <w:bCs/>
          <w:color w:val="1C3A5C"/>
          <w:sz w:val="19"/>
          <w:szCs w:val="19"/>
        </w:rPr>
        <w:t xml:space="preserve">Relación con este análisis: </w:t>
      </w:r>
      <w:r>
        <w:rPr>
          <w:sz w:val="19"/>
          <w:szCs w:val="19"/>
        </w:rPr>
        <w:t xml:space="preserve">Confirma sobre el mismo índice que la volatilidad del Merval se agrupa en períodos de alta y baja volatilidad — la base para que tengan sentido un VIX realizado y, después, un HMM de regímenes. Es también una alternativa más elaborada (volatilidad condicional) a nuestro desvío móvil.</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papers\2022_Segovia_Favata_VaR_GARCH_Argentina.pdf</w:t>
      </w:r>
      <w:r>
        <w:rPr>
          <w:color w:val="5C6B7A"/>
          <w:sz w:val="19"/>
          <w:szCs w:val="19"/>
        </w:rPr>
        <w:t xml:space="preserve">  ·  español</w:t>
      </w:r>
    </w:p>
    <w:p>
      <w:pPr>
        <w:keepNext/>
        <w:keepLines/>
        <w:spacing w:after="80" w:before="200" w:line="276"/>
      </w:pPr>
      <w:r>
        <w:rPr>
          <w:b/>
          <w:bCs/>
          <w:color w:val="40798C"/>
        </w:rPr>
        <w:t xml:space="preserve">[2] </w:t>
      </w:r>
      <w:r>
        <w:rPr>
          <w:b/>
          <w:bCs/>
          <w:sz w:val="20"/>
          <w:szCs w:val="20"/>
        </w:rPr>
        <w:t xml:space="preserve">Segovia, M. y Favata, F. (2022). Estimación del Valor a Riesgo del mercado accionario argentino mediante modelos GARCH. Anales de la Asociación Argentina de Economía Política, documento 4562.</w:t>
      </w:r>
    </w:p>
    <w:p>
      <w:pPr>
        <w:keepNext/>
        <w:keepLines/>
        <w:spacing w:after="60" w:line="276"/>
        <w:ind w:left="360"/>
      </w:pPr>
      <w:r>
        <w:rPr>
          <w:b/>
          <w:bCs/>
          <w:color w:val="1C3A5C"/>
          <w:sz w:val="19"/>
          <w:szCs w:val="19"/>
        </w:rPr>
        <w:t xml:space="preserve">De qué trata: </w:t>
      </w:r>
      <w:r>
        <w:rPr>
          <w:sz w:val="19"/>
          <w:szCs w:val="19"/>
        </w:rPr>
        <w:t xml:space="preserve">Versión de trabajo, presentada en la AAEP, del artículo anterior.</w:t>
      </w:r>
    </w:p>
    <w:p>
      <w:pPr>
        <w:keepNext/>
        <w:keepLines/>
        <w:spacing w:after="60" w:line="276"/>
        <w:ind w:left="360"/>
      </w:pPr>
      <w:r>
        <w:rPr>
          <w:b/>
          <w:bCs/>
          <w:color w:val="1C3A5C"/>
          <w:sz w:val="19"/>
          <w:szCs w:val="19"/>
        </w:rPr>
        <w:t xml:space="preserve">Relación con este análisis: </w:t>
      </w:r>
      <w:r>
        <w:rPr>
          <w:sz w:val="19"/>
          <w:szCs w:val="19"/>
        </w:rPr>
        <w:t xml:space="preserve">Mismo contenido que la versión publicada; se conserva como respaldo. Para citar, usar la versión de la revista.</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papers\2022_AAEP_4562_VaR_GARCH_Argentina_wp.pdf</w:t>
      </w:r>
      <w:r>
        <w:rPr>
          <w:color w:val="5C6B7A"/>
          <w:sz w:val="19"/>
          <w:szCs w:val="19"/>
        </w:rPr>
        <w:t xml:space="preserve">  ·  español</w:t>
      </w:r>
    </w:p>
    <w:p>
      <w:pPr>
        <w:keepNext/>
        <w:keepLines/>
        <w:spacing w:after="80" w:before="200" w:line="276"/>
      </w:pPr>
      <w:r>
        <w:rPr>
          <w:b/>
          <w:bCs/>
          <w:color w:val="40798C"/>
        </w:rPr>
        <w:t xml:space="preserve">[3] </w:t>
      </w:r>
      <w:r>
        <w:rPr>
          <w:b/>
          <w:bCs/>
          <w:sz w:val="20"/>
          <w:szCs w:val="20"/>
        </w:rPr>
        <w:t xml:space="preserve">Larre, T. F. y Auza, J. (2019). Modelización financiera mediante modelos híbridos Arima–Garch: evidencia para Argentina. Ciencias Económicas (UNL), 16(2), 29–45.</w:t>
      </w:r>
    </w:p>
    <w:p>
      <w:pPr>
        <w:keepNext/>
        <w:keepLines/>
        <w:spacing w:after="60" w:line="276"/>
        <w:ind w:left="360"/>
      </w:pPr>
      <w:r>
        <w:rPr>
          <w:b/>
          <w:bCs/>
          <w:color w:val="1C3A5C"/>
          <w:sz w:val="19"/>
          <w:szCs w:val="19"/>
        </w:rPr>
        <w:t xml:space="preserve">De qué trata: </w:t>
      </w:r>
      <w:r>
        <w:rPr>
          <w:sz w:val="19"/>
          <w:szCs w:val="19"/>
        </w:rPr>
        <w:t xml:space="preserve">Modela la volatilidad de los retornos del Merval entre enero de 2013 y junio de 2016 con modelos ARIMA–GARCH. Confirma asimetría y efecto apalancamiento, y el mejor modelo resulta un E–GARCH con distribución t de Student. Autores de la UBA.</w:t>
      </w:r>
    </w:p>
    <w:p>
      <w:pPr>
        <w:keepNext/>
        <w:keepLines/>
        <w:spacing w:after="60" w:line="276"/>
        <w:ind w:left="360"/>
      </w:pPr>
      <w:r>
        <w:rPr>
          <w:b/>
          <w:bCs/>
          <w:color w:val="1C3A5C"/>
          <w:sz w:val="19"/>
          <w:szCs w:val="19"/>
        </w:rPr>
        <w:t xml:space="preserve">Relación con este análisis: </w:t>
      </w:r>
      <w:r>
        <w:rPr>
          <w:sz w:val="19"/>
          <w:szCs w:val="19"/>
        </w:rPr>
        <w:t xml:space="preserve">Segundo antecedente argentino, sobre otro período, que llega a la misma conclusión que Segovia y Favata (2022): la volatilidad del Merval se agrupa y responde más a las caídas. Refuerza las dos ideas de este paso — que medir el nerviosismo del mercado día a día tiene sentido, y que nuestro VIX realizado, al ser simétrico, no captura el efecto apalancamiento.</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papers\2019_Larre_Auza_ARIMA-GARCH_Merval_UNL.pdf</w:t>
      </w:r>
      <w:r>
        <w:rPr>
          <w:color w:val="5C6B7A"/>
          <w:sz w:val="19"/>
          <w:szCs w:val="19"/>
        </w:rPr>
        <w:t xml:space="preserve">  ·  español</w:t>
      </w:r>
    </w:p>
    <w:p>
      <w:pPr>
        <w:keepNext/>
        <w:keepLines/>
        <w:spacing w:after="80" w:before="200" w:line="276"/>
      </w:pPr>
      <w:r>
        <w:rPr>
          <w:b/>
          <w:bCs/>
          <w:color w:val="40798C"/>
        </w:rPr>
        <w:t xml:space="preserve">[4] </w:t>
      </w:r>
      <w:r>
        <w:rPr>
          <w:b/>
          <w:bCs/>
          <w:sz w:val="20"/>
          <w:szCs w:val="20"/>
        </w:rPr>
        <w:t xml:space="preserve">Otuki, T. F., Radavelli, C. H., Seabra, F. y da Costa Jr., N. C. A. (2008). Assimetria na volatilidade dos retornos revisitada: Ibovespa, Merval e Inmex. Revista de Gestão USP, 15(4), 71–84.</w:t>
      </w:r>
    </w:p>
    <w:p>
      <w:pPr>
        <w:keepNext/>
        <w:keepLines/>
        <w:spacing w:after="60" w:line="276"/>
        <w:ind w:left="360"/>
      </w:pPr>
      <w:r>
        <w:rPr>
          <w:b/>
          <w:bCs/>
          <w:color w:val="1C3A5C"/>
          <w:sz w:val="19"/>
          <w:szCs w:val="19"/>
        </w:rPr>
        <w:t xml:space="preserve">De qué trata: </w:t>
      </w:r>
      <w:r>
        <w:rPr>
          <w:sz w:val="19"/>
          <w:szCs w:val="19"/>
        </w:rPr>
        <w:t xml:space="preserve">Con modelos de la familia ARCH, encuentra que en el Merval, el Ibovespa y el Inmex (2000-2005) las caídas aumentan la volatilidad más que las subas de igual tamaño, y que los shocks persisten varios períodos.</w:t>
      </w:r>
    </w:p>
    <w:p>
      <w:pPr>
        <w:keepNext/>
        <w:keepLines/>
        <w:spacing w:after="60" w:line="276"/>
        <w:ind w:left="360"/>
      </w:pPr>
      <w:r>
        <w:rPr>
          <w:b/>
          <w:bCs/>
          <w:color w:val="1C3A5C"/>
          <w:sz w:val="19"/>
          <w:szCs w:val="19"/>
        </w:rPr>
        <w:t xml:space="preserve">Relación con este análisis: </w:t>
      </w:r>
      <w:r>
        <w:rPr>
          <w:sz w:val="19"/>
          <w:szCs w:val="19"/>
        </w:rPr>
        <w:t xml:space="preserve">Marca una limitación de nuestro VIX realizado: es simétrico por construcción (sube igual con una suba que con una caída — el máximo de 91% vino de una suba del 21,8%), mientras que la evidencia para el Merval indica que las caídas pesan más.</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papers\2008_Otuki_asimetria_volatilidad_Ibovespa_Merval_Inmex.pdf</w:t>
      </w:r>
      <w:r>
        <w:rPr>
          <w:color w:val="5C6B7A"/>
          <w:sz w:val="19"/>
          <w:szCs w:val="19"/>
        </w:rPr>
        <w:t xml:space="preserve">  ·  portugués</w:t>
      </w:r>
    </w:p>
    <w:p>
      <w:pPr>
        <w:keepNext/>
        <w:keepLines/>
        <w:spacing w:after="80" w:before="200" w:line="276"/>
      </w:pPr>
      <w:r>
        <w:rPr>
          <w:b/>
          <w:bCs/>
          <w:color w:val="40798C"/>
        </w:rPr>
        <w:t xml:space="preserve">[5] </w:t>
      </w:r>
      <w:r>
        <w:rPr>
          <w:b/>
          <w:bCs/>
          <w:sz w:val="20"/>
          <w:szCs w:val="20"/>
        </w:rPr>
        <w:t xml:space="preserve">Calandroni, S. (2026). Impacto de las elecciones sobre el MERVAL (2011-2023). Tesis de maestría, Universidad Torcuato Di Tella.</w:t>
      </w:r>
    </w:p>
    <w:p>
      <w:pPr>
        <w:keepNext/>
        <w:keepLines/>
        <w:spacing w:after="60" w:line="276"/>
        <w:ind w:left="360"/>
      </w:pPr>
      <w:r>
        <w:rPr>
          <w:b/>
          <w:bCs/>
          <w:color w:val="1C3A5C"/>
          <w:sz w:val="19"/>
          <w:szCs w:val="19"/>
        </w:rPr>
        <w:t xml:space="preserve">De qué trata: </w:t>
      </w:r>
      <w:r>
        <w:rPr>
          <w:sz w:val="19"/>
          <w:szCs w:val="19"/>
        </w:rPr>
        <w:t xml:space="preserve">Estudio de eventos sobre el Merval en dólares (CCL) alrededor de las PASO, generales y balotajes de 2011 a 2023, con el S&amp;P 500 como referencia. La reacción del mercado no es uniforme entre elecciones y se concentra en pocos episodios; las PASO tienen un rol informativo especial. Usa datos de Yahoo Finance.</w:t>
      </w:r>
    </w:p>
    <w:p>
      <w:pPr>
        <w:keepNext/>
        <w:keepLines/>
        <w:spacing w:after="60" w:line="276"/>
        <w:ind w:left="360"/>
      </w:pPr>
      <w:r>
        <w:rPr>
          <w:b/>
          <w:bCs/>
          <w:color w:val="1C3A5C"/>
          <w:sz w:val="19"/>
          <w:szCs w:val="19"/>
        </w:rPr>
        <w:t xml:space="preserve">Relación con este análisis: </w:t>
      </w:r>
      <w:r>
        <w:rPr>
          <w:sz w:val="19"/>
          <w:szCs w:val="19"/>
        </w:rPr>
        <w:t xml:space="preserve">Da el contexto de los picos del VIX de la sección 4: los dos episodios del segundo semestre de 2025 arrancan el día hábil siguiente a una elección (08/09 y 27/10). Confirma que en Argentina las elecciones operan como shocks de información sobre el mercado — aunque su período termina en 2023 y no cubre las de 2025.</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papers\2026_Calandroni_elecciones_Merval_UTDT.pdf</w:t>
      </w:r>
      <w:r>
        <w:rPr>
          <w:color w:val="5C6B7A"/>
          <w:sz w:val="19"/>
          <w:szCs w:val="19"/>
        </w:rPr>
        <w:t xml:space="preserve">  ·  español</w:t>
      </w:r>
    </w:p>
    <w:p>
      <w:pPr>
        <w:keepNext/>
        <w:keepLines/>
        <w:spacing w:after="80" w:before="200" w:line="276"/>
      </w:pPr>
      <w:r>
        <w:rPr>
          <w:b/>
          <w:bCs/>
          <w:color w:val="40798C"/>
        </w:rPr>
        <w:t xml:space="preserve">[6] </w:t>
      </w:r>
      <w:r>
        <w:rPr>
          <w:b/>
          <w:bCs/>
          <w:sz w:val="20"/>
          <w:szCs w:val="20"/>
        </w:rPr>
        <w:t xml:space="preserve">Sakowski, P., Sieradzki, R. y Ślepaczuk, R. (2023). Systemic risk indicator based on implied and realized volatility. arXiv:2307.05719.</w:t>
      </w:r>
    </w:p>
    <w:p>
      <w:pPr>
        <w:keepNext/>
        <w:keepLines/>
        <w:spacing w:after="60" w:line="276"/>
        <w:ind w:left="360"/>
      </w:pPr>
      <w:r>
        <w:rPr>
          <w:b/>
          <w:bCs/>
          <w:color w:val="1C3A5C"/>
          <w:sz w:val="19"/>
          <w:szCs w:val="19"/>
        </w:rPr>
        <w:t xml:space="preserve">De qué trata: </w:t>
      </w:r>
      <w:r>
        <w:rPr>
          <w:sz w:val="19"/>
          <w:szCs w:val="19"/>
        </w:rPr>
        <w:t xml:space="preserve">Propone un indicador de riesgo sistémico que combina volatilidad implícita y realizada, aplicado a Estados Unidos, Europa, Brasil y Japón entre 2000 y 2023.</w:t>
      </w:r>
    </w:p>
    <w:p>
      <w:pPr>
        <w:keepNext/>
        <w:keepLines/>
        <w:spacing w:after="60" w:line="276"/>
        <w:ind w:left="360"/>
      </w:pPr>
      <w:r>
        <w:rPr>
          <w:b/>
          <w:bCs/>
          <w:color w:val="1C3A5C"/>
          <w:sz w:val="19"/>
          <w:szCs w:val="19"/>
        </w:rPr>
        <w:t xml:space="preserve">Relación con este análisis: </w:t>
      </w:r>
      <w:r>
        <w:rPr>
          <w:sz w:val="19"/>
          <w:szCs w:val="19"/>
        </w:rPr>
        <w:t xml:space="preserve">Usa la volatilidad realizada como componente de un índice de riesgo de mercado, incluido un emergente latinoamericano — respalda medir el nerviosismo con volatilidad realizada cuando no hay un mercado de opciones líquido para la implícita.</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papers\2023_Implied_realized_volatility_systemic_risk.pdf</w:t>
      </w:r>
      <w:r>
        <w:rPr>
          <w:color w:val="5C6B7A"/>
          <w:sz w:val="19"/>
          <w:szCs w:val="19"/>
        </w:rPr>
        <w:t xml:space="preserve">  ·  inglés</w:t>
      </w:r>
    </w:p>
    <w:p>
      <w:pPr>
        <w:keepNext/>
        <w:keepLines/>
        <w:spacing w:after="80" w:before="200" w:line="276"/>
      </w:pPr>
      <w:r>
        <w:rPr>
          <w:b/>
          <w:bCs/>
          <w:color w:val="40798C"/>
        </w:rPr>
        <w:t xml:space="preserve">[7] </w:t>
      </w:r>
      <w:r>
        <w:rPr>
          <w:b/>
          <w:bCs/>
          <w:sz w:val="20"/>
          <w:szCs w:val="20"/>
        </w:rPr>
        <w:t xml:space="preserve">Papaioannou, G., Papaioannou, P. y Parliaris, N. (2014). Modeling the stylized facts of wholesale system marginal price (SMP) and the impacts of regulatory reforms on the Greek Electricity Market. arXiv:1401.5452.</w:t>
      </w:r>
    </w:p>
    <w:p>
      <w:pPr>
        <w:keepNext/>
        <w:keepLines/>
        <w:spacing w:after="60" w:line="276"/>
        <w:ind w:left="360"/>
      </w:pPr>
      <w:r>
        <w:rPr>
          <w:b/>
          <w:bCs/>
          <w:color w:val="1C3A5C"/>
          <w:sz w:val="19"/>
          <w:szCs w:val="19"/>
        </w:rPr>
        <w:t xml:space="preserve">De qué trata: </w:t>
      </w:r>
      <w:r>
        <w:rPr>
          <w:sz w:val="19"/>
          <w:szCs w:val="19"/>
        </w:rPr>
        <w:t xml:space="preserve">Al modelar la volatilidad de precios eléctricos, señala que la media móvil con pesos iguales genera "ghost features" (rasgos fantasma) en la serie de volatilidad, y la reemplaza por una media exponencial (EWMA) que los elimina.</w:t>
      </w:r>
    </w:p>
    <w:p>
      <w:pPr>
        <w:keepNext/>
        <w:keepLines/>
        <w:spacing w:after="60" w:line="276"/>
        <w:ind w:left="360"/>
      </w:pPr>
      <w:r>
        <w:rPr>
          <w:b/>
          <w:bCs/>
          <w:color w:val="1C3A5C"/>
          <w:sz w:val="19"/>
          <w:szCs w:val="19"/>
        </w:rPr>
        <w:t xml:space="preserve">Relación con este análisis: </w:t>
      </w:r>
      <w:r>
        <w:rPr>
          <w:sz w:val="19"/>
          <w:szCs w:val="19"/>
        </w:rPr>
        <w:t xml:space="preserve">Es la referencia directa del "eco de la ventana de 20 días" de la sección 3: el mismo artefacto, con nombre propio en la literatura. También señala la mejora posible: una EWMA, que olvida los shocks de a poco en vez de soltarlos de golpe a las 20 ruedas.</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papers\2014_Ghost_features_moving_average.pdf</w:t>
      </w:r>
      <w:r>
        <w:rPr>
          <w:color w:val="5C6B7A"/>
          <w:sz w:val="19"/>
          <w:szCs w:val="19"/>
        </w:rPr>
        <w:t xml:space="preserve">  ·  inglés</w:t>
      </w:r>
    </w:p>
    <w:p>
      <w:pPr>
        <w:keepNext/>
        <w:keepLines/>
        <w:spacing w:after="80" w:before="200" w:line="276"/>
      </w:pPr>
      <w:r>
        <w:rPr>
          <w:b/>
          <w:bCs/>
          <w:color w:val="40798C"/>
        </w:rPr>
        <w:t xml:space="preserve">[8] </w:t>
      </w:r>
      <w:r>
        <w:rPr>
          <w:b/>
          <w:bCs/>
          <w:sz w:val="20"/>
          <w:szCs w:val="20"/>
        </w:rPr>
        <w:t xml:space="preserve">J.P. Morgan y Reuters (1996). RiskMetrics — Technical Document (4.ª edición). Nueva York: J.P. Morgan.</w:t>
      </w:r>
    </w:p>
    <w:p>
      <w:pPr>
        <w:keepNext/>
        <w:keepLines/>
        <w:spacing w:after="60" w:line="276"/>
        <w:ind w:left="360"/>
      </w:pPr>
      <w:r>
        <w:rPr>
          <w:b/>
          <w:bCs/>
          <w:color w:val="1C3A5C"/>
          <w:sz w:val="19"/>
          <w:szCs w:val="19"/>
        </w:rPr>
        <w:t xml:space="preserve">De qué trata: </w:t>
      </w:r>
      <w:r>
        <w:rPr>
          <w:sz w:val="19"/>
          <w:szCs w:val="19"/>
        </w:rPr>
        <w:t xml:space="preserve">El documento técnico que estandarizó la medición de riesgo de mercado con la media móvil exponencial (EWMA): cada día pesa un poco menos que el siguiente, con un factor de decaimiento de 0,94 para datos diarios.</w:t>
      </w:r>
    </w:p>
    <w:p>
      <w:pPr>
        <w:keepNext/>
        <w:keepLines/>
        <w:spacing w:after="60" w:line="276"/>
        <w:ind w:left="360"/>
      </w:pPr>
      <w:r>
        <w:rPr>
          <w:b/>
          <w:bCs/>
          <w:color w:val="1C3A5C"/>
          <w:sz w:val="19"/>
          <w:szCs w:val="19"/>
        </w:rPr>
        <w:t xml:space="preserve">Relación con este análisis: </w:t>
      </w:r>
      <w:r>
        <w:rPr>
          <w:sz w:val="19"/>
          <w:szCs w:val="19"/>
        </w:rPr>
        <w:t xml:space="preserve">Es la fuente de la mejora posible al eco de 20 días: con una EWMA, un shock como el del 27/10/2025 se iría olvidando de a poco en lugar de salir de golpe del cálculo 20 ruedas después.</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papers\1996_RiskMetrics_Technical_Document.pdf</w:t>
      </w:r>
      <w:r>
        <w:rPr>
          <w:color w:val="5C6B7A"/>
          <w:sz w:val="19"/>
          <w:szCs w:val="19"/>
        </w:rPr>
        <w:t xml:space="preserve">  ·  inglés</w:t>
      </w:r>
    </w:p>
    <w:p>
      <w:pPr>
        <w:keepNext/>
        <w:keepLines/>
        <w:spacing w:after="80" w:before="200" w:line="276"/>
      </w:pPr>
      <w:r>
        <w:rPr>
          <w:b/>
          <w:bCs/>
          <w:color w:val="40798C"/>
        </w:rPr>
        <w:t xml:space="preserve">[9] </w:t>
      </w:r>
      <w:r>
        <w:rPr>
          <w:b/>
          <w:bCs/>
          <w:sz w:val="20"/>
          <w:szCs w:val="20"/>
        </w:rPr>
        <w:t xml:space="preserve">Xenofontos, A. (2014). Modelling and Forecasting Volatility of Stock Index Return Using GARCH Models: an Empirical Evidence of Argentina. Tesis de maestría, University of Nottingham.</w:t>
      </w:r>
    </w:p>
    <w:p>
      <w:pPr>
        <w:keepNext/>
        <w:keepLines/>
        <w:spacing w:after="60" w:line="276"/>
        <w:ind w:left="360"/>
      </w:pPr>
      <w:r>
        <w:rPr>
          <w:b/>
          <w:bCs/>
          <w:color w:val="1C3A5C"/>
          <w:sz w:val="19"/>
          <w:szCs w:val="19"/>
        </w:rPr>
        <w:t xml:space="preserve">De qué trata: </w:t>
      </w:r>
      <w:r>
        <w:rPr>
          <w:sz w:val="19"/>
          <w:szCs w:val="19"/>
        </w:rPr>
        <w:t xml:space="preserve">Modela la volatilidad del Merval (2002-2014) con GARCH simétricos y asimétricos: la encuentra variable en el tiempo, persistente, predecible y asimétrica.</w:t>
      </w:r>
    </w:p>
    <w:p>
      <w:pPr>
        <w:keepNext/>
        <w:keepLines/>
        <w:spacing w:after="60" w:line="276"/>
        <w:ind w:left="360"/>
      </w:pPr>
      <w:r>
        <w:rPr>
          <w:b/>
          <w:bCs/>
          <w:color w:val="1C3A5C"/>
          <w:sz w:val="19"/>
          <w:szCs w:val="19"/>
        </w:rPr>
        <w:t xml:space="preserve">Relación con este análisis: </w:t>
      </w:r>
      <w:r>
        <w:rPr>
          <w:sz w:val="19"/>
          <w:szCs w:val="19"/>
        </w:rPr>
        <w:t xml:space="preserve">Antecedente directo de la medición de volatilidad del Merval; coincide en la persistencia que después captura el HMM.</w:t>
      </w:r>
    </w:p>
    <w:p>
      <w:pPr>
        <w:keepLines/>
        <w:spacing w:after="60" w:line="276"/>
        <w:ind w:left="360"/>
      </w:pPr>
      <w:r>
        <w:rPr>
          <w:b/>
          <w:bCs/>
          <w:color w:val="C1272D"/>
          <w:sz w:val="19"/>
          <w:szCs w:val="19"/>
        </w:rPr>
        <w:t xml:space="preserve">No descargado: </w:t>
      </w:r>
      <w:r>
        <w:rPr>
          <w:sz w:val="19"/>
          <w:szCs w:val="19"/>
        </w:rPr>
        <w:t xml:space="preserve">acceso restringido a usuarios de la University of Nottingham. </w:t>
      </w:r>
      <w:r>
        <w:rPr>
          <w:color w:val="40798C"/>
          <w:sz w:val="18"/>
          <w:szCs w:val="18"/>
        </w:rPr>
        <w:t xml:space="preserve">https://eprints.nottingham.ac.uk/27379</w:t>
      </w:r>
      <w:r>
        <w:rPr>
          <w:color w:val="5C6B7A"/>
          <w:sz w:val="19"/>
          <w:szCs w:val="19"/>
        </w:rPr>
        <w:t xml:space="preserve">  ·  inglés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VIX argentino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6bdc157e829acdebe75b7e578f52159d66456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2026-10-17T23:42:50.073Z</dcterms:created>
  <dcterms:modified xsi:type="dcterms:W3CDTF">2026-10-17T23:42:50.073Z</dcterms:modified>
</cp:coreProperties>
</file>

<file path=docProps/custom.xml><?xml version="1.0" encoding="utf-8"?>
<Properties xmlns="http://schemas.openxmlformats.org/officeDocument/2006/custom-properties" xmlns:vt="http://schemas.openxmlformats.org/officeDocument/2006/docPropsVTypes"/>
</file>