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mbria" w:cs="Cambria" w:eastAsia="Cambria" w:hAnsi="Cambria"/>
          <w:b/>
          <w:bCs/>
          <w:color w:val="12263A"/>
          <w:sz w:val="44"/>
          <w:szCs w:val="44"/>
        </w:rPr>
        <w:t xml:space="preserve">Test ADF</w:t>
      </w:r>
    </w:p>
    <w:p>
      <w:pPr>
        <w:spacing w:after="200"/>
      </w:pPr>
      <w:r>
        <w:rPr>
          <w:rFonts w:ascii="Cambria" w:cs="Cambria" w:eastAsia="Cambria" w:hAnsi="Cambria"/>
          <w:i/>
          <w:iCs/>
          <w:color w:val="1C3A5C"/>
          <w:sz w:val="24"/>
          <w:szCs w:val="24"/>
        </w:rPr>
        <w:t xml:space="preserve">¿Con qué serie se puede trabajar — precio o retorno?</w:t>
      </w:r>
    </w:p>
    <w:p>
      <w:pPr>
        <w:pBdr>
          <w:bottom w:val="single" w:color="D9E0E7" w:sz="4" w:space="8"/>
        </w:pBdr>
        <w:spacing w:after="200"/>
      </w:pPr>
      <w:r>
        <w:rPr>
          <w:color w:val="5C6B7A"/>
          <w:sz w:val="19"/>
          <w:szCs w:val="19"/>
        </w:rPr>
        <w:t xml:space="preserve">Tesina — Impacto de shocks informativos en acciones argentinas (BYMA / S&amp;P Merval). Documento exclusivamente del lado bursátil. No toca noticias, sentimiento ni gazetteer.</w:t>
      </w:r>
    </w:p>
    <w:p>
      <w:pPr>
        <w:spacing w:after="160" w:line="300"/>
      </w:pPr>
      <w:r>
        <w:rPr>
          <w:b/>
          <w:bCs/>
        </w:rPr>
        <w:t xml:space="preserve">Ubicación de todo lo generado.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D:\2.Tesina\tesis version 3.0\Lado Bursatil\04_adf\</w:t>
      </w:r>
      <w:r>
        <w:t xml:space="preserve">. Input: el panel de 47 acciones de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01_scraping_acciones</w:t>
      </w:r>
      <w:r>
        <w:t xml:space="preserve">.</w:t>
      </w:r>
    </w:p>
    <w:p>
      <w:pPr>
        <w:pageBreakBefore/>
      </w:pPr>
    </w:p>
    <w:p>
      <w:pPr>
        <w:pStyle w:val="Heading1"/>
        <w:keepNext/>
        <w:spacing w:after="160" w:before="360"/>
      </w:pPr>
      <w:r>
        <w:t xml:space="preserve">1. Por qué hace falta este test</w:t>
      </w:r>
    </w:p>
    <w:p>
      <w:pPr>
        <w:spacing w:after="160" w:line="300"/>
      </w:pPr>
      <w:r>
        <w:t xml:space="preserve">El VAR y el test de causalidad de Granger —los próximos pasos del análisis— exigen series estacionarias: con media y varianza estables en el tiempo. Si se usan series con tendencia (como el precio de una acción, que en general sube con el tiempo), los resultados salen espurios — dos series que suben juntas parecen relacionadas aunque no tengan nada que ver entre sí.</w:t>
      </w:r>
    </w:p>
    <w:p>
      <w:pPr>
        <w:spacing w:after="160" w:line="300"/>
      </w:pPr>
      <w:r>
        <w:rPr>
          <w:b/>
          <w:bCs/>
        </w:rPr>
        <w:t xml:space="preserve">El test: </w:t>
      </w:r>
      <w:r>
        <w:t xml:space="preserve">Augmented Dickey-Fuller (ADF), con la cantidad de rezagos elegida por AIC. La hipótesis nula es "la serie NO es estacionaria"; si el p-valor da menor a 0,05, se rechaza la nula y la serie se considera estacionaria.</w:t>
      </w:r>
    </w:p>
    <w:p>
      <w:pPr>
        <w:keepNext/>
        <w:spacing w:after="160" w:line="300"/>
      </w:pPr>
      <w:r>
        <w:t xml:space="preserve">El ADF tiene variantes según la forma de la serie, y cada una se testea con la que le corresponde:</w:t>
      </w:r>
    </w:p>
    <w:tbl>
      <w:tblPr>
        <w:tblW w:type="pct" w:w="5000"/>
        <w:tblBorders>
          <w:top w:val="single" w:color="D9E0E7" w:sz="4"/>
          <w:left w:val="single" w:color="D9E0E7" w:sz="4"/>
          <w:bottom w:val="single" w:color="D9E0E7" w:sz="4"/>
          <w:right w:val="single" w:color="D9E0E7" w:sz="4"/>
          <w:insideH w:val="single" w:color="D9E0E7" w:sz="4"/>
          <w:insideV w:val="single" w:color="D9E0E7" w:sz="4"/>
        </w:tblBorders>
      </w:tblPr>
      <w:tblGrid>
        <w:gridCol w:w="1735"/>
        <w:gridCol w:w="2313"/>
        <w:gridCol w:w="5590"/>
      </w:tblGrid>
      <w:tr>
        <w:trPr>
          <w:tblHeader/>
        </w:trPr>
        <w:tc>
          <w:tcPr>
            <w:tcW w:type="pct" w:w="9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Serie</w:t>
            </w:r>
          </w:p>
        </w:tc>
        <w:tc>
          <w:tcPr>
            <w:tcW w:type="pct" w:w="12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Variante del ADF</w:t>
            </w:r>
          </w:p>
        </w:tc>
        <w:tc>
          <w:tcPr>
            <w:tcW w:type="pct" w:w="29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Precio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Constante + tendencia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Los precios están en pesos nominales y suben de forma sostenida (inflación). Sin tendencia, el test puede confundir una suba pareja con una serie estable.</w:t>
            </w:r>
          </w:p>
        </w:tc>
      </w:tr>
      <w:tr>
        <w:trPr>
          <w:cantSplit/>
        </w:trPr>
        <w:tc>
          <w:tcPr>
            <w:tcW w:type="pct" w:w="9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Retorno diario</w:t>
            </w:r>
          </w:p>
        </w:tc>
        <w:tc>
          <w:tcPr>
            <w:tcW w:type="pct" w:w="12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Solo constante</w:t>
            </w:r>
          </w:p>
        </w:tc>
        <w:tc>
          <w:tcPr>
            <w:tcW w:type="pct" w:w="29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El retorno es la variación de un día al otro: oscila alrededor de una media, sin tendencia.</w:t>
            </w:r>
          </w:p>
        </w:tc>
      </w:tr>
    </w:tbl>
    <w:p>
      <w:pPr>
        <w:spacing w:after="160" w:line="300"/>
      </w:pPr>
      <w:r>
        <w:t xml:space="preserve"/>
      </w:r>
    </w:p>
    <w:tbl>
      <w:tblPr>
        <w:tblW w:type="pct" w:w="5000"/>
        <w:tblBorders>
          <w:top w:val="single" w:color="D9E0E7" w:sz="4"/>
          <w:left w:val="single" w:color="40798C" w:sz="24"/>
          <w:bottom w:val="single" w:color="D9E0E7" w:sz="4"/>
          <w:right w:val="single" w:color="D9E0E7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shd w:fill="F5F8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C3A5C"/>
              </w:rPr>
              <w:t xml:space="preserve">Ventana usada — la del corpus de noticias, tomada de vix_arg.csv</w:t>
            </w:r>
          </w:p>
          <w:p>
            <w:pPr>
              <w:spacing w:after="60" w:line="276"/>
            </w:pPr>
            <w:r>
              <w:t xml:space="preserve">Se corre sobre </w:t>
            </w:r>
            <w:r>
              <w:rPr>
                <w:b/>
                <w:bCs/>
              </w:rPr>
              <w:t xml:space="preserve">2025-01-02 → 2026-04-30</w:t>
            </w:r>
            <w:r>
              <w:t xml:space="preserve"> (323 ruedas) — la ventana del corpus de noticias del compañero, leída directamente de </w:t>
            </w:r>
            <w:r>
              <w:rPr>
                <w:rFonts w:ascii="Consolas" w:cs="Consolas" w:eastAsia="Consolas" w:hAnsi="Consolas"/>
                <w:color w:val="1C3A5C"/>
                <w:sz w:val="19"/>
                <w:szCs w:val="19"/>
              </w:rPr>
              <w:t xml:space="preserve">../03_vix_argentino/vix_arg.csv</w:t>
            </w:r>
            <w:r>
              <w:t xml:space="preserve"> (no está hardcodeada acá, para que no se pueda desalinear si esa ventana cambia). El retorno se calcula sobre la serie completa de precios y recién después se recorta a la ventana, para no perder el primer día por falta del precio anterior.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2. Resultado — 46 de 47 precios no son estacionarios</w:t>
      </w:r>
    </w:p>
    <w:tbl>
      <w:tblPr>
        <w:tblW w:type="pct" w:w="5000"/>
        <w:tblBorders>
          <w:top w:val="single" w:color="D9E0E7" w:sz="4"/>
          <w:left w:val="single" w:color="D9E0E7" w:sz="4"/>
          <w:bottom w:val="single" w:color="D9E0E7" w:sz="4"/>
          <w:right w:val="single" w:color="D9E0E7" w:sz="4"/>
          <w:insideH w:val="single" w:color="D9E0E7" w:sz="4"/>
          <w:insideV w:val="single" w:color="D9E0E7" w:sz="4"/>
        </w:tblBorders>
      </w:tblPr>
      <w:tblGrid>
        <w:gridCol w:w="3277"/>
        <w:gridCol w:w="3181"/>
        <w:gridCol w:w="3181"/>
      </w:tblGrid>
      <w:tr>
        <w:trPr>
          <w:tblHeader/>
        </w:trPr>
        <w:tc>
          <w:tcPr>
            <w:tcW w:type="pct" w:w="17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Serie</w:t>
            </w:r>
          </w:p>
        </w:tc>
        <w:tc>
          <w:tcPr>
            <w:tcW w:type="pct" w:w="165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Estacionarias</w:t>
            </w:r>
          </w:p>
        </w:tc>
        <w:tc>
          <w:tcPr>
            <w:tcW w:type="pct" w:w="165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 estacionarias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Precio (Close)</w:t>
            </w:r>
          </w:p>
        </w:tc>
        <w:tc>
          <w:tcPr>
            <w:tcW w:type="pct" w:w="1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de 47</w:t>
            </w:r>
          </w:p>
        </w:tc>
        <w:tc>
          <w:tcPr>
            <w:tcW w:type="pct" w:w="1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46 de 47</w:t>
            </w:r>
          </w:p>
        </w:tc>
      </w:tr>
      <w:tr>
        <w:trPr>
          <w:cantSplit/>
        </w:trPr>
        <w:tc>
          <w:tcPr>
            <w:tcW w:type="pct" w:w="17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Retorno diario</w:t>
            </w:r>
          </w:p>
        </w:tc>
        <w:tc>
          <w:tcPr>
            <w:tcW w:type="pct" w:w="16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47 de 47</w:t>
            </w:r>
          </w:p>
        </w:tc>
        <w:tc>
          <w:tcPr>
            <w:tcW w:type="pct" w:w="16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 de 47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/>
        <w:jc w:val="center"/>
      </w:pPr>
      <w:r>
        <w:drawing>
          <wp:inline distT="0" distB="0" distL="0" distR="0">
            <wp:extent cx="4000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</w:pPr>
      <w:r>
        <w:rPr>
          <w:b/>
          <w:bCs/>
        </w:rPr>
        <w:t xml:space="preserve">La decisión que habilita el VAR: </w:t>
      </w:r>
      <w:r>
        <w:t xml:space="preserve">se trabaja con </w:t>
      </w:r>
      <w:r>
        <w:rPr>
          <w:b/>
          <w:bCs/>
        </w:rPr>
        <w:t xml:space="preserve">retornos, no con precios</w:t>
      </w:r>
      <w:r>
        <w:t xml:space="preserve"> — los 47 retornos diarios dan estacionarios, 43 de ellos con p &lt; 0,0001 y el más alto con p = 0,006 (GCDI.BA), muy por debajo del umbral de 0,05. En cambio, 46 de los 47 precios no lo son.</w:t>
      </w:r>
    </w:p>
    <w:p>
      <w:pPr>
        <w:pStyle w:val="Heading1"/>
        <w:keepNext/>
        <w:spacing w:after="160" w:before="360"/>
      </w:pPr>
      <w:r>
        <w:t xml:space="preserve">3. La excepción — 1 precio que da estacionario</w:t>
      </w:r>
    </w:p>
    <w:p>
      <w:pPr>
        <w:keepNext/>
        <w:spacing w:after="160" w:line="300"/>
      </w:pPr>
      <w:r>
        <w:t xml:space="preserve">No cambia la decisión de trabajar con retornos, pero vale que quede el detalle registrado:</w:t>
      </w:r>
    </w:p>
    <w:tbl>
      <w:tblPr>
        <w:tblW w:type="pct" w:w="5000"/>
        <w:tblBorders>
          <w:top w:val="single" w:color="D9E0E7" w:sz="4"/>
          <w:left w:val="single" w:color="D9E0E7" w:sz="4"/>
          <w:bottom w:val="single" w:color="D9E0E7" w:sz="4"/>
          <w:right w:val="single" w:color="D9E0E7" w:sz="4"/>
          <w:insideH w:val="single" w:color="D9E0E7" w:sz="4"/>
          <w:insideV w:val="single" w:color="D9E0E7" w:sz="4"/>
        </w:tblBorders>
      </w:tblPr>
      <w:tblGrid>
        <w:gridCol w:w="1735"/>
        <w:gridCol w:w="4048"/>
        <w:gridCol w:w="1928"/>
        <w:gridCol w:w="1928"/>
      </w:tblGrid>
      <w:tr>
        <w:trPr>
          <w:tblHeader/>
        </w:trPr>
        <w:tc>
          <w:tcPr>
            <w:tcW w:type="pct" w:w="9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Ticker</w:t>
            </w:r>
          </w:p>
        </w:tc>
        <w:tc>
          <w:tcPr>
            <w:tcW w:type="pct" w:w="21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Empresa</w:t>
            </w:r>
          </w:p>
        </w:tc>
        <w:tc>
          <w:tcPr>
            <w:tcW w:type="pct" w:w="10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Estadístico ADF</w:t>
            </w:r>
          </w:p>
        </w:tc>
        <w:tc>
          <w:tcPr>
            <w:tcW w:type="pct" w:w="10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p-valor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TGSU2.BA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Transportadora de Gas del Sur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-3,432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0,0473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rPr>
          <w:b/>
          <w:bCs/>
        </w:rPr>
        <w:t xml:space="preserve">Por qué no preocupa: </w:t>
      </w:r>
      <w:r>
        <w:t xml:space="preserve">al correr 47 tests a la vez con un umbral de 0,05, aun si ningún precio fuera estacionario se esperaría que alrededor de 2,4 dieran p &lt; 0,05 por puro azar — aparece 1, dentro de lo esperable. Su p-valor (0,0473) está apenas debajo del umbral, así que no amerita un tratamiento especial: en el VAR se usan los retornos de las 47 acciones por igual.</w:t>
      </w:r>
    </w:p>
    <w:p>
      <w:pPr>
        <w:pStyle w:val="Heading1"/>
        <w:keepNext/>
        <w:spacing w:after="160" w:before="360"/>
      </w:pPr>
      <w:r>
        <w:t xml:space="preserve">4. Archivos generados</w:t>
      </w:r>
    </w:p>
    <w:p>
      <w:pPr>
        <w:spacing w:after="160" w:line="300"/>
      </w:pPr>
      <w:r>
        <w:rPr>
          <w:rFonts w:ascii="Consolas" w:cs="Consolas" w:eastAsia="Consolas" w:hAnsi="Consolas"/>
          <w:color w:val="1C3A5C"/>
          <w:sz w:val="19"/>
          <w:szCs w:val="19"/>
        </w:rPr>
        <w:t xml:space="preserve">D:\2.Tesina\tesis version 3.0\Lado Bursatil\04_adf\</w:t>
      </w:r>
    </w:p>
    <w:tbl>
      <w:tblPr>
        <w:tblW w:type="pct" w:w="5000"/>
        <w:tblBorders>
          <w:top w:val="single" w:color="D9E0E7" w:sz="4"/>
          <w:left w:val="single" w:color="D9E0E7" w:sz="4"/>
          <w:bottom w:val="single" w:color="D9E0E7" w:sz="4"/>
          <w:right w:val="single" w:color="D9E0E7" w:sz="4"/>
          <w:insideH w:val="single" w:color="D9E0E7" w:sz="4"/>
          <w:insideV w:val="single" w:color="D9E0E7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pct" w:w="15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pct" w:w="35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es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adf_test.py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Script único. Corre ADF sobre precio y retorno de las 47 acciones, ventana tomada de vix_arg.csv.</w:t>
            </w:r>
          </w:p>
        </w:tc>
      </w:tr>
      <w:tr>
        <w:trPr>
          <w:cantSplit/>
        </w:trPr>
        <w:tc>
          <w:tcPr>
            <w:tcW w:type="pct" w:w="15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resultados_adf_47.csv</w:t>
            </w:r>
          </w:p>
        </w:tc>
        <w:tc>
          <w:tcPr>
            <w:tcW w:type="pct" w:w="35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Una fila por acción × tipo de serie (94 filas): variante del ADF usada, estadístico, p-valor, resultado.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resumen_adf.png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Barras: cuántas acciones dan estacionarias en precio vs. en retorno.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5. Referencias bibliográficas</w:t>
      </w:r>
    </w:p>
    <w:p>
      <w:pPr>
        <w:spacing w:after="160" w:line="300"/>
      </w:pPr>
      <w:r>
        <w:t xml:space="preserve">Trabajos previos sobre este tema, en español, inglés y portugués. Los que son de acceso libre están descargados en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papers\</w:t>
      </w:r>
      <w:r>
        <w:t xml:space="preserve"> dentro de esta misma carpeta (6 archivos); los que tienen acceso restringido se citan con su enlace oficial. La misma lista, en formato BibTeX para citar en la tesis, está en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papers\referencias.bib</w:t>
      </w:r>
      <w:r>
        <w:t xml:space="preserve">.</w:t>
      </w:r>
    </w:p>
    <w:p>
      <w:pPr>
        <w:keepNext/>
        <w:keepLines/>
        <w:spacing w:after="80" w:before="200" w:line="276"/>
      </w:pPr>
      <w:r>
        <w:rPr>
          <w:b/>
          <w:bCs/>
          <w:color w:val="40798C"/>
        </w:rPr>
        <w:t xml:space="preserve">[1] </w:t>
      </w:r>
      <w:r>
        <w:rPr>
          <w:b/>
          <w:bCs/>
          <w:sz w:val="20"/>
          <w:szCs w:val="20"/>
        </w:rPr>
        <w:t xml:space="preserve">Dickey, D. A. y Fuller, W. A. (1979). Distribution of the Estimators for Autoregressive Time Series with a Unit Root. Journal of the American Statistical Association, 74(366), 427–431. https://doi.org/10.2307/2286348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De qué trata: </w:t>
      </w:r>
      <w:r>
        <w:rPr>
          <w:sz w:val="19"/>
          <w:szCs w:val="19"/>
        </w:rPr>
        <w:t xml:space="preserve">El artículo original del test de Dickey-Fuller para detectar raíz unitaria (no estacionariedad) en una serie temporal.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Relación con este análisis: </w:t>
      </w:r>
      <w:r>
        <w:rPr>
          <w:sz w:val="19"/>
          <w:szCs w:val="19"/>
        </w:rPr>
        <w:t xml:space="preserve">Es el test que se aplica en este paso, en su versión aumentada (ADF).</w:t>
      </w:r>
    </w:p>
    <w:p>
      <w:pPr>
        <w:keepLines/>
        <w:spacing w:after="60" w:line="276"/>
        <w:ind w:left="360"/>
      </w:pPr>
      <w:r>
        <w:rPr>
          <w:b/>
          <w:bCs/>
          <w:color w:val="C1272D"/>
          <w:sz w:val="19"/>
          <w:szCs w:val="19"/>
        </w:rPr>
        <w:t xml:space="preserve">No descargado: </w:t>
      </w:r>
      <w:r>
        <w:rPr>
          <w:sz w:val="19"/>
          <w:szCs w:val="19"/>
        </w:rPr>
        <w:t xml:space="preserve">acceso por suscripción (JSTOR). </w:t>
      </w:r>
      <w:r>
        <w:rPr>
          <w:color w:val="40798C"/>
          <w:sz w:val="18"/>
          <w:szCs w:val="18"/>
        </w:rPr>
        <w:t xml:space="preserve">https://www.jstor.org/stable/2286348</w:t>
      </w:r>
      <w:r>
        <w:rPr>
          <w:color w:val="5C6B7A"/>
          <w:sz w:val="19"/>
          <w:szCs w:val="19"/>
        </w:rPr>
        <w:t xml:space="preserve">  ·  inglés</w:t>
      </w:r>
    </w:p>
    <w:p>
      <w:pPr>
        <w:keepNext/>
        <w:keepLines/>
        <w:spacing w:after="80" w:before="200" w:line="276"/>
      </w:pPr>
      <w:r>
        <w:rPr>
          <w:b/>
          <w:bCs/>
          <w:color w:val="40798C"/>
        </w:rPr>
        <w:t xml:space="preserve">[2] </w:t>
      </w:r>
      <w:r>
        <w:rPr>
          <w:b/>
          <w:bCs/>
          <w:sz w:val="20"/>
          <w:szCs w:val="20"/>
        </w:rPr>
        <w:t xml:space="preserve">Zablotsky, E. E. (2002). Consideraciones sobre la eficiencia del mercado de capitales argentino. Documento de trabajo 213, Universidad del CEMA.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De qué trata: </w:t>
      </w:r>
      <w:r>
        <w:rPr>
          <w:sz w:val="19"/>
          <w:szCs w:val="19"/>
        </w:rPr>
        <w:t xml:space="preserve">Discute la hipótesis de que los precios del mercado argentino siguen un paseo aleatorio (random walk), comparando su comportamiento con el de mercados internacionales.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Relación con este análisis: </w:t>
      </w:r>
      <w:r>
        <w:rPr>
          <w:sz w:val="19"/>
          <w:szCs w:val="19"/>
        </w:rPr>
        <w:t xml:space="preserve">Si el precio sigue un paseo aleatorio, tiene raíz unitaria y su retorno es estacionario — exactamente el patrón que da nuestro ADF (precios no estacionarios, retornos estacionarios). Es el antecedente argentino del paso.</w:t>
      </w:r>
    </w:p>
    <w:p>
      <w:pPr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Archivo: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papers\2002_Zablotsky_eficiencia_mercado_argentino.pdf</w:t>
      </w:r>
      <w:r>
        <w:rPr>
          <w:color w:val="5C6B7A"/>
          <w:sz w:val="19"/>
          <w:szCs w:val="19"/>
        </w:rPr>
        <w:t xml:space="preserve">  ·  español</w:t>
      </w:r>
    </w:p>
    <w:p>
      <w:pPr>
        <w:keepNext/>
        <w:keepLines/>
        <w:spacing w:after="80" w:before="200" w:line="276"/>
      </w:pPr>
      <w:r>
        <w:rPr>
          <w:b/>
          <w:bCs/>
          <w:color w:val="40798C"/>
        </w:rPr>
        <w:t xml:space="preserve">[3] </w:t>
      </w:r>
      <w:r>
        <w:rPr>
          <w:b/>
          <w:bCs/>
          <w:sz w:val="20"/>
          <w:szCs w:val="20"/>
        </w:rPr>
        <w:t xml:space="preserve">Worthington, A. y Higgs, H. (2003). An empirical note on the random walk behaviour and market efficiency of Latin American stock markets. Empirical Economics Letters, 2(5), 183–197.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De qué trata: </w:t>
      </w:r>
      <w:r>
        <w:rPr>
          <w:sz w:val="19"/>
          <w:szCs w:val="19"/>
        </w:rPr>
        <w:t xml:space="preserve">Aplica ADF, Phillips-Perron, KPSS y pruebas de razón de varianza a los retornos diarios de siete mercados latinoamericanos, Argentina incluida, y rechaza el paseo aleatorio en todos.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Relación con este análisis: </w:t>
      </w:r>
      <w:r>
        <w:rPr>
          <w:sz w:val="19"/>
          <w:szCs w:val="19"/>
        </w:rPr>
        <w:t xml:space="preserve">Aplica el mismo test al mercado argentino. Aclara además un límite: que el precio tenga raíz unitaria (lo que confirmamos) no alcanza para hablar de eficiencia, porque los retornos pueden tener autocorrelación.</w:t>
      </w:r>
    </w:p>
    <w:p>
      <w:pPr>
        <w:keepLines/>
        <w:spacing w:after="60" w:line="276"/>
        <w:ind w:left="360"/>
      </w:pPr>
      <w:r>
        <w:rPr>
          <w:b/>
          <w:bCs/>
          <w:color w:val="C1272D"/>
          <w:sz w:val="19"/>
          <w:szCs w:val="19"/>
        </w:rPr>
        <w:t xml:space="preserve">No descargado: </w:t>
      </w:r>
      <w:r>
        <w:rPr>
          <w:sz w:val="19"/>
          <w:szCs w:val="19"/>
        </w:rPr>
        <w:t xml:space="preserve">el repositorio no ofrece el PDF de forma pública. </w:t>
      </w:r>
      <w:r>
        <w:rPr>
          <w:color w:val="40798C"/>
          <w:sz w:val="18"/>
          <w:szCs w:val="18"/>
        </w:rPr>
        <w:t xml:space="preserve">https://ro.uow.edu.au/commpapers/298</w:t>
      </w:r>
      <w:r>
        <w:rPr>
          <w:color w:val="5C6B7A"/>
          <w:sz w:val="19"/>
          <w:szCs w:val="19"/>
        </w:rPr>
        <w:t xml:space="preserve">  ·  inglés</w:t>
      </w:r>
    </w:p>
    <w:p>
      <w:pPr>
        <w:keepNext/>
        <w:keepLines/>
        <w:spacing w:after="80" w:before="200" w:line="276"/>
      </w:pPr>
      <w:r>
        <w:rPr>
          <w:b/>
          <w:bCs/>
          <w:color w:val="40798C"/>
        </w:rPr>
        <w:t xml:space="preserve">[4] </w:t>
      </w:r>
      <w:r>
        <w:rPr>
          <w:b/>
          <w:bCs/>
          <w:sz w:val="20"/>
          <w:szCs w:val="20"/>
        </w:rPr>
        <w:t xml:space="preserve">Medina Pérez, A. (2013). Comprobación de la existencia de la caminata aleatoria en los principales mercados de valores latinoamericanos. Trabajo de grado, Universidad Industrial de Santander (Colombia).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De qué trata: </w:t>
      </w:r>
      <w:r>
        <w:rPr>
          <w:sz w:val="19"/>
          <w:szCs w:val="19"/>
        </w:rPr>
        <w:t xml:space="preserve">Aplica el ADF y otras pruebas de paseo aleatorio al índice principal y a las acciones más grandes de Brasil, Chile, Colombia, México y Perú (2002–2012), en el período total y en cinco subperíodos de dos años. Rechaza el paseo aleatorio en todos los mercados, y encuentra que los índices lo rechazan más que las acciones individuales ("micro-eficiente pero macro-ineficiente"). No incluye a Argentina.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Relación con este análisis: </w:t>
      </w:r>
      <w:r>
        <w:rPr>
          <w:sz w:val="19"/>
          <w:szCs w:val="19"/>
        </w:rPr>
        <w:t xml:space="preserve">Es el antecedente regional más parecido al diseño de este paso: ADF sobre acciones individuales, no solo sobre el índice. Además muestra que el resultado cambia entre subperíodos, lo que respalda correr el test sobre la ventana exacta del análisis final.</w:t>
      </w:r>
    </w:p>
    <w:p>
      <w:pPr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Archivo: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papers\2013_Medina_caminata_aleatoria_Latinoamerica_UIS.pdf</w:t>
      </w:r>
      <w:r>
        <w:rPr>
          <w:color w:val="5C6B7A"/>
          <w:sz w:val="19"/>
          <w:szCs w:val="19"/>
        </w:rPr>
        <w:t xml:space="preserve">  ·  español</w:t>
      </w:r>
    </w:p>
    <w:p>
      <w:pPr>
        <w:keepNext/>
        <w:keepLines/>
        <w:spacing w:after="80" w:before="200" w:line="276"/>
      </w:pPr>
      <w:r>
        <w:rPr>
          <w:b/>
          <w:bCs/>
          <w:color w:val="40798C"/>
        </w:rPr>
        <w:t xml:space="preserve">[5] </w:t>
      </w:r>
      <w:r>
        <w:rPr>
          <w:b/>
          <w:bCs/>
          <w:sz w:val="20"/>
          <w:szCs w:val="20"/>
        </w:rPr>
        <w:t xml:space="preserve">Jain, D., Patel, M., Narsaria, A. y Malik, S. (2020). A Study on the Efficiency of the Indian Stock Market. arXiv:2012.01160.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De qué trata: </w:t>
      </w:r>
      <w:r>
        <w:rPr>
          <w:sz w:val="19"/>
          <w:szCs w:val="19"/>
        </w:rPr>
        <w:t xml:space="preserve">Usa el ADF para verificar la estacionariedad de los índices Sensex y Nifty antes de modelarlos con ARMA y GARCH.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Relación con este análisis: </w:t>
      </w:r>
      <w:r>
        <w:rPr>
          <w:sz w:val="19"/>
          <w:szCs w:val="19"/>
        </w:rPr>
        <w:t xml:space="preserve">Mismo uso del ADF que el nuestro: como paso previo obligatorio para decidir con qué serie se puede modelar.</w:t>
      </w:r>
    </w:p>
    <w:p>
      <w:pPr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Archivo: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papers\2020_Efficiency_Indian_stock_market.pdf</w:t>
      </w:r>
      <w:r>
        <w:rPr>
          <w:color w:val="5C6B7A"/>
          <w:sz w:val="19"/>
          <w:szCs w:val="19"/>
        </w:rPr>
        <w:t xml:space="preserve">  ·  inglés</w:t>
      </w:r>
    </w:p>
    <w:p>
      <w:pPr>
        <w:keepNext/>
        <w:keepLines/>
        <w:spacing w:after="80" w:before="200" w:line="276"/>
      </w:pPr>
      <w:r>
        <w:rPr>
          <w:b/>
          <w:bCs/>
          <w:color w:val="40798C"/>
        </w:rPr>
        <w:t xml:space="preserve">[6] </w:t>
      </w:r>
      <w:r>
        <w:rPr>
          <w:b/>
          <w:bCs/>
          <w:sz w:val="20"/>
          <w:szCs w:val="20"/>
        </w:rPr>
        <w:t xml:space="preserve">Malafeyev, O., Awasthi, A. y Kambekar, K. S. (2017). Random walks and market efficiency in Chinese and Indian equity markets. arXiv:1709.04059.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De qué trata: </w:t>
      </w:r>
      <w:r>
        <w:rPr>
          <w:sz w:val="19"/>
          <w:szCs w:val="19"/>
        </w:rPr>
        <w:t xml:space="preserve">Testea si los mercados de China e India siguen un paseo aleatorio, con atención al efecto de la crisis de 2008.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Relación con este análisis: </w:t>
      </w:r>
      <w:r>
        <w:rPr>
          <w:sz w:val="19"/>
          <w:szCs w:val="19"/>
        </w:rPr>
        <w:t xml:space="preserve">Antecedente en mercados emergentes del mismo tipo de prueba sobre precios y retornos.</w:t>
      </w:r>
    </w:p>
    <w:p>
      <w:pPr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Archivo: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papers\2017_Random_walks_China_India.pdf</w:t>
      </w:r>
      <w:r>
        <w:rPr>
          <w:color w:val="5C6B7A"/>
          <w:sz w:val="19"/>
          <w:szCs w:val="19"/>
        </w:rPr>
        <w:t xml:space="preserve">  ·  inglés</w:t>
      </w:r>
    </w:p>
    <w:p>
      <w:pPr>
        <w:keepNext/>
        <w:keepLines/>
        <w:spacing w:after="80" w:before="200" w:line="276"/>
      </w:pPr>
      <w:r>
        <w:rPr>
          <w:b/>
          <w:bCs/>
          <w:color w:val="40798C"/>
        </w:rPr>
        <w:t xml:space="preserve">[7] </w:t>
      </w:r>
      <w:r>
        <w:rPr>
          <w:b/>
          <w:bCs/>
          <w:sz w:val="20"/>
          <w:szCs w:val="20"/>
        </w:rPr>
        <w:t xml:space="preserve">Kulikova, M. V., Taylor, D. R. y Kulikov, G. Yu. (2024). Evolving efficiency of the BRICS markets. Economic Systems, 48(1), 101166. arXiv:2403.05233.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De qué trata: </w:t>
      </w:r>
      <w:r>
        <w:rPr>
          <w:sz w:val="19"/>
          <w:szCs w:val="19"/>
        </w:rPr>
        <w:t xml:space="preserve">Mide la eficiencia de los mercados BRICS con una ventana móvil y muestra que cambia a lo largo del tiempo.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Relación con este análisis: </w:t>
      </w:r>
      <w:r>
        <w:rPr>
          <w:sz w:val="19"/>
          <w:szCs w:val="19"/>
        </w:rPr>
        <w:t xml:space="preserve">Si las propiedades de las series cambian con el período, el resultado del ADF depende de la ventana elegida — por eso el test se corre sobre la ventana exacta del análisis final y no sobre otra.</w:t>
      </w:r>
    </w:p>
    <w:p>
      <w:pPr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Archivo: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papers\2024_Evolving_efficiency_BRICS.pdf</w:t>
      </w:r>
      <w:r>
        <w:rPr>
          <w:color w:val="5C6B7A"/>
          <w:sz w:val="19"/>
          <w:szCs w:val="19"/>
        </w:rPr>
        <w:t xml:space="preserve">  ·  inglés</w:t>
      </w:r>
    </w:p>
    <w:p>
      <w:pPr>
        <w:keepNext/>
        <w:keepLines/>
        <w:spacing w:after="80" w:before="200" w:line="276"/>
      </w:pPr>
      <w:r>
        <w:rPr>
          <w:b/>
          <w:bCs/>
          <w:color w:val="40798C"/>
        </w:rPr>
        <w:t xml:space="preserve">[8] </w:t>
      </w:r>
      <w:r>
        <w:rPr>
          <w:b/>
          <w:bCs/>
          <w:sz w:val="20"/>
          <w:szCs w:val="20"/>
        </w:rPr>
        <w:t xml:space="preserve">Rocha Filho, T. M. y Rocha, P. M. M. (2019). Inefficiency of the Brazilian Stock Market: the IBOVESPA Future Contracts. arXiv:1904.09214.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De qué trata: </w:t>
      </w:r>
      <w:r>
        <w:rPr>
          <w:sz w:val="19"/>
          <w:szCs w:val="19"/>
        </w:rPr>
        <w:t xml:space="preserve">Encuentra indicios de ineficiencia en la bolsa brasileña por su fuerte dependencia de largo plazo con índices extranjeros.</w:t>
      </w:r>
    </w:p>
    <w:p>
      <w:pPr>
        <w:keepNext/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Relación con este análisis: </w:t>
      </w:r>
      <w:r>
        <w:rPr>
          <w:sz w:val="19"/>
          <w:szCs w:val="19"/>
        </w:rPr>
        <w:t xml:space="preserve">Antecedente en el mercado latinoamericano vecino sobre las propiedades estadísticas de los retornos.</w:t>
      </w:r>
    </w:p>
    <w:p>
      <w:pPr>
        <w:keepLines/>
        <w:spacing w:after="60" w:line="276"/>
        <w:ind w:left="360"/>
      </w:pPr>
      <w:r>
        <w:rPr>
          <w:b/>
          <w:bCs/>
          <w:color w:val="1C3A5C"/>
          <w:sz w:val="19"/>
          <w:szCs w:val="19"/>
        </w:rPr>
        <w:t xml:space="preserve">Archivo: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papers\2019_Inefficiency_Brazilian_market.pdf</w:t>
      </w:r>
      <w:r>
        <w:rPr>
          <w:color w:val="5C6B7A"/>
          <w:sz w:val="19"/>
          <w:szCs w:val="19"/>
        </w:rPr>
        <w:t xml:space="preserve">  ·  inglés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B7A"/>
        <w:sz w:val="16"/>
        <w:szCs w:val="16"/>
      </w:rPr>
      <w:t xml:space="preserve">Nicolás Diddi · Página </w:t>
    </w:r>
    <w:r>
      <w:rPr>
        <w:color w:val="5C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C6B7A"/>
        <w:sz w:val="16"/>
        <w:szCs w:val="16"/>
      </w:rPr>
      <w:t xml:space="preserve"> de </w:t>
    </w:r>
    <w:r>
      <w:rPr>
        <w:color w:val="5C6B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C6B7A"/>
        <w:sz w:val="16"/>
        <w:szCs w:val="16"/>
      </w:rPr>
      <w:t xml:space="preserve">Test ADF — tesis version 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0798C" w:sz="6" w:space="4"/>
      </w:pBdr>
      <w:spacing w:after="160" w:before="360"/>
    </w:pPr>
    <w:rPr>
      <w:rFonts w:ascii="Cambria" w:cs="Cambria" w:eastAsia="Cambria" w:hAnsi="Cambria"/>
      <w:b/>
      <w:bCs/>
      <w:color w:val="12263A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26305316e805d1a82befc69d99c271c5bcd30d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2026-10-17T23:42:49.163Z</dcterms:created>
  <dcterms:modified xsi:type="dcterms:W3CDTF">2026-10-17T23:42:49.164Z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