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Volatilidad por acción</w:t>
      </w:r>
    </w:p>
    <w:p>
      <w:pPr>
        <w:spacing w:after="200"/>
      </w:pPr>
      <w:r>
        <w:rPr>
          <w:rFonts w:ascii="Cambria" w:cs="Cambria" w:eastAsia="Cambria" w:hAnsi="Cambria"/>
          <w:i/>
          <w:iCs/>
          <w:color w:val="1C3A5C"/>
          <w:sz w:val="24"/>
          <w:szCs w:val="24"/>
        </w:rPr>
        <w:t xml:space="preserve">El mismo cálculo del VIX, pero acción por acción</w:t>
      </w:r>
    </w:p>
    <w:p>
      <w:pPr>
        <w:pBdr>
          <w:bottom w:val="single" w:color="D9E0E7" w:sz="4" w:space="8"/>
        </w:pBdr>
        <w:spacing w:after="200"/>
      </w:pPr>
      <w:r>
        <w:rPr>
          <w:color w:val="5C6B7A"/>
          <w:sz w:val="19"/>
          <w:szCs w:val="19"/>
        </w:rPr>
        <w:t xml:space="preserve">Tesina — Impacto de shocks informativos en acciones argentinas (BYMA / S&amp;P Merval). Documento exclusivamente del lado bursátil. No toca noticias, sentimiento ni gazetteer.</w:t>
      </w:r>
    </w:p>
    <w:p>
      <w:pPr>
        <w:spacing w:after="160" w:line="300"/>
      </w:pPr>
      <w:r>
        <w:rPr>
          <w:b/>
          <w:bCs/>
        </w:rPr>
        <w:t xml:space="preserve">Ubicación de todo lo generado. </w:t>
      </w:r>
      <w:r>
        <w:rPr>
          <w:rFonts w:ascii="Consolas" w:cs="Consolas" w:eastAsia="Consolas" w:hAnsi="Consolas"/>
          <w:color w:val="1C3A5C"/>
          <w:sz w:val="19"/>
          <w:szCs w:val="19"/>
        </w:rPr>
        <w:t xml:space="preserve">D:\2.Tesina\tesis version 3.0\Lado Bursatil\05_volatilidad_ranking\</w:t>
      </w:r>
      <w:r>
        <w:t xml:space="preserve">. Input: el panel de 47 acciones de </w:t>
      </w:r>
      <w:r>
        <w:rPr>
          <w:rFonts w:ascii="Consolas" w:cs="Consolas" w:eastAsia="Consolas" w:hAnsi="Consolas"/>
          <w:color w:val="1C3A5C"/>
          <w:sz w:val="19"/>
          <w:szCs w:val="19"/>
        </w:rPr>
        <w:t xml:space="preserve">01_scraping_acciones</w:t>
      </w:r>
      <w:r>
        <w:t xml:space="preserve"> y la ventana de </w:t>
      </w:r>
      <w:r>
        <w:rPr>
          <w:rFonts w:ascii="Consolas" w:cs="Consolas" w:eastAsia="Consolas" w:hAnsi="Consolas"/>
          <w:color w:val="1C3A5C"/>
          <w:sz w:val="19"/>
          <w:szCs w:val="19"/>
        </w:rPr>
        <w:t xml:space="preserve">03_vix_argentino</w:t>
      </w:r>
      <w:r>
        <w:t xml:space="preserve">.</w:t>
      </w:r>
    </w:p>
    <w:p>
      <w:pPr>
        <w:pageBreakBefore/>
      </w:pPr>
    </w:p>
    <w:p>
      <w:pPr>
        <w:pStyle w:val="Heading1"/>
        <w:keepNext/>
        <w:spacing w:after="160" w:before="360"/>
      </w:pPr>
      <w:r>
        <w:t xml:space="preserve">1. Qué mide y cómo se calcula</w:t>
      </w:r>
    </w:p>
    <w:p>
      <w:pPr>
        <w:spacing w:after="160" w:line="300"/>
      </w:pPr>
      <w:r>
        <w:t xml:space="preserve">Es el mismo cálculo del VIX argentino, pero por acción en vez de por el índice general: desvío estándar rodante de 20 días de los retornos diarios, anualizado (× raíz(252) × 100). Muestra qué tan nerviosa estuvo cada acción en particular, día por día, y permite compararla contra el nerviosismo del mercado en su conjunto.</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Ventana — la del corpus de noticias, tomada de vix_arg.csv</w:t>
            </w:r>
          </w:p>
          <w:p>
            <w:pPr>
              <w:spacing w:after="60" w:line="276"/>
            </w:pPr>
            <w:r>
              <w:rPr>
                <w:b/>
                <w:bCs/>
              </w:rPr>
              <w:t xml:space="preserve">2025-01-02 → 2026-04-30, 323 días</w:t>
            </w:r>
            <w:r>
              <w:t xml:space="preserve"> — exactamente los mismos días que el VIX argentino y el ADF, leídos de </w:t>
            </w:r>
            <w:r>
              <w:rPr>
                <w:rFonts w:ascii="Consolas" w:cs="Consolas" w:eastAsia="Consolas" w:hAnsi="Consolas"/>
                <w:color w:val="1C3A5C"/>
                <w:sz w:val="19"/>
                <w:szCs w:val="19"/>
              </w:rPr>
              <w:t xml:space="preserve">vix_arg.csv</w:t>
            </w:r>
            <w:r>
              <w:t xml:space="preserve"> (no hardcodeados acá). Tanto el retorno como el desvío rodante de 20 días se calculan sobre la serie completa de precios y recién después se recortan a la ventana — igual que el VIX, que usa los días previos como "calentamiento". Así el primer día de la ventana ya tiene su volatilidad, sin perder los primeros 19 días.</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Anualización: por qué √252 y no las ruedas reales de BYMA</w:t>
            </w:r>
          </w:p>
          <w:p>
            <w:pPr>
              <w:spacing w:after="60" w:line="276"/>
            </w:pPr>
            <w:r>
              <w:t xml:space="preserve">Para expresar la volatilidad de cada acción como porcentaje anual, el desvío diario se multiplica por √252. El 252 es la cantidad de ruedas por año que se usa como convención internacional. BYMA tiene menos, por sus feriados: en esta ventana hubo 323 ruedas en 1,32 años, unas 244 por año. Con ese número, todos los valores serían un 1,5% más bajos (el promedio pasaría de 55,1% a 54,3%). Como el ajuste es el mismo para todos los días y todas las acciones, no cambia ninguna comparación ni ninguna conclusión; se mantiene la convención para que los valores sean comparables con otros trabajos.</w:t>
            </w:r>
          </w:p>
        </w:tc>
      </w:tr>
    </w:tbl>
    <w:p>
      <w:pPr>
        <w:pStyle w:val="Heading1"/>
        <w:keepNext/>
        <w:spacing w:after="160" w:before="360"/>
      </w:pPr>
      <w:r>
        <w:t xml:space="preserve">2. Ranking — de más calma a más nerviosa</w:t>
      </w:r>
    </w:p>
    <w:p>
      <w:pPr>
        <w:spacing w:after="160" w:line="300"/>
      </w:pPr>
      <w:r>
        <w:t xml:space="preserve">Volatilidad promedio del panel de 47: 55,1%. VIX de mercado en los mismos 323 días: 44,0% — el panel de acciones individuales es, en promedio, bastante más nervioso que el índice (esperable: el índice diversifica, cada acción sola no).</w:t>
      </w:r>
    </w:p>
    <w:p>
      <w:pPr>
        <w:spacing w:after="160"/>
        <w:jc w:val="center"/>
      </w:pPr>
      <w:r>
        <w:drawing>
          <wp:inline distT="0" distB="0" distL="0" distR="0">
            <wp:extent cx="44767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381625"/>
                    </a:xfrm>
                    <a:prstGeom prst="rect">
                      <a:avLst/>
                    </a:prstGeom>
                  </pic:spPr>
                </pic:pic>
              </a:graphicData>
            </a:graphic>
          </wp:inline>
        </w:drawing>
      </w:r>
    </w:p>
    <w:p>
      <w:pPr>
        <w:keepNext/>
        <w:spacing w:after="160" w:line="300"/>
      </w:pPr>
      <w:r>
        <w:t xml:space="preserve">Las 5 más calmas: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542"/>
        <w:gridCol w:w="3855"/>
        <w:gridCol w:w="2120"/>
        <w:gridCol w:w="2120"/>
      </w:tblGrid>
      <w:tr>
        <w:trPr>
          <w:tblHeader/>
        </w:trPr>
        <w:tc>
          <w:tcPr>
            <w:tcW w:type="pct" w:w="800"/>
            <w:shd w:fill="1C3A5C" w:val="clear"/>
            <w:tcMar>
              <w:top w:type="dxa" w:w="80"/>
              <w:left w:type="dxa" w:w="120"/>
              <w:bottom w:type="dxa" w:w="80"/>
              <w:right w:type="dxa" w:w="120"/>
            </w:tcMar>
          </w:tcPr>
          <w:p>
            <w:r>
              <w:rPr>
                <w:b/>
                <w:bCs/>
                <w:color w:val="FFFFFF"/>
                <w:sz w:val="19"/>
                <w:szCs w:val="19"/>
              </w:rPr>
              <w:t xml:space="preserve">Ticker</w:t>
            </w:r>
          </w:p>
        </w:tc>
        <w:tc>
          <w:tcPr>
            <w:tcW w:type="pct" w:w="2000"/>
            <w:shd w:fill="1C3A5C" w:val="clear"/>
            <w:tcMar>
              <w:top w:type="dxa" w:w="80"/>
              <w:left w:type="dxa" w:w="120"/>
              <w:bottom w:type="dxa" w:w="80"/>
              <w:right w:type="dxa" w:w="120"/>
            </w:tcMar>
          </w:tcPr>
          <w:p>
            <w:r>
              <w:rPr>
                <w:b/>
                <w:bCs/>
                <w:color w:val="FFFFFF"/>
                <w:sz w:val="19"/>
                <w:szCs w:val="19"/>
              </w:rPr>
              <w:t xml:space="preserve">Empresa</w:t>
            </w:r>
          </w:p>
        </w:tc>
        <w:tc>
          <w:tcPr>
            <w:tcW w:type="pct" w:w="1100"/>
            <w:shd w:fill="1C3A5C" w:val="clear"/>
            <w:tcMar>
              <w:top w:type="dxa" w:w="80"/>
              <w:left w:type="dxa" w:w="120"/>
              <w:bottom w:type="dxa" w:w="80"/>
              <w:right w:type="dxa" w:w="120"/>
            </w:tcMar>
          </w:tcPr>
          <w:p>
            <w:r>
              <w:rPr>
                <w:b/>
                <w:bCs/>
                <w:color w:val="FFFFFF"/>
                <w:sz w:val="19"/>
                <w:szCs w:val="19"/>
              </w:rPr>
              <w:t xml:space="preserve">Sector</w:t>
            </w:r>
          </w:p>
        </w:tc>
        <w:tc>
          <w:tcPr>
            <w:tcW w:type="pct" w:w="1100"/>
            <w:shd w:fill="1C3A5C" w:val="clear"/>
            <w:tcMar>
              <w:top w:type="dxa" w:w="80"/>
              <w:left w:type="dxa" w:w="120"/>
              <w:bottom w:type="dxa" w:w="80"/>
              <w:right w:type="dxa" w:w="120"/>
            </w:tcMar>
          </w:tcPr>
          <w:p>
            <w:r>
              <w:rPr>
                <w:b/>
                <w:bCs/>
                <w:color w:val="FFFFFF"/>
                <w:sz w:val="19"/>
                <w:szCs w:val="19"/>
              </w:rPr>
              <w:t xml:space="preserve">Volatilidad prom.</w:t>
            </w:r>
          </w:p>
        </w:tc>
      </w:tr>
      <w:tr>
        <w:trPr>
          <w:cantSplit/>
        </w:trPr>
        <w:tc>
          <w:tcPr>
            <w:tcW w:type="pct" w:w="800"/>
            <w:shd w:fill="FFFFFF" w:val="clear"/>
            <w:tcMar>
              <w:top w:type="dxa" w:w="70"/>
              <w:left w:type="dxa" w:w="120"/>
              <w:bottom w:type="dxa" w:w="70"/>
              <w:right w:type="dxa" w:w="120"/>
            </w:tcMar>
          </w:tcPr>
          <w:p>
            <w:r>
              <w:rPr>
                <w:sz w:val="19"/>
                <w:szCs w:val="19"/>
              </w:rPr>
              <w:t xml:space="preserve">MIRG.BA</w:t>
            </w:r>
          </w:p>
        </w:tc>
        <w:tc>
          <w:tcPr>
            <w:tcW w:type="pct" w:w="2000"/>
            <w:shd w:fill="FFFFFF" w:val="clear"/>
            <w:tcMar>
              <w:top w:type="dxa" w:w="70"/>
              <w:left w:type="dxa" w:w="120"/>
              <w:bottom w:type="dxa" w:w="70"/>
              <w:right w:type="dxa" w:w="120"/>
            </w:tcMar>
          </w:tcPr>
          <w:p>
            <w:r>
              <w:rPr>
                <w:sz w:val="19"/>
                <w:szCs w:val="19"/>
              </w:rPr>
              <w:t xml:space="preserve">Mirgor</w:t>
            </w:r>
          </w:p>
        </w:tc>
        <w:tc>
          <w:tcPr>
            <w:tcW w:type="pct" w:w="1100"/>
            <w:shd w:fill="FFFFFF" w:val="clear"/>
            <w:tcMar>
              <w:top w:type="dxa" w:w="70"/>
              <w:left w:type="dxa" w:w="120"/>
              <w:bottom w:type="dxa" w:w="70"/>
              <w:right w:type="dxa" w:w="120"/>
            </w:tcMar>
          </w:tcPr>
          <w:p>
            <w:r>
              <w:rPr>
                <w:sz w:val="19"/>
                <w:szCs w:val="19"/>
              </w:rPr>
              <w:t xml:space="preserve">Consumo</w:t>
            </w:r>
          </w:p>
        </w:tc>
        <w:tc>
          <w:tcPr>
            <w:tcW w:type="pct" w:w="1100"/>
            <w:shd w:fill="FFFFFF" w:val="clear"/>
            <w:tcMar>
              <w:top w:type="dxa" w:w="70"/>
              <w:left w:type="dxa" w:w="120"/>
              <w:bottom w:type="dxa" w:w="70"/>
              <w:right w:type="dxa" w:w="120"/>
            </w:tcMar>
          </w:tcPr>
          <w:p>
            <w:r>
              <w:rPr>
                <w:sz w:val="19"/>
                <w:szCs w:val="19"/>
              </w:rPr>
              <w:t xml:space="preserve">36,2%</w:t>
            </w:r>
          </w:p>
        </w:tc>
      </w:tr>
      <w:tr>
        <w:trPr>
          <w:cantSplit/>
        </w:trPr>
        <w:tc>
          <w:tcPr>
            <w:tcW w:type="pct" w:w="800"/>
            <w:shd w:fill="FAFCFD" w:val="clear"/>
            <w:tcMar>
              <w:top w:type="dxa" w:w="70"/>
              <w:left w:type="dxa" w:w="120"/>
              <w:bottom w:type="dxa" w:w="70"/>
              <w:right w:type="dxa" w:w="120"/>
            </w:tcMar>
          </w:tcPr>
          <w:p>
            <w:r>
              <w:rPr>
                <w:sz w:val="19"/>
                <w:szCs w:val="19"/>
              </w:rPr>
              <w:t xml:space="preserve">CTIO.BA</w:t>
            </w:r>
          </w:p>
        </w:tc>
        <w:tc>
          <w:tcPr>
            <w:tcW w:type="pct" w:w="2000"/>
            <w:shd w:fill="FAFCFD" w:val="clear"/>
            <w:tcMar>
              <w:top w:type="dxa" w:w="70"/>
              <w:left w:type="dxa" w:w="120"/>
              <w:bottom w:type="dxa" w:w="70"/>
              <w:right w:type="dxa" w:w="120"/>
            </w:tcMar>
          </w:tcPr>
          <w:p>
            <w:r>
              <w:rPr>
                <w:sz w:val="19"/>
                <w:szCs w:val="19"/>
              </w:rPr>
              <w:t xml:space="preserve">Consultatio</w:t>
            </w:r>
          </w:p>
        </w:tc>
        <w:tc>
          <w:tcPr>
            <w:tcW w:type="pct" w:w="1100"/>
            <w:shd w:fill="FAFCFD" w:val="clear"/>
            <w:tcMar>
              <w:top w:type="dxa" w:w="70"/>
              <w:left w:type="dxa" w:w="120"/>
              <w:bottom w:type="dxa" w:w="70"/>
              <w:right w:type="dxa" w:w="120"/>
            </w:tcMar>
          </w:tcPr>
          <w:p>
            <w:r>
              <w:rPr>
                <w:sz w:val="19"/>
                <w:szCs w:val="19"/>
              </w:rPr>
              <w:t xml:space="preserve">Real Estate</w:t>
            </w:r>
          </w:p>
        </w:tc>
        <w:tc>
          <w:tcPr>
            <w:tcW w:type="pct" w:w="1100"/>
            <w:shd w:fill="FAFCFD" w:val="clear"/>
            <w:tcMar>
              <w:top w:type="dxa" w:w="70"/>
              <w:left w:type="dxa" w:w="120"/>
              <w:bottom w:type="dxa" w:w="70"/>
              <w:right w:type="dxa" w:w="120"/>
            </w:tcMar>
          </w:tcPr>
          <w:p>
            <w:r>
              <w:rPr>
                <w:sz w:val="19"/>
                <w:szCs w:val="19"/>
              </w:rPr>
              <w:t xml:space="preserve">37,5%</w:t>
            </w:r>
          </w:p>
        </w:tc>
      </w:tr>
      <w:tr>
        <w:trPr>
          <w:cantSplit/>
        </w:trPr>
        <w:tc>
          <w:tcPr>
            <w:tcW w:type="pct" w:w="800"/>
            <w:shd w:fill="FFFFFF" w:val="clear"/>
            <w:tcMar>
              <w:top w:type="dxa" w:w="70"/>
              <w:left w:type="dxa" w:w="120"/>
              <w:bottom w:type="dxa" w:w="70"/>
              <w:right w:type="dxa" w:w="120"/>
            </w:tcMar>
          </w:tcPr>
          <w:p>
            <w:r>
              <w:rPr>
                <w:sz w:val="19"/>
                <w:szCs w:val="19"/>
              </w:rPr>
              <w:t xml:space="preserve">HAVA.BA</w:t>
            </w:r>
          </w:p>
        </w:tc>
        <w:tc>
          <w:tcPr>
            <w:tcW w:type="pct" w:w="2000"/>
            <w:shd w:fill="FFFFFF" w:val="clear"/>
            <w:tcMar>
              <w:top w:type="dxa" w:w="70"/>
              <w:left w:type="dxa" w:w="120"/>
              <w:bottom w:type="dxa" w:w="70"/>
              <w:right w:type="dxa" w:w="120"/>
            </w:tcMar>
          </w:tcPr>
          <w:p>
            <w:r>
              <w:rPr>
                <w:sz w:val="19"/>
                <w:szCs w:val="19"/>
              </w:rPr>
              <w:t xml:space="preserve">Havanna Holding</w:t>
            </w:r>
          </w:p>
        </w:tc>
        <w:tc>
          <w:tcPr>
            <w:tcW w:type="pct" w:w="1100"/>
            <w:shd w:fill="FFFFFF" w:val="clear"/>
            <w:tcMar>
              <w:top w:type="dxa" w:w="70"/>
              <w:left w:type="dxa" w:w="120"/>
              <w:bottom w:type="dxa" w:w="70"/>
              <w:right w:type="dxa" w:w="120"/>
            </w:tcMar>
          </w:tcPr>
          <w:p>
            <w:r>
              <w:rPr>
                <w:sz w:val="19"/>
                <w:szCs w:val="19"/>
              </w:rPr>
              <w:t xml:space="preserve">Consumo</w:t>
            </w:r>
          </w:p>
        </w:tc>
        <w:tc>
          <w:tcPr>
            <w:tcW w:type="pct" w:w="1100"/>
            <w:shd w:fill="FFFFFF" w:val="clear"/>
            <w:tcMar>
              <w:top w:type="dxa" w:w="70"/>
              <w:left w:type="dxa" w:w="120"/>
              <w:bottom w:type="dxa" w:w="70"/>
              <w:right w:type="dxa" w:w="120"/>
            </w:tcMar>
          </w:tcPr>
          <w:p>
            <w:r>
              <w:rPr>
                <w:sz w:val="19"/>
                <w:szCs w:val="19"/>
              </w:rPr>
              <w:t xml:space="preserve">38,7%</w:t>
            </w:r>
          </w:p>
        </w:tc>
      </w:tr>
      <w:tr>
        <w:trPr>
          <w:cantSplit/>
        </w:trPr>
        <w:tc>
          <w:tcPr>
            <w:tcW w:type="pct" w:w="800"/>
            <w:shd w:fill="FAFCFD" w:val="clear"/>
            <w:tcMar>
              <w:top w:type="dxa" w:w="70"/>
              <w:left w:type="dxa" w:w="120"/>
              <w:bottom w:type="dxa" w:w="70"/>
              <w:right w:type="dxa" w:w="120"/>
            </w:tcMar>
          </w:tcPr>
          <w:p>
            <w:r>
              <w:rPr>
                <w:sz w:val="19"/>
                <w:szCs w:val="19"/>
              </w:rPr>
              <w:t xml:space="preserve">CVH.BA</w:t>
            </w:r>
          </w:p>
        </w:tc>
        <w:tc>
          <w:tcPr>
            <w:tcW w:type="pct" w:w="2000"/>
            <w:shd w:fill="FAFCFD" w:val="clear"/>
            <w:tcMar>
              <w:top w:type="dxa" w:w="70"/>
              <w:left w:type="dxa" w:w="120"/>
              <w:bottom w:type="dxa" w:w="70"/>
              <w:right w:type="dxa" w:w="120"/>
            </w:tcMar>
          </w:tcPr>
          <w:p>
            <w:r>
              <w:rPr>
                <w:sz w:val="19"/>
                <w:szCs w:val="19"/>
              </w:rPr>
              <w:t xml:space="preserve">Cablevision Holding</w:t>
            </w:r>
          </w:p>
        </w:tc>
        <w:tc>
          <w:tcPr>
            <w:tcW w:type="pct" w:w="1100"/>
            <w:shd w:fill="FAFCFD" w:val="clear"/>
            <w:tcMar>
              <w:top w:type="dxa" w:w="70"/>
              <w:left w:type="dxa" w:w="120"/>
              <w:bottom w:type="dxa" w:w="70"/>
              <w:right w:type="dxa" w:w="120"/>
            </w:tcMar>
          </w:tcPr>
          <w:p>
            <w:r>
              <w:rPr>
                <w:sz w:val="19"/>
                <w:szCs w:val="19"/>
              </w:rPr>
              <w:t xml:space="preserve">Comunicaciones</w:t>
            </w:r>
          </w:p>
        </w:tc>
        <w:tc>
          <w:tcPr>
            <w:tcW w:type="pct" w:w="1100"/>
            <w:shd w:fill="FAFCFD" w:val="clear"/>
            <w:tcMar>
              <w:top w:type="dxa" w:w="70"/>
              <w:left w:type="dxa" w:w="120"/>
              <w:bottom w:type="dxa" w:w="70"/>
              <w:right w:type="dxa" w:w="120"/>
            </w:tcMar>
          </w:tcPr>
          <w:p>
            <w:r>
              <w:rPr>
                <w:sz w:val="19"/>
                <w:szCs w:val="19"/>
              </w:rPr>
              <w:t xml:space="preserve">39,3%</w:t>
            </w:r>
          </w:p>
        </w:tc>
      </w:tr>
      <w:tr>
        <w:trPr>
          <w:cantSplit/>
        </w:trPr>
        <w:tc>
          <w:tcPr>
            <w:tcW w:type="pct" w:w="800"/>
            <w:shd w:fill="FFFFFF" w:val="clear"/>
            <w:tcMar>
              <w:top w:type="dxa" w:w="70"/>
              <w:left w:type="dxa" w:w="120"/>
              <w:bottom w:type="dxa" w:w="70"/>
              <w:right w:type="dxa" w:w="120"/>
            </w:tcMar>
          </w:tcPr>
          <w:p>
            <w:r>
              <w:rPr>
                <w:sz w:val="19"/>
                <w:szCs w:val="19"/>
              </w:rPr>
              <w:t xml:space="preserve">VALO.BA</w:t>
            </w:r>
          </w:p>
        </w:tc>
        <w:tc>
          <w:tcPr>
            <w:tcW w:type="pct" w:w="2000"/>
            <w:shd w:fill="FFFFFF" w:val="clear"/>
            <w:tcMar>
              <w:top w:type="dxa" w:w="70"/>
              <w:left w:type="dxa" w:w="120"/>
              <w:bottom w:type="dxa" w:w="70"/>
              <w:right w:type="dxa" w:w="120"/>
            </w:tcMar>
          </w:tcPr>
          <w:p>
            <w:r>
              <w:rPr>
                <w:sz w:val="19"/>
                <w:szCs w:val="19"/>
              </w:rPr>
              <w:t xml:space="preserve">Banco de Valores</w:t>
            </w:r>
          </w:p>
        </w:tc>
        <w:tc>
          <w:tcPr>
            <w:tcW w:type="pct" w:w="1100"/>
            <w:shd w:fill="FFFFFF" w:val="clear"/>
            <w:tcMar>
              <w:top w:type="dxa" w:w="70"/>
              <w:left w:type="dxa" w:w="120"/>
              <w:bottom w:type="dxa" w:w="70"/>
              <w:right w:type="dxa" w:w="120"/>
            </w:tcMar>
          </w:tcPr>
          <w:p>
            <w:r>
              <w:rPr>
                <w:sz w:val="19"/>
                <w:szCs w:val="19"/>
              </w:rPr>
              <w:t xml:space="preserve">Financiero</w:t>
            </w:r>
          </w:p>
        </w:tc>
        <w:tc>
          <w:tcPr>
            <w:tcW w:type="pct" w:w="1100"/>
            <w:shd w:fill="FFFFFF" w:val="clear"/>
            <w:tcMar>
              <w:top w:type="dxa" w:w="70"/>
              <w:left w:type="dxa" w:w="120"/>
              <w:bottom w:type="dxa" w:w="70"/>
              <w:right w:type="dxa" w:w="120"/>
            </w:tcMar>
          </w:tcPr>
          <w:p>
            <w:r>
              <w:rPr>
                <w:sz w:val="19"/>
                <w:szCs w:val="19"/>
              </w:rPr>
              <w:t xml:space="preserve">40,2%</w:t>
            </w:r>
          </w:p>
        </w:tc>
      </w:tr>
    </w:tbl>
    <w:p>
      <w:pPr>
        <w:spacing w:after="160" w:line="300"/>
      </w:pPr>
      <w:r>
        <w:t xml:space="preserve"/>
      </w:r>
    </w:p>
    <w:p>
      <w:pPr>
        <w:keepNext/>
        <w:spacing w:after="160" w:line="300"/>
      </w:pPr>
      <w:r>
        <w:t xml:space="preserve">Las 5 más nerviosas: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542"/>
        <w:gridCol w:w="3855"/>
        <w:gridCol w:w="2120"/>
        <w:gridCol w:w="2120"/>
      </w:tblGrid>
      <w:tr>
        <w:trPr>
          <w:tblHeader/>
        </w:trPr>
        <w:tc>
          <w:tcPr>
            <w:tcW w:type="pct" w:w="800"/>
            <w:shd w:fill="1C3A5C" w:val="clear"/>
            <w:tcMar>
              <w:top w:type="dxa" w:w="80"/>
              <w:left w:type="dxa" w:w="120"/>
              <w:bottom w:type="dxa" w:w="80"/>
              <w:right w:type="dxa" w:w="120"/>
            </w:tcMar>
          </w:tcPr>
          <w:p>
            <w:r>
              <w:rPr>
                <w:b/>
                <w:bCs/>
                <w:color w:val="FFFFFF"/>
                <w:sz w:val="19"/>
                <w:szCs w:val="19"/>
              </w:rPr>
              <w:t xml:space="preserve">Ticker</w:t>
            </w:r>
          </w:p>
        </w:tc>
        <w:tc>
          <w:tcPr>
            <w:tcW w:type="pct" w:w="2000"/>
            <w:shd w:fill="1C3A5C" w:val="clear"/>
            <w:tcMar>
              <w:top w:type="dxa" w:w="80"/>
              <w:left w:type="dxa" w:w="120"/>
              <w:bottom w:type="dxa" w:w="80"/>
              <w:right w:type="dxa" w:w="120"/>
            </w:tcMar>
          </w:tcPr>
          <w:p>
            <w:r>
              <w:rPr>
                <w:b/>
                <w:bCs/>
                <w:color w:val="FFFFFF"/>
                <w:sz w:val="19"/>
                <w:szCs w:val="19"/>
              </w:rPr>
              <w:t xml:space="preserve">Empresa</w:t>
            </w:r>
          </w:p>
        </w:tc>
        <w:tc>
          <w:tcPr>
            <w:tcW w:type="pct" w:w="1100"/>
            <w:shd w:fill="1C3A5C" w:val="clear"/>
            <w:tcMar>
              <w:top w:type="dxa" w:w="80"/>
              <w:left w:type="dxa" w:w="120"/>
              <w:bottom w:type="dxa" w:w="80"/>
              <w:right w:type="dxa" w:w="120"/>
            </w:tcMar>
          </w:tcPr>
          <w:p>
            <w:r>
              <w:rPr>
                <w:b/>
                <w:bCs/>
                <w:color w:val="FFFFFF"/>
                <w:sz w:val="19"/>
                <w:szCs w:val="19"/>
              </w:rPr>
              <w:t xml:space="preserve">Sector</w:t>
            </w:r>
          </w:p>
        </w:tc>
        <w:tc>
          <w:tcPr>
            <w:tcW w:type="pct" w:w="1100"/>
            <w:shd w:fill="1C3A5C" w:val="clear"/>
            <w:tcMar>
              <w:top w:type="dxa" w:w="80"/>
              <w:left w:type="dxa" w:w="120"/>
              <w:bottom w:type="dxa" w:w="80"/>
              <w:right w:type="dxa" w:w="120"/>
            </w:tcMar>
          </w:tcPr>
          <w:p>
            <w:r>
              <w:rPr>
                <w:b/>
                <w:bCs/>
                <w:color w:val="FFFFFF"/>
                <w:sz w:val="19"/>
                <w:szCs w:val="19"/>
              </w:rPr>
              <w:t xml:space="preserve">Volatilidad prom.</w:t>
            </w:r>
          </w:p>
        </w:tc>
      </w:tr>
      <w:tr>
        <w:trPr>
          <w:cantSplit/>
        </w:trPr>
        <w:tc>
          <w:tcPr>
            <w:tcW w:type="pct" w:w="800"/>
            <w:shd w:fill="FFFFFF" w:val="clear"/>
            <w:tcMar>
              <w:top w:type="dxa" w:w="70"/>
              <w:left w:type="dxa" w:w="120"/>
              <w:bottom w:type="dxa" w:w="70"/>
              <w:right w:type="dxa" w:w="120"/>
            </w:tcMar>
          </w:tcPr>
          <w:p>
            <w:r>
              <w:rPr>
                <w:sz w:val="19"/>
                <w:szCs w:val="19"/>
              </w:rPr>
              <w:t xml:space="preserve">CELU.BA</w:t>
            </w:r>
          </w:p>
        </w:tc>
        <w:tc>
          <w:tcPr>
            <w:tcW w:type="pct" w:w="2000"/>
            <w:shd w:fill="FFFFFF" w:val="clear"/>
            <w:tcMar>
              <w:top w:type="dxa" w:w="70"/>
              <w:left w:type="dxa" w:w="120"/>
              <w:bottom w:type="dxa" w:w="70"/>
              <w:right w:type="dxa" w:w="120"/>
            </w:tcMar>
          </w:tcPr>
          <w:p>
            <w:r>
              <w:rPr>
                <w:sz w:val="19"/>
                <w:szCs w:val="19"/>
              </w:rPr>
              <w:t xml:space="preserve">Celulosa Argentina</w:t>
            </w:r>
          </w:p>
        </w:tc>
        <w:tc>
          <w:tcPr>
            <w:tcW w:type="pct" w:w="1100"/>
            <w:shd w:fill="FFFFFF" w:val="clear"/>
            <w:tcMar>
              <w:top w:type="dxa" w:w="70"/>
              <w:left w:type="dxa" w:w="120"/>
              <w:bottom w:type="dxa" w:w="70"/>
              <w:right w:type="dxa" w:w="120"/>
            </w:tcMar>
          </w:tcPr>
          <w:p>
            <w:r>
              <w:rPr>
                <w:sz w:val="19"/>
                <w:szCs w:val="19"/>
              </w:rPr>
              <w:t xml:space="preserve">Materiales</w:t>
            </w:r>
          </w:p>
        </w:tc>
        <w:tc>
          <w:tcPr>
            <w:tcW w:type="pct" w:w="1100"/>
            <w:shd w:fill="FFFFFF" w:val="clear"/>
            <w:tcMar>
              <w:top w:type="dxa" w:w="70"/>
              <w:left w:type="dxa" w:w="120"/>
              <w:bottom w:type="dxa" w:w="70"/>
              <w:right w:type="dxa" w:w="120"/>
            </w:tcMar>
          </w:tcPr>
          <w:p>
            <w:r>
              <w:rPr>
                <w:sz w:val="19"/>
                <w:szCs w:val="19"/>
              </w:rPr>
              <w:t xml:space="preserve">104,6%</w:t>
            </w:r>
          </w:p>
        </w:tc>
      </w:tr>
      <w:tr>
        <w:trPr>
          <w:cantSplit/>
        </w:trPr>
        <w:tc>
          <w:tcPr>
            <w:tcW w:type="pct" w:w="800"/>
            <w:shd w:fill="FAFCFD" w:val="clear"/>
            <w:tcMar>
              <w:top w:type="dxa" w:w="70"/>
              <w:left w:type="dxa" w:w="120"/>
              <w:bottom w:type="dxa" w:w="70"/>
              <w:right w:type="dxa" w:w="120"/>
            </w:tcMar>
          </w:tcPr>
          <w:p>
            <w:r>
              <w:rPr>
                <w:sz w:val="19"/>
                <w:szCs w:val="19"/>
              </w:rPr>
              <w:t xml:space="preserve">SUPV.BA</w:t>
            </w:r>
          </w:p>
        </w:tc>
        <w:tc>
          <w:tcPr>
            <w:tcW w:type="pct" w:w="2000"/>
            <w:shd w:fill="FAFCFD" w:val="clear"/>
            <w:tcMar>
              <w:top w:type="dxa" w:w="70"/>
              <w:left w:type="dxa" w:w="120"/>
              <w:bottom w:type="dxa" w:w="70"/>
              <w:right w:type="dxa" w:w="120"/>
            </w:tcMar>
          </w:tcPr>
          <w:p>
            <w:r>
              <w:rPr>
                <w:sz w:val="19"/>
                <w:szCs w:val="19"/>
              </w:rPr>
              <w:t xml:space="preserve">Supervielle</w:t>
            </w:r>
          </w:p>
        </w:tc>
        <w:tc>
          <w:tcPr>
            <w:tcW w:type="pct" w:w="1100"/>
            <w:shd w:fill="FAFCFD" w:val="clear"/>
            <w:tcMar>
              <w:top w:type="dxa" w:w="70"/>
              <w:left w:type="dxa" w:w="120"/>
              <w:bottom w:type="dxa" w:w="70"/>
              <w:right w:type="dxa" w:w="120"/>
            </w:tcMar>
          </w:tcPr>
          <w:p>
            <w:r>
              <w:rPr>
                <w:sz w:val="19"/>
                <w:szCs w:val="19"/>
              </w:rPr>
              <w:t xml:space="preserve">Financiero</w:t>
            </w:r>
          </w:p>
        </w:tc>
        <w:tc>
          <w:tcPr>
            <w:tcW w:type="pct" w:w="1100"/>
            <w:shd w:fill="FAFCFD" w:val="clear"/>
            <w:tcMar>
              <w:top w:type="dxa" w:w="70"/>
              <w:left w:type="dxa" w:w="120"/>
              <w:bottom w:type="dxa" w:w="70"/>
              <w:right w:type="dxa" w:w="120"/>
            </w:tcMar>
          </w:tcPr>
          <w:p>
            <w:r>
              <w:rPr>
                <w:sz w:val="19"/>
                <w:szCs w:val="19"/>
              </w:rPr>
              <w:t xml:space="preserve">74,4%</w:t>
            </w:r>
          </w:p>
        </w:tc>
      </w:tr>
      <w:tr>
        <w:trPr>
          <w:cantSplit/>
        </w:trPr>
        <w:tc>
          <w:tcPr>
            <w:tcW w:type="pct" w:w="800"/>
            <w:shd w:fill="FFFFFF" w:val="clear"/>
            <w:tcMar>
              <w:top w:type="dxa" w:w="70"/>
              <w:left w:type="dxa" w:w="120"/>
              <w:bottom w:type="dxa" w:w="70"/>
              <w:right w:type="dxa" w:w="120"/>
            </w:tcMar>
          </w:tcPr>
          <w:p>
            <w:r>
              <w:rPr>
                <w:sz w:val="19"/>
                <w:szCs w:val="19"/>
              </w:rPr>
              <w:t xml:space="preserve">METR.BA</w:t>
            </w:r>
          </w:p>
        </w:tc>
        <w:tc>
          <w:tcPr>
            <w:tcW w:type="pct" w:w="2000"/>
            <w:shd w:fill="FFFFFF" w:val="clear"/>
            <w:tcMar>
              <w:top w:type="dxa" w:w="70"/>
              <w:left w:type="dxa" w:w="120"/>
              <w:bottom w:type="dxa" w:w="70"/>
              <w:right w:type="dxa" w:w="120"/>
            </w:tcMar>
          </w:tcPr>
          <w:p>
            <w:r>
              <w:rPr>
                <w:sz w:val="19"/>
                <w:szCs w:val="19"/>
              </w:rPr>
              <w:t xml:space="preserve">MetroGas</w:t>
            </w:r>
          </w:p>
        </w:tc>
        <w:tc>
          <w:tcPr>
            <w:tcW w:type="pct" w:w="1100"/>
            <w:shd w:fill="FFFFFF" w:val="clear"/>
            <w:tcMar>
              <w:top w:type="dxa" w:w="70"/>
              <w:left w:type="dxa" w:w="120"/>
              <w:bottom w:type="dxa" w:w="70"/>
              <w:right w:type="dxa" w:w="120"/>
            </w:tcMar>
          </w:tcPr>
          <w:p>
            <w:r>
              <w:rPr>
                <w:sz w:val="19"/>
                <w:szCs w:val="19"/>
              </w:rPr>
              <w:t xml:space="preserve">Utilities</w:t>
            </w:r>
          </w:p>
        </w:tc>
        <w:tc>
          <w:tcPr>
            <w:tcW w:type="pct" w:w="1100"/>
            <w:shd w:fill="FFFFFF" w:val="clear"/>
            <w:tcMar>
              <w:top w:type="dxa" w:w="70"/>
              <w:left w:type="dxa" w:w="120"/>
              <w:bottom w:type="dxa" w:w="70"/>
              <w:right w:type="dxa" w:w="120"/>
            </w:tcMar>
          </w:tcPr>
          <w:p>
            <w:r>
              <w:rPr>
                <w:sz w:val="19"/>
                <w:szCs w:val="19"/>
              </w:rPr>
              <w:t xml:space="preserve">73,6%</w:t>
            </w:r>
          </w:p>
        </w:tc>
      </w:tr>
      <w:tr>
        <w:trPr>
          <w:cantSplit/>
        </w:trPr>
        <w:tc>
          <w:tcPr>
            <w:tcW w:type="pct" w:w="800"/>
            <w:shd w:fill="FAFCFD" w:val="clear"/>
            <w:tcMar>
              <w:top w:type="dxa" w:w="70"/>
              <w:left w:type="dxa" w:w="120"/>
              <w:bottom w:type="dxa" w:w="70"/>
              <w:right w:type="dxa" w:w="120"/>
            </w:tcMar>
          </w:tcPr>
          <w:p>
            <w:r>
              <w:rPr>
                <w:sz w:val="19"/>
                <w:szCs w:val="19"/>
              </w:rPr>
              <w:t xml:space="preserve">GARO.BA</w:t>
            </w:r>
          </w:p>
        </w:tc>
        <w:tc>
          <w:tcPr>
            <w:tcW w:type="pct" w:w="2000"/>
            <w:shd w:fill="FAFCFD" w:val="clear"/>
            <w:tcMar>
              <w:top w:type="dxa" w:w="70"/>
              <w:left w:type="dxa" w:w="120"/>
              <w:bottom w:type="dxa" w:w="70"/>
              <w:right w:type="dxa" w:w="120"/>
            </w:tcMar>
          </w:tcPr>
          <w:p>
            <w:r>
              <w:rPr>
                <w:sz w:val="19"/>
                <w:szCs w:val="19"/>
              </w:rPr>
              <w:t xml:space="preserve">Garovaglio y Zorraquín</w:t>
            </w:r>
          </w:p>
        </w:tc>
        <w:tc>
          <w:tcPr>
            <w:tcW w:type="pct" w:w="1100"/>
            <w:shd w:fill="FAFCFD" w:val="clear"/>
            <w:tcMar>
              <w:top w:type="dxa" w:w="70"/>
              <w:left w:type="dxa" w:w="120"/>
              <w:bottom w:type="dxa" w:w="70"/>
              <w:right w:type="dxa" w:w="120"/>
            </w:tcMar>
          </w:tcPr>
          <w:p>
            <w:r>
              <w:rPr>
                <w:sz w:val="19"/>
                <w:szCs w:val="19"/>
              </w:rPr>
              <w:t xml:space="preserve">Conglomerado</w:t>
            </w:r>
          </w:p>
        </w:tc>
        <w:tc>
          <w:tcPr>
            <w:tcW w:type="pct" w:w="1100"/>
            <w:shd w:fill="FAFCFD" w:val="clear"/>
            <w:tcMar>
              <w:top w:type="dxa" w:w="70"/>
              <w:left w:type="dxa" w:w="120"/>
              <w:bottom w:type="dxa" w:w="70"/>
              <w:right w:type="dxa" w:w="120"/>
            </w:tcMar>
          </w:tcPr>
          <w:p>
            <w:r>
              <w:rPr>
                <w:sz w:val="19"/>
                <w:szCs w:val="19"/>
              </w:rPr>
              <w:t xml:space="preserve">70,5%</w:t>
            </w:r>
          </w:p>
        </w:tc>
      </w:tr>
      <w:tr>
        <w:trPr>
          <w:cantSplit/>
        </w:trPr>
        <w:tc>
          <w:tcPr>
            <w:tcW w:type="pct" w:w="800"/>
            <w:shd w:fill="FFFFFF" w:val="clear"/>
            <w:tcMar>
              <w:top w:type="dxa" w:w="70"/>
              <w:left w:type="dxa" w:w="120"/>
              <w:bottom w:type="dxa" w:w="70"/>
              <w:right w:type="dxa" w:w="120"/>
            </w:tcMar>
          </w:tcPr>
          <w:p>
            <w:r>
              <w:rPr>
                <w:sz w:val="19"/>
                <w:szCs w:val="19"/>
              </w:rPr>
              <w:t xml:space="preserve">COME.BA</w:t>
            </w:r>
          </w:p>
        </w:tc>
        <w:tc>
          <w:tcPr>
            <w:tcW w:type="pct" w:w="2000"/>
            <w:shd w:fill="FFFFFF" w:val="clear"/>
            <w:tcMar>
              <w:top w:type="dxa" w:w="70"/>
              <w:left w:type="dxa" w:w="120"/>
              <w:bottom w:type="dxa" w:w="70"/>
              <w:right w:type="dxa" w:w="120"/>
            </w:tcMar>
          </w:tcPr>
          <w:p>
            <w:r>
              <w:rPr>
                <w:sz w:val="19"/>
                <w:szCs w:val="19"/>
              </w:rPr>
              <w:t xml:space="preserve">Sociedad Comercial del Plata</w:t>
            </w:r>
          </w:p>
        </w:tc>
        <w:tc>
          <w:tcPr>
            <w:tcW w:type="pct" w:w="1100"/>
            <w:shd w:fill="FFFFFF" w:val="clear"/>
            <w:tcMar>
              <w:top w:type="dxa" w:w="70"/>
              <w:left w:type="dxa" w:w="120"/>
              <w:bottom w:type="dxa" w:w="70"/>
              <w:right w:type="dxa" w:w="120"/>
            </w:tcMar>
          </w:tcPr>
          <w:p>
            <w:r>
              <w:rPr>
                <w:sz w:val="19"/>
                <w:szCs w:val="19"/>
              </w:rPr>
              <w:t xml:space="preserve">Conglomerado</w:t>
            </w:r>
          </w:p>
        </w:tc>
        <w:tc>
          <w:tcPr>
            <w:tcW w:type="pct" w:w="1100"/>
            <w:shd w:fill="FFFFFF" w:val="clear"/>
            <w:tcMar>
              <w:top w:type="dxa" w:w="70"/>
              <w:left w:type="dxa" w:w="120"/>
              <w:bottom w:type="dxa" w:w="70"/>
              <w:right w:type="dxa" w:w="120"/>
            </w:tcMar>
          </w:tcPr>
          <w:p>
            <w:r>
              <w:rPr>
                <w:sz w:val="19"/>
                <w:szCs w:val="19"/>
              </w:rPr>
              <w:t xml:space="preserve">68,3%</w:t>
            </w:r>
          </w:p>
        </w:tc>
      </w:tr>
    </w:tbl>
    <w:p>
      <w:pPr>
        <w:pStyle w:val="Heading1"/>
        <w:keepNext/>
        <w:spacing w:after="160" w:before="360"/>
      </w:pPr>
      <w:r>
        <w:t xml:space="preserve">3. Volatilidad por sector, comparada contra el mercado</w:t>
      </w:r>
    </w:p>
    <w:p>
      <w:pPr>
        <w:keepNext/>
        <w:spacing w:after="160" w:line="300"/>
      </w:pPr>
      <w:r>
        <w:t xml:space="preserve">Promedio de las acciones de cada sector, de más calmo a más nervioso: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4241"/>
        <w:gridCol w:w="2120"/>
        <w:gridCol w:w="3277"/>
      </w:tblGrid>
      <w:tr>
        <w:trPr>
          <w:tblHeader/>
        </w:trPr>
        <w:tc>
          <w:tcPr>
            <w:tcW w:type="pct" w:w="2200"/>
            <w:shd w:fill="1C3A5C" w:val="clear"/>
            <w:tcMar>
              <w:top w:type="dxa" w:w="80"/>
              <w:left w:type="dxa" w:w="120"/>
              <w:bottom w:type="dxa" w:w="80"/>
              <w:right w:type="dxa" w:w="120"/>
            </w:tcMar>
          </w:tcPr>
          <w:p>
            <w:r>
              <w:rPr>
                <w:b/>
                <w:bCs/>
                <w:color w:val="FFFFFF"/>
                <w:sz w:val="19"/>
                <w:szCs w:val="19"/>
              </w:rPr>
              <w:t xml:space="preserve">Sector</w:t>
            </w:r>
          </w:p>
        </w:tc>
        <w:tc>
          <w:tcPr>
            <w:tcW w:type="pct" w:w="1100"/>
            <w:shd w:fill="1C3A5C" w:val="clear"/>
            <w:tcMar>
              <w:top w:type="dxa" w:w="80"/>
              <w:left w:type="dxa" w:w="120"/>
              <w:bottom w:type="dxa" w:w="80"/>
              <w:right w:type="dxa" w:w="120"/>
            </w:tcMar>
          </w:tcPr>
          <w:p>
            <w:r>
              <w:rPr>
                <w:b/>
                <w:bCs/>
                <w:color w:val="FFFFFF"/>
                <w:sz w:val="19"/>
                <w:szCs w:val="19"/>
              </w:rPr>
              <w:t xml:space="preserve">Acciones</w:t>
            </w:r>
          </w:p>
        </w:tc>
        <w:tc>
          <w:tcPr>
            <w:tcW w:type="pct" w:w="1700"/>
            <w:shd w:fill="1C3A5C" w:val="clear"/>
            <w:tcMar>
              <w:top w:type="dxa" w:w="80"/>
              <w:left w:type="dxa" w:w="120"/>
              <w:bottom w:type="dxa" w:w="80"/>
              <w:right w:type="dxa" w:w="120"/>
            </w:tcMar>
          </w:tcPr>
          <w:p>
            <w:r>
              <w:rPr>
                <w:b/>
                <w:bCs/>
                <w:color w:val="FFFFFF"/>
                <w:sz w:val="19"/>
                <w:szCs w:val="19"/>
              </w:rPr>
              <w:t xml:space="preserve">Volatilidad prom.</w:t>
            </w:r>
          </w:p>
        </w:tc>
      </w:tr>
      <w:tr>
        <w:trPr>
          <w:cantSplit/>
        </w:trPr>
        <w:tc>
          <w:tcPr>
            <w:tcW w:type="pct" w:w="2200"/>
            <w:shd w:fill="FFFFFF" w:val="clear"/>
            <w:tcMar>
              <w:top w:type="dxa" w:w="70"/>
              <w:left w:type="dxa" w:w="120"/>
              <w:bottom w:type="dxa" w:w="70"/>
              <w:right w:type="dxa" w:w="120"/>
            </w:tcMar>
          </w:tcPr>
          <w:p>
            <w:r>
              <w:rPr>
                <w:sz w:val="19"/>
                <w:szCs w:val="19"/>
              </w:rPr>
              <w:t xml:space="preserve">Real Estate</w:t>
            </w:r>
          </w:p>
        </w:tc>
        <w:tc>
          <w:tcPr>
            <w:tcW w:type="pct" w:w="1100"/>
            <w:shd w:fill="FFFFFF" w:val="clear"/>
            <w:tcMar>
              <w:top w:type="dxa" w:w="70"/>
              <w:left w:type="dxa" w:w="120"/>
              <w:bottom w:type="dxa" w:w="70"/>
              <w:right w:type="dxa" w:w="120"/>
            </w:tcMar>
          </w:tcPr>
          <w:p>
            <w:r>
              <w:rPr>
                <w:sz w:val="19"/>
                <w:szCs w:val="19"/>
              </w:rPr>
              <w:t xml:space="preserve">3</w:t>
            </w:r>
          </w:p>
        </w:tc>
        <w:tc>
          <w:tcPr>
            <w:tcW w:type="pct" w:w="1700"/>
            <w:shd w:fill="FFFFFF" w:val="clear"/>
            <w:tcMar>
              <w:top w:type="dxa" w:w="70"/>
              <w:left w:type="dxa" w:w="120"/>
              <w:bottom w:type="dxa" w:w="70"/>
              <w:right w:type="dxa" w:w="120"/>
            </w:tcMar>
          </w:tcPr>
          <w:p>
            <w:r>
              <w:rPr>
                <w:sz w:val="19"/>
                <w:szCs w:val="19"/>
              </w:rPr>
              <w:t xml:space="preserve">42,5%</w:t>
            </w:r>
          </w:p>
        </w:tc>
      </w:tr>
      <w:tr>
        <w:trPr>
          <w:cantSplit/>
        </w:trPr>
        <w:tc>
          <w:tcPr>
            <w:tcW w:type="pct" w:w="2200"/>
            <w:shd w:fill="FAFCFD" w:val="clear"/>
            <w:tcMar>
              <w:top w:type="dxa" w:w="70"/>
              <w:left w:type="dxa" w:w="120"/>
              <w:bottom w:type="dxa" w:w="70"/>
              <w:right w:type="dxa" w:w="120"/>
            </w:tcMar>
          </w:tcPr>
          <w:p>
            <w:r>
              <w:rPr>
                <w:sz w:val="19"/>
                <w:szCs w:val="19"/>
              </w:rPr>
              <w:t xml:space="preserve">Tecnología</w:t>
            </w:r>
          </w:p>
        </w:tc>
        <w:tc>
          <w:tcPr>
            <w:tcW w:type="pct" w:w="1100"/>
            <w:shd w:fill="FAFCFD" w:val="clear"/>
            <w:tcMar>
              <w:top w:type="dxa" w:w="70"/>
              <w:left w:type="dxa" w:w="120"/>
              <w:bottom w:type="dxa" w:w="70"/>
              <w:right w:type="dxa" w:w="120"/>
            </w:tcMar>
          </w:tcPr>
          <w:p>
            <w:r>
              <w:rPr>
                <w:sz w:val="19"/>
                <w:szCs w:val="19"/>
              </w:rPr>
              <w:t xml:space="preserve">1</w:t>
            </w:r>
          </w:p>
        </w:tc>
        <w:tc>
          <w:tcPr>
            <w:tcW w:type="pct" w:w="1700"/>
            <w:shd w:fill="FAFCFD" w:val="clear"/>
            <w:tcMar>
              <w:top w:type="dxa" w:w="70"/>
              <w:left w:type="dxa" w:w="120"/>
              <w:bottom w:type="dxa" w:w="70"/>
              <w:right w:type="dxa" w:w="120"/>
            </w:tcMar>
          </w:tcPr>
          <w:p>
            <w:r>
              <w:rPr>
                <w:sz w:val="19"/>
                <w:szCs w:val="19"/>
              </w:rPr>
              <w:t xml:space="preserve">44,1%</w:t>
            </w:r>
          </w:p>
        </w:tc>
      </w:tr>
      <w:tr>
        <w:trPr>
          <w:cantSplit/>
        </w:trPr>
        <w:tc>
          <w:tcPr>
            <w:tcW w:type="pct" w:w="2200"/>
            <w:shd w:fill="FFFFFF" w:val="clear"/>
            <w:tcMar>
              <w:top w:type="dxa" w:w="70"/>
              <w:left w:type="dxa" w:w="120"/>
              <w:bottom w:type="dxa" w:w="70"/>
              <w:right w:type="dxa" w:w="120"/>
            </w:tcMar>
          </w:tcPr>
          <w:p>
            <w:r>
              <w:rPr>
                <w:sz w:val="19"/>
                <w:szCs w:val="19"/>
              </w:rPr>
              <w:t xml:space="preserve">Comunicaciones</w:t>
            </w:r>
          </w:p>
        </w:tc>
        <w:tc>
          <w:tcPr>
            <w:tcW w:type="pct" w:w="1100"/>
            <w:shd w:fill="FFFFFF" w:val="clear"/>
            <w:tcMar>
              <w:top w:type="dxa" w:w="70"/>
              <w:left w:type="dxa" w:w="120"/>
              <w:bottom w:type="dxa" w:w="70"/>
              <w:right w:type="dxa" w:w="120"/>
            </w:tcMar>
          </w:tcPr>
          <w:p>
            <w:r>
              <w:rPr>
                <w:sz w:val="19"/>
                <w:szCs w:val="19"/>
              </w:rPr>
              <w:t xml:space="preserve">2</w:t>
            </w:r>
          </w:p>
        </w:tc>
        <w:tc>
          <w:tcPr>
            <w:tcW w:type="pct" w:w="1700"/>
            <w:shd w:fill="FFFFFF" w:val="clear"/>
            <w:tcMar>
              <w:top w:type="dxa" w:w="70"/>
              <w:left w:type="dxa" w:w="120"/>
              <w:bottom w:type="dxa" w:w="70"/>
              <w:right w:type="dxa" w:w="120"/>
            </w:tcMar>
          </w:tcPr>
          <w:p>
            <w:r>
              <w:rPr>
                <w:sz w:val="19"/>
                <w:szCs w:val="19"/>
              </w:rPr>
              <w:t xml:space="preserve">45,8%</w:t>
            </w:r>
          </w:p>
        </w:tc>
      </w:tr>
      <w:tr>
        <w:trPr>
          <w:cantSplit/>
        </w:trPr>
        <w:tc>
          <w:tcPr>
            <w:tcW w:type="pct" w:w="2200"/>
            <w:shd w:fill="FAFCFD" w:val="clear"/>
            <w:tcMar>
              <w:top w:type="dxa" w:w="70"/>
              <w:left w:type="dxa" w:w="120"/>
              <w:bottom w:type="dxa" w:w="70"/>
              <w:right w:type="dxa" w:w="120"/>
            </w:tcMar>
          </w:tcPr>
          <w:p>
            <w:r>
              <w:rPr>
                <w:sz w:val="19"/>
                <w:szCs w:val="19"/>
              </w:rPr>
              <w:t xml:space="preserve">Consumo</w:t>
            </w:r>
          </w:p>
        </w:tc>
        <w:tc>
          <w:tcPr>
            <w:tcW w:type="pct" w:w="1100"/>
            <w:shd w:fill="FAFCFD" w:val="clear"/>
            <w:tcMar>
              <w:top w:type="dxa" w:w="70"/>
              <w:left w:type="dxa" w:w="120"/>
              <w:bottom w:type="dxa" w:w="70"/>
              <w:right w:type="dxa" w:w="120"/>
            </w:tcMar>
          </w:tcPr>
          <w:p>
            <w:r>
              <w:rPr>
                <w:sz w:val="19"/>
                <w:szCs w:val="19"/>
              </w:rPr>
              <w:t xml:space="preserve">9</w:t>
            </w:r>
          </w:p>
        </w:tc>
        <w:tc>
          <w:tcPr>
            <w:tcW w:type="pct" w:w="1700"/>
            <w:shd w:fill="FAFCFD" w:val="clear"/>
            <w:tcMar>
              <w:top w:type="dxa" w:w="70"/>
              <w:left w:type="dxa" w:w="120"/>
              <w:bottom w:type="dxa" w:w="70"/>
              <w:right w:type="dxa" w:w="120"/>
            </w:tcMar>
          </w:tcPr>
          <w:p>
            <w:r>
              <w:rPr>
                <w:sz w:val="19"/>
                <w:szCs w:val="19"/>
              </w:rPr>
              <w:t xml:space="preserve">51,1%</w:t>
            </w:r>
          </w:p>
        </w:tc>
      </w:tr>
      <w:tr>
        <w:trPr>
          <w:cantSplit/>
        </w:trPr>
        <w:tc>
          <w:tcPr>
            <w:tcW w:type="pct" w:w="2200"/>
            <w:shd w:fill="FFFFFF" w:val="clear"/>
            <w:tcMar>
              <w:top w:type="dxa" w:w="70"/>
              <w:left w:type="dxa" w:w="120"/>
              <w:bottom w:type="dxa" w:w="70"/>
              <w:right w:type="dxa" w:w="120"/>
            </w:tcMar>
          </w:tcPr>
          <w:p>
            <w:r>
              <w:rPr>
                <w:sz w:val="19"/>
                <w:szCs w:val="19"/>
              </w:rPr>
              <w:t xml:space="preserve">Energía</w:t>
            </w:r>
          </w:p>
        </w:tc>
        <w:tc>
          <w:tcPr>
            <w:tcW w:type="pct" w:w="1100"/>
            <w:shd w:fill="FFFFFF" w:val="clear"/>
            <w:tcMar>
              <w:top w:type="dxa" w:w="70"/>
              <w:left w:type="dxa" w:w="120"/>
              <w:bottom w:type="dxa" w:w="70"/>
              <w:right w:type="dxa" w:w="120"/>
            </w:tcMar>
          </w:tcPr>
          <w:p>
            <w:r>
              <w:rPr>
                <w:sz w:val="19"/>
                <w:szCs w:val="19"/>
              </w:rPr>
              <w:t xml:space="preserve">4</w:t>
            </w:r>
          </w:p>
        </w:tc>
        <w:tc>
          <w:tcPr>
            <w:tcW w:type="pct" w:w="1700"/>
            <w:shd w:fill="FFFFFF" w:val="clear"/>
            <w:tcMar>
              <w:top w:type="dxa" w:w="70"/>
              <w:left w:type="dxa" w:w="120"/>
              <w:bottom w:type="dxa" w:w="70"/>
              <w:right w:type="dxa" w:w="120"/>
            </w:tcMar>
          </w:tcPr>
          <w:p>
            <w:r>
              <w:rPr>
                <w:sz w:val="19"/>
                <w:szCs w:val="19"/>
              </w:rPr>
              <w:t xml:space="preserve">53,3%</w:t>
            </w:r>
          </w:p>
        </w:tc>
      </w:tr>
      <w:tr>
        <w:trPr>
          <w:cantSplit/>
        </w:trPr>
        <w:tc>
          <w:tcPr>
            <w:tcW w:type="pct" w:w="2200"/>
            <w:shd w:fill="FAFCFD" w:val="clear"/>
            <w:tcMar>
              <w:top w:type="dxa" w:w="70"/>
              <w:left w:type="dxa" w:w="120"/>
              <w:bottom w:type="dxa" w:w="70"/>
              <w:right w:type="dxa" w:w="120"/>
            </w:tcMar>
          </w:tcPr>
          <w:p>
            <w:r>
              <w:rPr>
                <w:sz w:val="19"/>
                <w:szCs w:val="19"/>
              </w:rPr>
              <w:t xml:space="preserve">Industrial</w:t>
            </w:r>
          </w:p>
        </w:tc>
        <w:tc>
          <w:tcPr>
            <w:tcW w:type="pct" w:w="1100"/>
            <w:shd w:fill="FAFCFD" w:val="clear"/>
            <w:tcMar>
              <w:top w:type="dxa" w:w="70"/>
              <w:left w:type="dxa" w:w="120"/>
              <w:bottom w:type="dxa" w:w="70"/>
              <w:right w:type="dxa" w:w="120"/>
            </w:tcMar>
          </w:tcPr>
          <w:p>
            <w:r>
              <w:rPr>
                <w:sz w:val="19"/>
                <w:szCs w:val="19"/>
              </w:rPr>
              <w:t xml:space="preserve">3</w:t>
            </w:r>
          </w:p>
        </w:tc>
        <w:tc>
          <w:tcPr>
            <w:tcW w:type="pct" w:w="1700"/>
            <w:shd w:fill="FAFCFD" w:val="clear"/>
            <w:tcMar>
              <w:top w:type="dxa" w:w="70"/>
              <w:left w:type="dxa" w:w="120"/>
              <w:bottom w:type="dxa" w:w="70"/>
              <w:right w:type="dxa" w:w="120"/>
            </w:tcMar>
          </w:tcPr>
          <w:p>
            <w:r>
              <w:rPr>
                <w:sz w:val="19"/>
                <w:szCs w:val="19"/>
              </w:rPr>
              <w:t xml:space="preserve">55,4%</w:t>
            </w:r>
          </w:p>
        </w:tc>
      </w:tr>
      <w:tr>
        <w:trPr>
          <w:cantSplit/>
        </w:trPr>
        <w:tc>
          <w:tcPr>
            <w:tcW w:type="pct" w:w="2200"/>
            <w:shd w:fill="FFFFFF" w:val="clear"/>
            <w:tcMar>
              <w:top w:type="dxa" w:w="70"/>
              <w:left w:type="dxa" w:w="120"/>
              <w:bottom w:type="dxa" w:w="70"/>
              <w:right w:type="dxa" w:w="120"/>
            </w:tcMar>
          </w:tcPr>
          <w:p>
            <w:r>
              <w:rPr>
                <w:sz w:val="19"/>
                <w:szCs w:val="19"/>
              </w:rPr>
              <w:t xml:space="preserve">Materiales</w:t>
            </w:r>
          </w:p>
        </w:tc>
        <w:tc>
          <w:tcPr>
            <w:tcW w:type="pct" w:w="1100"/>
            <w:shd w:fill="FFFFFF" w:val="clear"/>
            <w:tcMar>
              <w:top w:type="dxa" w:w="70"/>
              <w:left w:type="dxa" w:w="120"/>
              <w:bottom w:type="dxa" w:w="70"/>
              <w:right w:type="dxa" w:w="120"/>
            </w:tcMar>
          </w:tcPr>
          <w:p>
            <w:r>
              <w:rPr>
                <w:sz w:val="19"/>
                <w:szCs w:val="19"/>
              </w:rPr>
              <w:t xml:space="preserve">6</w:t>
            </w:r>
          </w:p>
        </w:tc>
        <w:tc>
          <w:tcPr>
            <w:tcW w:type="pct" w:w="1700"/>
            <w:shd w:fill="FFFFFF" w:val="clear"/>
            <w:tcMar>
              <w:top w:type="dxa" w:w="70"/>
              <w:left w:type="dxa" w:w="120"/>
              <w:bottom w:type="dxa" w:w="70"/>
              <w:right w:type="dxa" w:w="120"/>
            </w:tcMar>
          </w:tcPr>
          <w:p>
            <w:r>
              <w:rPr>
                <w:sz w:val="19"/>
                <w:szCs w:val="19"/>
              </w:rPr>
              <w:t xml:space="preserve">58,9%</w:t>
            </w:r>
          </w:p>
        </w:tc>
      </w:tr>
      <w:tr>
        <w:trPr>
          <w:cantSplit/>
        </w:trPr>
        <w:tc>
          <w:tcPr>
            <w:tcW w:type="pct" w:w="2200"/>
            <w:shd w:fill="FAFCFD" w:val="clear"/>
            <w:tcMar>
              <w:top w:type="dxa" w:w="70"/>
              <w:left w:type="dxa" w:w="120"/>
              <w:bottom w:type="dxa" w:w="70"/>
              <w:right w:type="dxa" w:w="120"/>
            </w:tcMar>
          </w:tcPr>
          <w:p>
            <w:r>
              <w:rPr>
                <w:sz w:val="19"/>
                <w:szCs w:val="19"/>
              </w:rPr>
              <w:t xml:space="preserve">Financiero</w:t>
            </w:r>
          </w:p>
        </w:tc>
        <w:tc>
          <w:tcPr>
            <w:tcW w:type="pct" w:w="1100"/>
            <w:shd w:fill="FAFCFD" w:val="clear"/>
            <w:tcMar>
              <w:top w:type="dxa" w:w="70"/>
              <w:left w:type="dxa" w:w="120"/>
              <w:bottom w:type="dxa" w:w="70"/>
              <w:right w:type="dxa" w:w="120"/>
            </w:tcMar>
          </w:tcPr>
          <w:p>
            <w:r>
              <w:rPr>
                <w:sz w:val="19"/>
                <w:szCs w:val="19"/>
              </w:rPr>
              <w:t xml:space="preserve">8</w:t>
            </w:r>
          </w:p>
        </w:tc>
        <w:tc>
          <w:tcPr>
            <w:tcW w:type="pct" w:w="1700"/>
            <w:shd w:fill="FAFCFD" w:val="clear"/>
            <w:tcMar>
              <w:top w:type="dxa" w:w="70"/>
              <w:left w:type="dxa" w:w="120"/>
              <w:bottom w:type="dxa" w:w="70"/>
              <w:right w:type="dxa" w:w="120"/>
            </w:tcMar>
          </w:tcPr>
          <w:p>
            <w:r>
              <w:rPr>
                <w:sz w:val="19"/>
                <w:szCs w:val="19"/>
              </w:rPr>
              <w:t xml:space="preserve">58,9%</w:t>
            </w:r>
          </w:p>
        </w:tc>
      </w:tr>
      <w:tr>
        <w:trPr>
          <w:cantSplit/>
        </w:trPr>
        <w:tc>
          <w:tcPr>
            <w:tcW w:type="pct" w:w="2200"/>
            <w:shd w:fill="FFFFFF" w:val="clear"/>
            <w:tcMar>
              <w:top w:type="dxa" w:w="70"/>
              <w:left w:type="dxa" w:w="120"/>
              <w:bottom w:type="dxa" w:w="70"/>
              <w:right w:type="dxa" w:w="120"/>
            </w:tcMar>
          </w:tcPr>
          <w:p>
            <w:r>
              <w:rPr>
                <w:sz w:val="19"/>
                <w:szCs w:val="19"/>
              </w:rPr>
              <w:t xml:space="preserve">Conglomerado</w:t>
            </w:r>
          </w:p>
        </w:tc>
        <w:tc>
          <w:tcPr>
            <w:tcW w:type="pct" w:w="1100"/>
            <w:shd w:fill="FFFFFF" w:val="clear"/>
            <w:tcMar>
              <w:top w:type="dxa" w:w="70"/>
              <w:left w:type="dxa" w:w="120"/>
              <w:bottom w:type="dxa" w:w="70"/>
              <w:right w:type="dxa" w:w="120"/>
            </w:tcMar>
          </w:tcPr>
          <w:p>
            <w:r>
              <w:rPr>
                <w:sz w:val="19"/>
                <w:szCs w:val="19"/>
              </w:rPr>
              <w:t xml:space="preserve">3</w:t>
            </w:r>
          </w:p>
        </w:tc>
        <w:tc>
          <w:tcPr>
            <w:tcW w:type="pct" w:w="1700"/>
            <w:shd w:fill="FFFFFF" w:val="clear"/>
            <w:tcMar>
              <w:top w:type="dxa" w:w="70"/>
              <w:left w:type="dxa" w:w="120"/>
              <w:bottom w:type="dxa" w:w="70"/>
              <w:right w:type="dxa" w:w="120"/>
            </w:tcMar>
          </w:tcPr>
          <w:p>
            <w:r>
              <w:rPr>
                <w:sz w:val="19"/>
                <w:szCs w:val="19"/>
              </w:rPr>
              <w:t xml:space="preserve">60,0%</w:t>
            </w:r>
          </w:p>
        </w:tc>
      </w:tr>
      <w:tr>
        <w:trPr>
          <w:cantSplit/>
        </w:trPr>
        <w:tc>
          <w:tcPr>
            <w:tcW w:type="pct" w:w="2200"/>
            <w:shd w:fill="FAFCFD" w:val="clear"/>
            <w:tcMar>
              <w:top w:type="dxa" w:w="70"/>
              <w:left w:type="dxa" w:w="120"/>
              <w:bottom w:type="dxa" w:w="70"/>
              <w:right w:type="dxa" w:w="120"/>
            </w:tcMar>
          </w:tcPr>
          <w:p>
            <w:r>
              <w:rPr>
                <w:sz w:val="19"/>
                <w:szCs w:val="19"/>
              </w:rPr>
              <w:t xml:space="preserve">Utilities</w:t>
            </w:r>
          </w:p>
        </w:tc>
        <w:tc>
          <w:tcPr>
            <w:tcW w:type="pct" w:w="1100"/>
            <w:shd w:fill="FAFCFD" w:val="clear"/>
            <w:tcMar>
              <w:top w:type="dxa" w:w="70"/>
              <w:left w:type="dxa" w:w="120"/>
              <w:bottom w:type="dxa" w:w="70"/>
              <w:right w:type="dxa" w:w="120"/>
            </w:tcMar>
          </w:tcPr>
          <w:p>
            <w:r>
              <w:rPr>
                <w:sz w:val="19"/>
                <w:szCs w:val="19"/>
              </w:rPr>
              <w:t xml:space="preserve">8</w:t>
            </w:r>
          </w:p>
        </w:tc>
        <w:tc>
          <w:tcPr>
            <w:tcW w:type="pct" w:w="1700"/>
            <w:shd w:fill="FAFCFD" w:val="clear"/>
            <w:tcMar>
              <w:top w:type="dxa" w:w="70"/>
              <w:left w:type="dxa" w:w="120"/>
              <w:bottom w:type="dxa" w:w="70"/>
              <w:right w:type="dxa" w:w="120"/>
            </w:tcMar>
          </w:tcPr>
          <w:p>
            <w:r>
              <w:rPr>
                <w:sz w:val="19"/>
                <w:szCs w:val="19"/>
              </w:rPr>
              <w:t xml:space="preserve">60,5%</w:t>
            </w:r>
          </w:p>
        </w:tc>
      </w:tr>
    </w:tbl>
    <w:p>
      <w:pPr>
        <w:spacing w:after="160" w:line="300"/>
      </w:pPr>
      <w:r>
        <w:t xml:space="preserve"/>
      </w:r>
    </w:p>
    <w:p>
      <w:pPr>
        <w:spacing w:after="160"/>
        <w:jc w:val="center"/>
      </w:pPr>
      <w:r>
        <w:drawing>
          <wp:inline distT="0" distB="0" distL="0" distR="0">
            <wp:extent cx="4191000" cy="8524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8524875"/>
                    </a:xfrm>
                    <a:prstGeom prst="rect">
                      <a:avLst/>
                    </a:prstGeom>
                  </pic:spPr>
                </pic:pic>
              </a:graphicData>
            </a:graphic>
          </wp:inline>
        </w:drawing>
      </w:r>
    </w:p>
    <w:p>
      <w:pPr>
        <w:spacing w:after="160" w:line="300"/>
      </w:pPr>
      <w:r>
        <w:t xml:space="preserve">La mayoría de las acciones sigue de cerca al VIX de mercado — sube y baja con él, sobre todo en los episodios de abril-mayo, septiembre-octubre y octubre-noviembre de 2025.</w:t>
      </w:r>
    </w:p>
    <w:p>
      <w:pPr>
        <w:pStyle w:val="Heading1"/>
        <w:keepNext/>
        <w:spacing w:after="160" w:before="360"/>
      </w:pPr>
      <w:r>
        <w:t xml:space="preserve">4. Picos propios — la acción nerviosa con el mercado tranquilo</w:t>
      </w:r>
    </w:p>
    <w:p>
      <w:pPr>
        <w:spacing w:after="160" w:line="300"/>
      </w:pPr>
      <w:r>
        <w:t xml:space="preserve">Se marca como "pico propio" cada tramo de 3 días o más en que la volatilidad de una acción supera al VIX por más de 60 puntos mientras el VIX está por debajo de 50% — la acción muy alterada en un mercado tranquilo. Los episodios se calculan en el script y quedan en picos_propios.csv (19 episodios en total).</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Cuidado con el eco de la ventana de 20 días</w:t>
            </w:r>
          </w:p>
          <w:p>
            <w:pPr>
              <w:spacing w:after="60" w:line="276"/>
            </w:pPr>
            <w:r>
              <w:t xml:space="preserve">12 de los 19 episodios arrancan en los días siguientes a una caída brusca del VIX (más de 10 puntos en un día: 06/10/2025 y 25/11/2025). Esas caídas son el día más grande del mercado saliendo de la ventana de 20 ruedas: el VIX se "calma" de golpe, mientras cada acción todavía conserva en su propia ventana sus días grandes de las semanas anteriores. En esos casos (AGRO, BOLT, CELU, CGPA2, GARO, GBAN, METR, SAMI, SEMI, TGNO4, TRAN) la acción no está necesariamente nerviosa por algo propio — el mercado se calmó antes en el cálculo. No se cuentan como picos propios.</w:t>
            </w:r>
          </w:p>
        </w:tc>
      </w:tr>
    </w:tbl>
    <w:p>
      <w:pPr>
        <w:spacing w:after="160" w:line="300"/>
      </w:pPr>
      <w:r>
        <w:t xml:space="preserve"/>
      </w:r>
    </w:p>
    <w:p>
      <w:pPr>
        <w:keepNext/>
        <w:spacing w:after="160" w:line="300"/>
      </w:pPr>
      <w:r>
        <w:t xml:space="preserve">Quedan 7 episodios genuinos, en 4 acciones: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349"/>
        <w:gridCol w:w="3277"/>
        <w:gridCol w:w="1157"/>
        <w:gridCol w:w="1928"/>
        <w:gridCol w:w="1928"/>
      </w:tblGrid>
      <w:tr>
        <w:trPr>
          <w:tblHeader/>
        </w:trPr>
        <w:tc>
          <w:tcPr>
            <w:tcW w:type="pct" w:w="700"/>
            <w:shd w:fill="1C3A5C" w:val="clear"/>
            <w:tcMar>
              <w:top w:type="dxa" w:w="80"/>
              <w:left w:type="dxa" w:w="120"/>
              <w:bottom w:type="dxa" w:w="80"/>
              <w:right w:type="dxa" w:w="120"/>
            </w:tcMar>
          </w:tcPr>
          <w:p>
            <w:r>
              <w:rPr>
                <w:b/>
                <w:bCs/>
                <w:color w:val="FFFFFF"/>
                <w:sz w:val="19"/>
                <w:szCs w:val="19"/>
              </w:rPr>
              <w:t xml:space="preserve">Acción</w:t>
            </w:r>
          </w:p>
        </w:tc>
        <w:tc>
          <w:tcPr>
            <w:tcW w:type="pct" w:w="1700"/>
            <w:shd w:fill="1C3A5C" w:val="clear"/>
            <w:tcMar>
              <w:top w:type="dxa" w:w="80"/>
              <w:left w:type="dxa" w:w="120"/>
              <w:bottom w:type="dxa" w:w="80"/>
              <w:right w:type="dxa" w:w="120"/>
            </w:tcMar>
          </w:tcPr>
          <w:p>
            <w:r>
              <w:rPr>
                <w:b/>
                <w:bCs/>
                <w:color w:val="FFFFFF"/>
                <w:sz w:val="19"/>
                <w:szCs w:val="19"/>
              </w:rPr>
              <w:t xml:space="preserve">Tramo</w:t>
            </w:r>
          </w:p>
        </w:tc>
        <w:tc>
          <w:tcPr>
            <w:tcW w:type="pct" w:w="600"/>
            <w:shd w:fill="1C3A5C" w:val="clear"/>
            <w:tcMar>
              <w:top w:type="dxa" w:w="80"/>
              <w:left w:type="dxa" w:w="120"/>
              <w:bottom w:type="dxa" w:w="80"/>
              <w:right w:type="dxa" w:w="120"/>
            </w:tcMar>
          </w:tcPr>
          <w:p>
            <w:r>
              <w:rPr>
                <w:b/>
                <w:bCs/>
                <w:color w:val="FFFFFF"/>
                <w:sz w:val="19"/>
                <w:szCs w:val="19"/>
              </w:rPr>
              <w:t xml:space="preserve">Días</w:t>
            </w:r>
          </w:p>
        </w:tc>
        <w:tc>
          <w:tcPr>
            <w:tcW w:type="pct" w:w="1000"/>
            <w:shd w:fill="1C3A5C" w:val="clear"/>
            <w:tcMar>
              <w:top w:type="dxa" w:w="80"/>
              <w:left w:type="dxa" w:w="120"/>
              <w:bottom w:type="dxa" w:w="80"/>
              <w:right w:type="dxa" w:w="120"/>
            </w:tcMar>
          </w:tcPr>
          <w:p>
            <w:r>
              <w:rPr>
                <w:b/>
                <w:bCs/>
                <w:color w:val="FFFFFF"/>
                <w:sz w:val="19"/>
                <w:szCs w:val="19"/>
              </w:rPr>
              <w:t xml:space="preserve">Pico de la acción</w:t>
            </w:r>
          </w:p>
        </w:tc>
        <w:tc>
          <w:tcPr>
            <w:tcW w:type="pct" w:w="1000"/>
            <w:shd w:fill="1C3A5C" w:val="clear"/>
            <w:tcMar>
              <w:top w:type="dxa" w:w="80"/>
              <w:left w:type="dxa" w:w="120"/>
              <w:bottom w:type="dxa" w:w="80"/>
              <w:right w:type="dxa" w:w="120"/>
            </w:tcMar>
          </w:tcPr>
          <w:p>
            <w:r>
              <w:rPr>
                <w:b/>
                <w:bCs/>
                <w:color w:val="FFFFFF"/>
                <w:sz w:val="19"/>
                <w:szCs w:val="19"/>
              </w:rPr>
              <w:t xml:space="preserve">VIX ese día</w:t>
            </w:r>
          </w:p>
        </w:tc>
      </w:tr>
      <w:tr>
        <w:trPr>
          <w:cantSplit/>
        </w:trPr>
        <w:tc>
          <w:tcPr>
            <w:tcW w:type="pct" w:w="700"/>
            <w:shd w:fill="FFFFFF" w:val="clear"/>
            <w:tcMar>
              <w:top w:type="dxa" w:w="70"/>
              <w:left w:type="dxa" w:w="120"/>
              <w:bottom w:type="dxa" w:w="70"/>
              <w:right w:type="dxa" w:w="120"/>
            </w:tcMar>
          </w:tcPr>
          <w:p>
            <w:r>
              <w:rPr>
                <w:sz w:val="19"/>
                <w:szCs w:val="19"/>
              </w:rPr>
              <w:t xml:space="preserve">CELU</w:t>
            </w:r>
          </w:p>
        </w:tc>
        <w:tc>
          <w:tcPr>
            <w:tcW w:type="pct" w:w="1700"/>
            <w:shd w:fill="FFFFFF" w:val="clear"/>
            <w:tcMar>
              <w:top w:type="dxa" w:w="70"/>
              <w:left w:type="dxa" w:w="120"/>
              <w:bottom w:type="dxa" w:w="70"/>
              <w:right w:type="dxa" w:w="120"/>
            </w:tcMar>
          </w:tcPr>
          <w:p>
            <w:r>
              <w:rPr>
                <w:sz w:val="19"/>
                <w:szCs w:val="19"/>
              </w:rPr>
              <w:t xml:space="preserve">20/05/2025 → 10/06/2025</w:t>
            </w:r>
          </w:p>
        </w:tc>
        <w:tc>
          <w:tcPr>
            <w:tcW w:type="pct" w:w="600"/>
            <w:shd w:fill="FFFFFF" w:val="clear"/>
            <w:tcMar>
              <w:top w:type="dxa" w:w="70"/>
              <w:left w:type="dxa" w:w="120"/>
              <w:bottom w:type="dxa" w:w="70"/>
              <w:right w:type="dxa" w:w="120"/>
            </w:tcMar>
          </w:tcPr>
          <w:p>
            <w:r>
              <w:rPr>
                <w:sz w:val="19"/>
                <w:szCs w:val="19"/>
              </w:rPr>
              <w:t xml:space="preserve">16</w:t>
            </w:r>
          </w:p>
        </w:tc>
        <w:tc>
          <w:tcPr>
            <w:tcW w:type="pct" w:w="1000"/>
            <w:shd w:fill="FFFFFF" w:val="clear"/>
            <w:tcMar>
              <w:top w:type="dxa" w:w="70"/>
              <w:left w:type="dxa" w:w="120"/>
              <w:bottom w:type="dxa" w:w="70"/>
              <w:right w:type="dxa" w:w="120"/>
            </w:tcMar>
          </w:tcPr>
          <w:p>
            <w:r>
              <w:rPr>
                <w:sz w:val="19"/>
                <w:szCs w:val="19"/>
              </w:rPr>
              <w:t xml:space="preserve">245%</w:t>
            </w:r>
          </w:p>
        </w:tc>
        <w:tc>
          <w:tcPr>
            <w:tcW w:type="pct" w:w="1000"/>
            <w:shd w:fill="FFFFFF" w:val="clear"/>
            <w:tcMar>
              <w:top w:type="dxa" w:w="70"/>
              <w:left w:type="dxa" w:w="120"/>
              <w:bottom w:type="dxa" w:w="70"/>
              <w:right w:type="dxa" w:w="120"/>
            </w:tcMar>
          </w:tcPr>
          <w:p>
            <w:r>
              <w:rPr>
                <w:sz w:val="19"/>
                <w:szCs w:val="19"/>
              </w:rPr>
              <w:t xml:space="preserve">36%</w:t>
            </w:r>
          </w:p>
        </w:tc>
      </w:tr>
      <w:tr>
        <w:trPr>
          <w:cantSplit/>
        </w:trPr>
        <w:tc>
          <w:tcPr>
            <w:tcW w:type="pct" w:w="700"/>
            <w:shd w:fill="FAFCFD" w:val="clear"/>
            <w:tcMar>
              <w:top w:type="dxa" w:w="70"/>
              <w:left w:type="dxa" w:w="120"/>
              <w:bottom w:type="dxa" w:w="70"/>
              <w:right w:type="dxa" w:w="120"/>
            </w:tcMar>
          </w:tcPr>
          <w:p>
            <w:r>
              <w:rPr>
                <w:sz w:val="19"/>
                <w:szCs w:val="19"/>
              </w:rPr>
              <w:t xml:space="preserve">CELU</w:t>
            </w:r>
          </w:p>
        </w:tc>
        <w:tc>
          <w:tcPr>
            <w:tcW w:type="pct" w:w="1700"/>
            <w:shd w:fill="FAFCFD" w:val="clear"/>
            <w:tcMar>
              <w:top w:type="dxa" w:w="70"/>
              <w:left w:type="dxa" w:w="120"/>
              <w:bottom w:type="dxa" w:w="70"/>
              <w:right w:type="dxa" w:w="120"/>
            </w:tcMar>
          </w:tcPr>
          <w:p>
            <w:r>
              <w:rPr>
                <w:sz w:val="19"/>
                <w:szCs w:val="19"/>
              </w:rPr>
              <w:t xml:space="preserve">24/06/2025 → 07/07/2025</w:t>
            </w:r>
          </w:p>
        </w:tc>
        <w:tc>
          <w:tcPr>
            <w:tcW w:type="pct" w:w="600"/>
            <w:shd w:fill="FAFCFD" w:val="clear"/>
            <w:tcMar>
              <w:top w:type="dxa" w:w="70"/>
              <w:left w:type="dxa" w:w="120"/>
              <w:bottom w:type="dxa" w:w="70"/>
              <w:right w:type="dxa" w:w="120"/>
            </w:tcMar>
          </w:tcPr>
          <w:p>
            <w:r>
              <w:rPr>
                <w:sz w:val="19"/>
                <w:szCs w:val="19"/>
              </w:rPr>
              <w:t xml:space="preserve">10</w:t>
            </w:r>
          </w:p>
        </w:tc>
        <w:tc>
          <w:tcPr>
            <w:tcW w:type="pct" w:w="1000"/>
            <w:shd w:fill="FAFCFD" w:val="clear"/>
            <w:tcMar>
              <w:top w:type="dxa" w:w="70"/>
              <w:left w:type="dxa" w:w="120"/>
              <w:bottom w:type="dxa" w:w="70"/>
              <w:right w:type="dxa" w:w="120"/>
            </w:tcMar>
          </w:tcPr>
          <w:p>
            <w:r>
              <w:rPr>
                <w:sz w:val="19"/>
                <w:szCs w:val="19"/>
              </w:rPr>
              <w:t xml:space="preserve">107%</w:t>
            </w:r>
          </w:p>
        </w:tc>
        <w:tc>
          <w:tcPr>
            <w:tcW w:type="pct" w:w="1000"/>
            <w:shd w:fill="FAFCFD" w:val="clear"/>
            <w:tcMar>
              <w:top w:type="dxa" w:w="70"/>
              <w:left w:type="dxa" w:w="120"/>
              <w:bottom w:type="dxa" w:w="70"/>
              <w:right w:type="dxa" w:w="120"/>
            </w:tcMar>
          </w:tcPr>
          <w:p>
            <w:r>
              <w:rPr>
                <w:sz w:val="19"/>
                <w:szCs w:val="19"/>
              </w:rPr>
              <w:t xml:space="preserve">39%</w:t>
            </w:r>
          </w:p>
        </w:tc>
      </w:tr>
      <w:tr>
        <w:trPr>
          <w:cantSplit/>
        </w:trPr>
        <w:tc>
          <w:tcPr>
            <w:tcW w:type="pct" w:w="700"/>
            <w:shd w:fill="FFFFFF" w:val="clear"/>
            <w:tcMar>
              <w:top w:type="dxa" w:w="70"/>
              <w:left w:type="dxa" w:w="120"/>
              <w:bottom w:type="dxa" w:w="70"/>
              <w:right w:type="dxa" w:w="120"/>
            </w:tcMar>
          </w:tcPr>
          <w:p>
            <w:r>
              <w:rPr>
                <w:sz w:val="19"/>
                <w:szCs w:val="19"/>
              </w:rPr>
              <w:t xml:space="preserve">CELU</w:t>
            </w:r>
          </w:p>
        </w:tc>
        <w:tc>
          <w:tcPr>
            <w:tcW w:type="pct" w:w="1700"/>
            <w:shd w:fill="FFFFFF" w:val="clear"/>
            <w:tcMar>
              <w:top w:type="dxa" w:w="70"/>
              <w:left w:type="dxa" w:w="120"/>
              <w:bottom w:type="dxa" w:w="70"/>
              <w:right w:type="dxa" w:w="120"/>
            </w:tcMar>
          </w:tcPr>
          <w:p>
            <w:r>
              <w:rPr>
                <w:sz w:val="19"/>
                <w:szCs w:val="19"/>
              </w:rPr>
              <w:t xml:space="preserve">18/02/2026 → 18/03/2026</w:t>
            </w:r>
          </w:p>
        </w:tc>
        <w:tc>
          <w:tcPr>
            <w:tcW w:type="pct" w:w="600"/>
            <w:shd w:fill="FFFFFF" w:val="clear"/>
            <w:tcMar>
              <w:top w:type="dxa" w:w="70"/>
              <w:left w:type="dxa" w:w="120"/>
              <w:bottom w:type="dxa" w:w="70"/>
              <w:right w:type="dxa" w:w="120"/>
            </w:tcMar>
          </w:tcPr>
          <w:p>
            <w:r>
              <w:rPr>
                <w:sz w:val="19"/>
                <w:szCs w:val="19"/>
              </w:rPr>
              <w:t xml:space="preserve">21</w:t>
            </w:r>
          </w:p>
        </w:tc>
        <w:tc>
          <w:tcPr>
            <w:tcW w:type="pct" w:w="1000"/>
            <w:shd w:fill="FFFFFF" w:val="clear"/>
            <w:tcMar>
              <w:top w:type="dxa" w:w="70"/>
              <w:left w:type="dxa" w:w="120"/>
              <w:bottom w:type="dxa" w:w="70"/>
              <w:right w:type="dxa" w:w="120"/>
            </w:tcMar>
          </w:tcPr>
          <w:p>
            <w:r>
              <w:rPr>
                <w:sz w:val="19"/>
                <w:szCs w:val="19"/>
              </w:rPr>
              <w:t xml:space="preserve">242%</w:t>
            </w:r>
          </w:p>
        </w:tc>
        <w:tc>
          <w:tcPr>
            <w:tcW w:type="pct" w:w="1000"/>
            <w:shd w:fill="FFFFFF" w:val="clear"/>
            <w:tcMar>
              <w:top w:type="dxa" w:w="70"/>
              <w:left w:type="dxa" w:w="120"/>
              <w:bottom w:type="dxa" w:w="70"/>
              <w:right w:type="dxa" w:w="120"/>
            </w:tcMar>
          </w:tcPr>
          <w:p>
            <w:r>
              <w:rPr>
                <w:sz w:val="19"/>
                <w:szCs w:val="19"/>
              </w:rPr>
              <w:t xml:space="preserve">37%</w:t>
            </w:r>
          </w:p>
        </w:tc>
      </w:tr>
      <w:tr>
        <w:trPr>
          <w:cantSplit/>
        </w:trPr>
        <w:tc>
          <w:tcPr>
            <w:tcW w:type="pct" w:w="700"/>
            <w:shd w:fill="FAFCFD" w:val="clear"/>
            <w:tcMar>
              <w:top w:type="dxa" w:w="70"/>
              <w:left w:type="dxa" w:w="120"/>
              <w:bottom w:type="dxa" w:w="70"/>
              <w:right w:type="dxa" w:w="120"/>
            </w:tcMar>
          </w:tcPr>
          <w:p>
            <w:r>
              <w:rPr>
                <w:sz w:val="19"/>
                <w:szCs w:val="19"/>
              </w:rPr>
              <w:t xml:space="preserve">SAMI</w:t>
            </w:r>
          </w:p>
        </w:tc>
        <w:tc>
          <w:tcPr>
            <w:tcW w:type="pct" w:w="1700"/>
            <w:shd w:fill="FAFCFD" w:val="clear"/>
            <w:tcMar>
              <w:top w:type="dxa" w:w="70"/>
              <w:left w:type="dxa" w:w="120"/>
              <w:bottom w:type="dxa" w:w="70"/>
              <w:right w:type="dxa" w:w="120"/>
            </w:tcMar>
          </w:tcPr>
          <w:p>
            <w:r>
              <w:rPr>
                <w:sz w:val="19"/>
                <w:szCs w:val="19"/>
              </w:rPr>
              <w:t xml:space="preserve">20/05/2025 → 02/06/2025</w:t>
            </w:r>
          </w:p>
        </w:tc>
        <w:tc>
          <w:tcPr>
            <w:tcW w:type="pct" w:w="600"/>
            <w:shd w:fill="FAFCFD" w:val="clear"/>
            <w:tcMar>
              <w:top w:type="dxa" w:w="70"/>
              <w:left w:type="dxa" w:w="120"/>
              <w:bottom w:type="dxa" w:w="70"/>
              <w:right w:type="dxa" w:w="120"/>
            </w:tcMar>
          </w:tcPr>
          <w:p>
            <w:r>
              <w:rPr>
                <w:sz w:val="19"/>
                <w:szCs w:val="19"/>
              </w:rPr>
              <w:t xml:space="preserve">10</w:t>
            </w:r>
          </w:p>
        </w:tc>
        <w:tc>
          <w:tcPr>
            <w:tcW w:type="pct" w:w="1000"/>
            <w:shd w:fill="FAFCFD" w:val="clear"/>
            <w:tcMar>
              <w:top w:type="dxa" w:w="70"/>
              <w:left w:type="dxa" w:w="120"/>
              <w:bottom w:type="dxa" w:w="70"/>
              <w:right w:type="dxa" w:w="120"/>
            </w:tcMar>
          </w:tcPr>
          <w:p>
            <w:r>
              <w:rPr>
                <w:sz w:val="19"/>
                <w:szCs w:val="19"/>
              </w:rPr>
              <w:t xml:space="preserve">114%</w:t>
            </w:r>
          </w:p>
        </w:tc>
        <w:tc>
          <w:tcPr>
            <w:tcW w:type="pct" w:w="1000"/>
            <w:shd w:fill="FAFCFD" w:val="clear"/>
            <w:tcMar>
              <w:top w:type="dxa" w:w="70"/>
              <w:left w:type="dxa" w:w="120"/>
              <w:bottom w:type="dxa" w:w="70"/>
              <w:right w:type="dxa" w:w="120"/>
            </w:tcMar>
          </w:tcPr>
          <w:p>
            <w:r>
              <w:rPr>
                <w:sz w:val="19"/>
                <w:szCs w:val="19"/>
              </w:rPr>
              <w:t xml:space="preserve">47%</w:t>
            </w:r>
          </w:p>
        </w:tc>
      </w:tr>
      <w:tr>
        <w:trPr>
          <w:cantSplit/>
        </w:trPr>
        <w:tc>
          <w:tcPr>
            <w:tcW w:type="pct" w:w="700"/>
            <w:shd w:fill="FFFFFF" w:val="clear"/>
            <w:tcMar>
              <w:top w:type="dxa" w:w="70"/>
              <w:left w:type="dxa" w:w="120"/>
              <w:bottom w:type="dxa" w:w="70"/>
              <w:right w:type="dxa" w:w="120"/>
            </w:tcMar>
          </w:tcPr>
          <w:p>
            <w:r>
              <w:rPr>
                <w:sz w:val="19"/>
                <w:szCs w:val="19"/>
              </w:rPr>
              <w:t xml:space="preserve">SAMI</w:t>
            </w:r>
          </w:p>
        </w:tc>
        <w:tc>
          <w:tcPr>
            <w:tcW w:type="pct" w:w="1700"/>
            <w:shd w:fill="FFFFFF" w:val="clear"/>
            <w:tcMar>
              <w:top w:type="dxa" w:w="70"/>
              <w:left w:type="dxa" w:w="120"/>
              <w:bottom w:type="dxa" w:w="70"/>
              <w:right w:type="dxa" w:w="120"/>
            </w:tcMar>
          </w:tcPr>
          <w:p>
            <w:r>
              <w:rPr>
                <w:sz w:val="19"/>
                <w:szCs w:val="19"/>
              </w:rPr>
              <w:t xml:space="preserve">06/02/2026 → 05/03/2026</w:t>
            </w:r>
          </w:p>
        </w:tc>
        <w:tc>
          <w:tcPr>
            <w:tcW w:type="pct" w:w="600"/>
            <w:shd w:fill="FFFFFF" w:val="clear"/>
            <w:tcMar>
              <w:top w:type="dxa" w:w="70"/>
              <w:left w:type="dxa" w:w="120"/>
              <w:bottom w:type="dxa" w:w="70"/>
              <w:right w:type="dxa" w:w="120"/>
            </w:tcMar>
          </w:tcPr>
          <w:p>
            <w:r>
              <w:rPr>
                <w:sz w:val="19"/>
                <w:szCs w:val="19"/>
              </w:rPr>
              <w:t xml:space="preserve">18</w:t>
            </w:r>
          </w:p>
        </w:tc>
        <w:tc>
          <w:tcPr>
            <w:tcW w:type="pct" w:w="1000"/>
            <w:shd w:fill="FFFFFF" w:val="clear"/>
            <w:tcMar>
              <w:top w:type="dxa" w:w="70"/>
              <w:left w:type="dxa" w:w="120"/>
              <w:bottom w:type="dxa" w:w="70"/>
              <w:right w:type="dxa" w:w="120"/>
            </w:tcMar>
          </w:tcPr>
          <w:p>
            <w:r>
              <w:rPr>
                <w:sz w:val="19"/>
                <w:szCs w:val="19"/>
              </w:rPr>
              <w:t xml:space="preserve">103%</w:t>
            </w:r>
          </w:p>
        </w:tc>
        <w:tc>
          <w:tcPr>
            <w:tcW w:type="pct" w:w="1000"/>
            <w:shd w:fill="FFFFFF" w:val="clear"/>
            <w:tcMar>
              <w:top w:type="dxa" w:w="70"/>
              <w:left w:type="dxa" w:w="120"/>
              <w:bottom w:type="dxa" w:w="70"/>
              <w:right w:type="dxa" w:w="120"/>
            </w:tcMar>
          </w:tcPr>
          <w:p>
            <w:r>
              <w:rPr>
                <w:sz w:val="19"/>
                <w:szCs w:val="19"/>
              </w:rPr>
              <w:t xml:space="preserve">41%</w:t>
            </w:r>
          </w:p>
        </w:tc>
      </w:tr>
      <w:tr>
        <w:trPr>
          <w:cantSplit/>
        </w:trPr>
        <w:tc>
          <w:tcPr>
            <w:tcW w:type="pct" w:w="700"/>
            <w:shd w:fill="FAFCFD" w:val="clear"/>
            <w:tcMar>
              <w:top w:type="dxa" w:w="70"/>
              <w:left w:type="dxa" w:w="120"/>
              <w:bottom w:type="dxa" w:w="70"/>
              <w:right w:type="dxa" w:w="120"/>
            </w:tcMar>
          </w:tcPr>
          <w:p>
            <w:r>
              <w:rPr>
                <w:sz w:val="19"/>
                <w:szCs w:val="19"/>
              </w:rPr>
              <w:t xml:space="preserve">GARO</w:t>
            </w:r>
          </w:p>
        </w:tc>
        <w:tc>
          <w:tcPr>
            <w:tcW w:type="pct" w:w="1700"/>
            <w:shd w:fill="FAFCFD" w:val="clear"/>
            <w:tcMar>
              <w:top w:type="dxa" w:w="70"/>
              <w:left w:type="dxa" w:w="120"/>
              <w:bottom w:type="dxa" w:w="70"/>
              <w:right w:type="dxa" w:w="120"/>
            </w:tcMar>
          </w:tcPr>
          <w:p>
            <w:r>
              <w:rPr>
                <w:sz w:val="19"/>
                <w:szCs w:val="19"/>
              </w:rPr>
              <w:t xml:space="preserve">11/07/2025 → 12/08/2025</w:t>
            </w:r>
          </w:p>
        </w:tc>
        <w:tc>
          <w:tcPr>
            <w:tcW w:type="pct" w:w="600"/>
            <w:shd w:fill="FAFCFD" w:val="clear"/>
            <w:tcMar>
              <w:top w:type="dxa" w:w="70"/>
              <w:left w:type="dxa" w:w="120"/>
              <w:bottom w:type="dxa" w:w="70"/>
              <w:right w:type="dxa" w:w="120"/>
            </w:tcMar>
          </w:tcPr>
          <w:p>
            <w:r>
              <w:rPr>
                <w:sz w:val="19"/>
                <w:szCs w:val="19"/>
              </w:rPr>
              <w:t xml:space="preserve">23</w:t>
            </w:r>
          </w:p>
        </w:tc>
        <w:tc>
          <w:tcPr>
            <w:tcW w:type="pct" w:w="1000"/>
            <w:shd w:fill="FAFCFD" w:val="clear"/>
            <w:tcMar>
              <w:top w:type="dxa" w:w="70"/>
              <w:left w:type="dxa" w:w="120"/>
              <w:bottom w:type="dxa" w:w="70"/>
              <w:right w:type="dxa" w:w="120"/>
            </w:tcMar>
          </w:tcPr>
          <w:p>
            <w:r>
              <w:rPr>
                <w:sz w:val="19"/>
                <w:szCs w:val="19"/>
              </w:rPr>
              <w:t xml:space="preserve">147%</w:t>
            </w:r>
          </w:p>
        </w:tc>
        <w:tc>
          <w:tcPr>
            <w:tcW w:type="pct" w:w="1000"/>
            <w:shd w:fill="FAFCFD" w:val="clear"/>
            <w:tcMar>
              <w:top w:type="dxa" w:w="70"/>
              <w:left w:type="dxa" w:w="120"/>
              <w:bottom w:type="dxa" w:w="70"/>
              <w:right w:type="dxa" w:w="120"/>
            </w:tcMar>
          </w:tcPr>
          <w:p>
            <w:r>
              <w:rPr>
                <w:sz w:val="19"/>
                <w:szCs w:val="19"/>
              </w:rPr>
              <w:t xml:space="preserve">38%</w:t>
            </w:r>
          </w:p>
        </w:tc>
      </w:tr>
      <w:tr>
        <w:trPr>
          <w:cantSplit/>
        </w:trPr>
        <w:tc>
          <w:tcPr>
            <w:tcW w:type="pct" w:w="700"/>
            <w:shd w:fill="FFFFFF" w:val="clear"/>
            <w:tcMar>
              <w:top w:type="dxa" w:w="70"/>
              <w:left w:type="dxa" w:w="120"/>
              <w:bottom w:type="dxa" w:w="70"/>
              <w:right w:type="dxa" w:w="120"/>
            </w:tcMar>
          </w:tcPr>
          <w:p>
            <w:r>
              <w:rPr>
                <w:sz w:val="19"/>
                <w:szCs w:val="19"/>
              </w:rPr>
              <w:t xml:space="preserve">RIGO</w:t>
            </w:r>
          </w:p>
        </w:tc>
        <w:tc>
          <w:tcPr>
            <w:tcW w:type="pct" w:w="1700"/>
            <w:shd w:fill="FFFFFF" w:val="clear"/>
            <w:tcMar>
              <w:top w:type="dxa" w:w="70"/>
              <w:left w:type="dxa" w:w="120"/>
              <w:bottom w:type="dxa" w:w="70"/>
              <w:right w:type="dxa" w:w="120"/>
            </w:tcMar>
          </w:tcPr>
          <w:p>
            <w:r>
              <w:rPr>
                <w:sz w:val="19"/>
                <w:szCs w:val="19"/>
              </w:rPr>
              <w:t xml:space="preserve">18/06/2025 → 17/07/2025</w:t>
            </w:r>
          </w:p>
        </w:tc>
        <w:tc>
          <w:tcPr>
            <w:tcW w:type="pct" w:w="600"/>
            <w:shd w:fill="FFFFFF" w:val="clear"/>
            <w:tcMar>
              <w:top w:type="dxa" w:w="70"/>
              <w:left w:type="dxa" w:w="120"/>
              <w:bottom w:type="dxa" w:w="70"/>
              <w:right w:type="dxa" w:w="120"/>
            </w:tcMar>
          </w:tcPr>
          <w:p>
            <w:r>
              <w:rPr>
                <w:sz w:val="19"/>
                <w:szCs w:val="19"/>
              </w:rPr>
              <w:t xml:space="preserve">20</w:t>
            </w:r>
          </w:p>
        </w:tc>
        <w:tc>
          <w:tcPr>
            <w:tcW w:type="pct" w:w="1000"/>
            <w:shd w:fill="FFFFFF" w:val="clear"/>
            <w:tcMar>
              <w:top w:type="dxa" w:w="70"/>
              <w:left w:type="dxa" w:w="120"/>
              <w:bottom w:type="dxa" w:w="70"/>
              <w:right w:type="dxa" w:w="120"/>
            </w:tcMar>
          </w:tcPr>
          <w:p>
            <w:r>
              <w:rPr>
                <w:sz w:val="19"/>
                <w:szCs w:val="19"/>
              </w:rPr>
              <w:t xml:space="preserve">146%</w:t>
            </w:r>
          </w:p>
        </w:tc>
        <w:tc>
          <w:tcPr>
            <w:tcW w:type="pct" w:w="1000"/>
            <w:shd w:fill="FFFFFF" w:val="clear"/>
            <w:tcMar>
              <w:top w:type="dxa" w:w="70"/>
              <w:left w:type="dxa" w:w="120"/>
              <w:bottom w:type="dxa" w:w="70"/>
              <w:right w:type="dxa" w:w="120"/>
            </w:tcMar>
          </w:tcPr>
          <w:p>
            <w:r>
              <w:rPr>
                <w:sz w:val="19"/>
                <w:szCs w:val="19"/>
              </w:rPr>
              <w:t xml:space="preserve">38%</w:t>
            </w:r>
          </w:p>
        </w:tc>
      </w:tr>
    </w:tbl>
    <w:p>
      <w:pPr>
        <w:spacing w:after="160" w:line="300"/>
      </w:pPr>
      <w:r>
        <w:t xml:space="preserve"/>
      </w:r>
    </w:p>
    <w:p>
      <w:pPr>
        <w:spacing w:after="160" w:line="300"/>
      </w:pPr>
      <w:r>
        <w:rPr>
          <w:b/>
          <w:bCs/>
        </w:rPr>
        <w:t xml:space="preserve">Para cruzar con las noticias. </w:t>
      </w:r>
      <w:r>
        <w:t xml:space="preserve">Estos tramos son los candidatos naturales a eventos propios de cada empresa (una noticia puntual, un hecho relevante, un cambio de control). Cuando se una con el lado de sentimiento, vale la pena ver si coinciden con algo en el corpus o si son ruido de mercado de acciones poco líquidas.</w:t>
      </w:r>
    </w:p>
    <w:p>
      <w:pPr>
        <w:pStyle w:val="Heading1"/>
        <w:keepNext/>
        <w:spacing w:after="160" w:before="360"/>
      </w:pPr>
      <w:r>
        <w:t xml:space="preserve">5. Archivos generados</w:t>
      </w:r>
    </w:p>
    <w:p>
      <w:pPr>
        <w:spacing w:after="160" w:line="300"/>
      </w:pPr>
      <w:r>
        <w:rPr>
          <w:rFonts w:ascii="Consolas" w:cs="Consolas" w:eastAsia="Consolas" w:hAnsi="Consolas"/>
          <w:color w:val="1C3A5C"/>
          <w:sz w:val="19"/>
          <w:szCs w:val="19"/>
        </w:rPr>
        <w:t xml:space="preserve">D:\2.Tesina\tesis version 3.0\Lado Bursatil\05_volatilidad_ranking\</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084"/>
        <w:gridCol w:w="6554"/>
      </w:tblGrid>
      <w:tr>
        <w:trPr>
          <w:tblHeader/>
        </w:trPr>
        <w:tc>
          <w:tcPr>
            <w:tcW w:type="pct" w:w="1600"/>
            <w:shd w:fill="1C3A5C" w:val="clear"/>
            <w:tcMar>
              <w:top w:type="dxa" w:w="80"/>
              <w:left w:type="dxa" w:w="120"/>
              <w:bottom w:type="dxa" w:w="80"/>
              <w:right w:type="dxa" w:w="120"/>
            </w:tcMar>
          </w:tcPr>
          <w:p>
            <w:r>
              <w:rPr>
                <w:b/>
                <w:bCs/>
                <w:color w:val="FFFFFF"/>
                <w:sz w:val="19"/>
                <w:szCs w:val="19"/>
              </w:rPr>
              <w:t xml:space="preserve">Archivo</w:t>
            </w:r>
          </w:p>
        </w:tc>
        <w:tc>
          <w:tcPr>
            <w:tcW w:type="pct" w:w="3400"/>
            <w:shd w:fill="1C3A5C" w:val="clear"/>
            <w:tcMar>
              <w:top w:type="dxa" w:w="80"/>
              <w:left w:type="dxa" w:w="120"/>
              <w:bottom w:type="dxa" w:w="80"/>
              <w:right w:type="dxa" w:w="120"/>
            </w:tcMar>
          </w:tcPr>
          <w:p>
            <w:r>
              <w:rPr>
                <w:b/>
                <w:bCs/>
                <w:color w:val="FFFFFF"/>
                <w:sz w:val="19"/>
                <w:szCs w:val="19"/>
              </w:rPr>
              <w:t xml:space="preserve">Qué es</w:t>
            </w:r>
          </w:p>
        </w:tc>
      </w:tr>
      <w:tr>
        <w:trPr>
          <w:cantSplit/>
        </w:trPr>
        <w:tc>
          <w:tcPr>
            <w:tcW w:type="pct" w:w="1600"/>
            <w:shd w:fill="FFFFFF" w:val="clear"/>
            <w:tcMar>
              <w:top w:type="dxa" w:w="70"/>
              <w:left w:type="dxa" w:w="120"/>
              <w:bottom w:type="dxa" w:w="70"/>
              <w:right w:type="dxa" w:w="120"/>
            </w:tcMar>
          </w:tcPr>
          <w:p>
            <w:r>
              <w:rPr>
                <w:sz w:val="19"/>
                <w:szCs w:val="19"/>
              </w:rPr>
              <w:t xml:space="preserve">volatilidad_ranking.py</w:t>
            </w:r>
          </w:p>
        </w:tc>
        <w:tc>
          <w:tcPr>
            <w:tcW w:type="pct" w:w="3400"/>
            <w:shd w:fill="FFFFFF" w:val="clear"/>
            <w:tcMar>
              <w:top w:type="dxa" w:w="70"/>
              <w:left w:type="dxa" w:w="120"/>
              <w:bottom w:type="dxa" w:w="70"/>
              <w:right w:type="dxa" w:w="120"/>
            </w:tcMar>
          </w:tcPr>
          <w:p>
            <w:r>
              <w:rPr>
                <w:sz w:val="19"/>
                <w:szCs w:val="19"/>
              </w:rPr>
              <w:t xml:space="preserve">Script único. Calcula la volatilidad rodante de las 47 acciones, el ranking, los picos propios y los dos gráficos.</w:t>
            </w:r>
          </w:p>
        </w:tc>
      </w:tr>
      <w:tr>
        <w:trPr>
          <w:cantSplit/>
        </w:trPr>
        <w:tc>
          <w:tcPr>
            <w:tcW w:type="pct" w:w="1600"/>
            <w:shd w:fill="FAFCFD" w:val="clear"/>
            <w:tcMar>
              <w:top w:type="dxa" w:w="70"/>
              <w:left w:type="dxa" w:w="120"/>
              <w:bottom w:type="dxa" w:w="70"/>
              <w:right w:type="dxa" w:w="120"/>
            </w:tcMar>
          </w:tcPr>
          <w:p>
            <w:r>
              <w:rPr>
                <w:sz w:val="19"/>
                <w:szCs w:val="19"/>
              </w:rPr>
              <w:t xml:space="preserve">volatilidad_acciones.csv</w:t>
            </w:r>
          </w:p>
        </w:tc>
        <w:tc>
          <w:tcPr>
            <w:tcW w:type="pct" w:w="3400"/>
            <w:shd w:fill="FAFCFD" w:val="clear"/>
            <w:tcMar>
              <w:top w:type="dxa" w:w="70"/>
              <w:left w:type="dxa" w:w="120"/>
              <w:bottom w:type="dxa" w:w="70"/>
              <w:right w:type="dxa" w:w="120"/>
            </w:tcMar>
          </w:tcPr>
          <w:p>
            <w:r>
              <w:rPr>
                <w:sz w:val="19"/>
                <w:szCs w:val="19"/>
              </w:rPr>
              <w:t xml:space="preserve">Formato ancho: una columna por acción, una fila por día (323 días).</w:t>
            </w:r>
          </w:p>
        </w:tc>
      </w:tr>
      <w:tr>
        <w:trPr>
          <w:cantSplit/>
        </w:trPr>
        <w:tc>
          <w:tcPr>
            <w:tcW w:type="pct" w:w="1600"/>
            <w:shd w:fill="FFFFFF" w:val="clear"/>
            <w:tcMar>
              <w:top w:type="dxa" w:w="70"/>
              <w:left w:type="dxa" w:w="120"/>
              <w:bottom w:type="dxa" w:w="70"/>
              <w:right w:type="dxa" w:w="120"/>
            </w:tcMar>
          </w:tcPr>
          <w:p>
            <w:r>
              <w:rPr>
                <w:sz w:val="19"/>
                <w:szCs w:val="19"/>
              </w:rPr>
              <w:t xml:space="preserve">ranking_volatilidad.csv</w:t>
            </w:r>
          </w:p>
        </w:tc>
        <w:tc>
          <w:tcPr>
            <w:tcW w:type="pct" w:w="3400"/>
            <w:shd w:fill="FFFFFF" w:val="clear"/>
            <w:tcMar>
              <w:top w:type="dxa" w:w="70"/>
              <w:left w:type="dxa" w:w="120"/>
              <w:bottom w:type="dxa" w:w="70"/>
              <w:right w:type="dxa" w:w="120"/>
            </w:tcMar>
          </w:tcPr>
          <w:p>
            <w:r>
              <w:rPr>
                <w:sz w:val="19"/>
                <w:szCs w:val="19"/>
              </w:rPr>
              <w:t xml:space="preserve">Una fila por acción: ticker, empresa, sector, volatilidad promedio.</w:t>
            </w:r>
          </w:p>
        </w:tc>
      </w:tr>
      <w:tr>
        <w:trPr>
          <w:cantSplit/>
        </w:trPr>
        <w:tc>
          <w:tcPr>
            <w:tcW w:type="pct" w:w="1600"/>
            <w:shd w:fill="FAFCFD" w:val="clear"/>
            <w:tcMar>
              <w:top w:type="dxa" w:w="70"/>
              <w:left w:type="dxa" w:w="120"/>
              <w:bottom w:type="dxa" w:w="70"/>
              <w:right w:type="dxa" w:w="120"/>
            </w:tcMar>
          </w:tcPr>
          <w:p>
            <w:r>
              <w:rPr>
                <w:sz w:val="19"/>
                <w:szCs w:val="19"/>
              </w:rPr>
              <w:t xml:space="preserve">picos_propios.csv</w:t>
            </w:r>
          </w:p>
        </w:tc>
        <w:tc>
          <w:tcPr>
            <w:tcW w:type="pct" w:w="3400"/>
            <w:shd w:fill="FAFCFD" w:val="clear"/>
            <w:tcMar>
              <w:top w:type="dxa" w:w="70"/>
              <w:left w:type="dxa" w:w="120"/>
              <w:bottom w:type="dxa" w:w="70"/>
              <w:right w:type="dxa" w:w="120"/>
            </w:tcMar>
          </w:tcPr>
          <w:p>
            <w:r>
              <w:rPr>
                <w:sz w:val="19"/>
                <w:szCs w:val="19"/>
              </w:rPr>
              <w:t xml:space="preserve">Un episodio por fila: acción, tramo, pico, VIX ese día y si arranca tras una caída brusca del VIX (eco de ventana).</w:t>
            </w:r>
          </w:p>
        </w:tc>
      </w:tr>
      <w:tr>
        <w:trPr>
          <w:cantSplit/>
        </w:trPr>
        <w:tc>
          <w:tcPr>
            <w:tcW w:type="pct" w:w="1600"/>
            <w:shd w:fill="FFFFFF" w:val="clear"/>
            <w:tcMar>
              <w:top w:type="dxa" w:w="70"/>
              <w:left w:type="dxa" w:w="120"/>
              <w:bottom w:type="dxa" w:w="70"/>
              <w:right w:type="dxa" w:w="120"/>
            </w:tcMar>
          </w:tcPr>
          <w:p>
            <w:r>
              <w:rPr>
                <w:sz w:val="19"/>
                <w:szCs w:val="19"/>
              </w:rPr>
              <w:t xml:space="preserve">ranking_volatilidad.png</w:t>
            </w:r>
          </w:p>
        </w:tc>
        <w:tc>
          <w:tcPr>
            <w:tcW w:type="pct" w:w="3400"/>
            <w:shd w:fill="FFFFFF" w:val="clear"/>
            <w:tcMar>
              <w:top w:type="dxa" w:w="70"/>
              <w:left w:type="dxa" w:w="120"/>
              <w:bottom w:type="dxa" w:w="70"/>
              <w:right w:type="dxa" w:w="120"/>
            </w:tcMar>
          </w:tcPr>
          <w:p>
            <w:r>
              <w:rPr>
                <w:sz w:val="19"/>
                <w:szCs w:val="19"/>
              </w:rPr>
              <w:t xml:space="preserve">Barras horizontales, coloreadas por sector, con el VIX de mercado como referencia.</w:t>
            </w:r>
          </w:p>
        </w:tc>
      </w:tr>
      <w:tr>
        <w:trPr>
          <w:cantSplit/>
        </w:trPr>
        <w:tc>
          <w:tcPr>
            <w:tcW w:type="pct" w:w="1600"/>
            <w:shd w:fill="FAFCFD" w:val="clear"/>
            <w:tcMar>
              <w:top w:type="dxa" w:w="70"/>
              <w:left w:type="dxa" w:w="120"/>
              <w:bottom w:type="dxa" w:w="70"/>
              <w:right w:type="dxa" w:w="120"/>
            </w:tcMar>
          </w:tcPr>
          <w:p>
            <w:r>
              <w:rPr>
                <w:sz w:val="19"/>
                <w:szCs w:val="19"/>
              </w:rPr>
              <w:t xml:space="preserve">volatilidad_por_sector.png</w:t>
            </w:r>
          </w:p>
        </w:tc>
        <w:tc>
          <w:tcPr>
            <w:tcW w:type="pct" w:w="3400"/>
            <w:shd w:fill="FAFCFD" w:val="clear"/>
            <w:tcMar>
              <w:top w:type="dxa" w:w="70"/>
              <w:left w:type="dxa" w:w="120"/>
              <w:bottom w:type="dxa" w:w="70"/>
              <w:right w:type="dxa" w:w="120"/>
            </w:tcMar>
          </w:tcPr>
          <w:p>
            <w:r>
              <w:rPr>
                <w:sz w:val="19"/>
                <w:szCs w:val="19"/>
              </w:rPr>
              <w:t xml:space="preserve">Un panel por sector, cada acción vs. el VIX de mercado.</w:t>
            </w:r>
          </w:p>
        </w:tc>
      </w:tr>
    </w:tbl>
    <w:p>
      <w:pPr>
        <w:pStyle w:val="Heading1"/>
        <w:keepNext/>
        <w:spacing w:after="160" w:before="360"/>
      </w:pPr>
      <w:r>
        <w:t xml:space="preserve">6. Referencias bibliográficas</w:t>
      </w:r>
    </w:p>
    <w:p>
      <w:pPr>
        <w:spacing w:after="160" w:line="300"/>
      </w:pPr>
      <w:r>
        <w:t xml:space="preserve">Trabajos previos sobre este tema, en español, inglés y portugués. Los que son de acceso libre están descargados en </w:t>
      </w:r>
      <w:r>
        <w:rPr>
          <w:rFonts w:ascii="Consolas" w:cs="Consolas" w:eastAsia="Consolas" w:hAnsi="Consolas"/>
          <w:color w:val="1C3A5C"/>
          <w:sz w:val="19"/>
          <w:szCs w:val="19"/>
        </w:rPr>
        <w:t xml:space="preserve">papers\</w:t>
      </w:r>
      <w:r>
        <w:t xml:space="preserve"> dentro de esta misma carpeta (1 archivos); los que tienen acceso restringido se citan con su enlace oficial. La misma lista, en formato BibTeX para citar en la tesis, está en </w:t>
      </w:r>
      <w:r>
        <w:rPr>
          <w:rFonts w:ascii="Consolas" w:cs="Consolas" w:eastAsia="Consolas" w:hAnsi="Consolas"/>
          <w:color w:val="1C3A5C"/>
          <w:sz w:val="19"/>
          <w:szCs w:val="19"/>
        </w:rPr>
        <w:t xml:space="preserve">papers\referencias.bib</w:t>
      </w:r>
      <w:r>
        <w:t xml:space="preserve">.</w:t>
      </w:r>
    </w:p>
    <w:p>
      <w:pPr>
        <w:keepNext/>
        <w:keepLines/>
        <w:spacing w:after="80" w:before="200" w:line="276"/>
      </w:pPr>
      <w:r>
        <w:rPr>
          <w:b/>
          <w:bCs/>
          <w:color w:val="40798C"/>
        </w:rPr>
        <w:t xml:space="preserve">[1] </w:t>
      </w:r>
      <w:r>
        <w:rPr>
          <w:b/>
          <w:bCs/>
          <w:sz w:val="20"/>
          <w:szCs w:val="20"/>
        </w:rPr>
        <w:t xml:space="preserve">Kalnina, I. y Tewou, K. (2024). Cross-sectional Dependence in Idiosyncratic Volatility. arXiv:2408.13437.</w:t>
      </w:r>
    </w:p>
    <w:p>
      <w:pPr>
        <w:keepNext/>
        <w:keepLines/>
        <w:spacing w:after="60" w:line="276"/>
        <w:ind w:left="360"/>
      </w:pPr>
      <w:r>
        <w:rPr>
          <w:b/>
          <w:bCs/>
          <w:color w:val="1C3A5C"/>
          <w:sz w:val="19"/>
          <w:szCs w:val="19"/>
        </w:rPr>
        <w:t xml:space="preserve">De qué trata: </w:t>
      </w:r>
      <w:r>
        <w:rPr>
          <w:sz w:val="19"/>
          <w:szCs w:val="19"/>
        </w:rPr>
        <w:t xml:space="preserve">Estudia la dependencia entre las volatilidades idiosincráticas (propias) de distintos activos, es decir, la parte de la volatilidad que no explica el mercado.</w:t>
      </w:r>
    </w:p>
    <w:p>
      <w:pPr>
        <w:keepNext/>
        <w:keepLines/>
        <w:spacing w:after="60" w:line="276"/>
        <w:ind w:left="360"/>
      </w:pPr>
      <w:r>
        <w:rPr>
          <w:b/>
          <w:bCs/>
          <w:color w:val="1C3A5C"/>
          <w:sz w:val="19"/>
          <w:szCs w:val="19"/>
        </w:rPr>
        <w:t xml:space="preserve">Relación con este análisis: </w:t>
      </w:r>
      <w:r>
        <w:rPr>
          <w:sz w:val="19"/>
          <w:szCs w:val="19"/>
        </w:rPr>
        <w:t xml:space="preserve">Matiza los "picos propios" de la sección 4: que la volatilidad de una acción se despegue del VIX no significa que su causa sea exclusiva de esa empresa — las volatilidades propias de distintas acciones también pueden moverse juntas.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papers\2024_Idiosyncratic_volatility_dependence.pdf</w:t>
      </w:r>
      <w:r>
        <w:rPr>
          <w:color w:val="5C6B7A"/>
          <w:sz w:val="19"/>
          <w:szCs w:val="19"/>
        </w:rPr>
        <w:t xml:space="preserve">  ·  inglés</w:t>
      </w:r>
    </w:p>
    <w:p>
      <w:pPr>
        <w:keepNext/>
        <w:keepLines/>
        <w:spacing w:after="80" w:before="200" w:line="276"/>
      </w:pPr>
      <w:r>
        <w:rPr>
          <w:b/>
          <w:bCs/>
          <w:color w:val="40798C"/>
        </w:rPr>
        <w:t xml:space="preserve">[2] </w:t>
      </w:r>
      <w:r>
        <w:rPr>
          <w:b/>
          <w:bCs/>
          <w:sz w:val="20"/>
          <w:szCs w:val="20"/>
        </w:rPr>
        <w:t xml:space="preserve">Papaioannou, G., Papaioannou, P. y Parliaris, N. (2014). Modeling the stylized facts of wholesale system marginal price (SMP) and the impacts of regulatory reforms on the Greek Electricity Market. arXiv:1401.5452.</w:t>
      </w:r>
    </w:p>
    <w:p>
      <w:pPr>
        <w:keepNext/>
        <w:keepLines/>
        <w:spacing w:after="60" w:line="276"/>
        <w:ind w:left="360"/>
      </w:pPr>
      <w:r>
        <w:rPr>
          <w:b/>
          <w:bCs/>
          <w:color w:val="1C3A5C"/>
          <w:sz w:val="19"/>
          <w:szCs w:val="19"/>
        </w:rPr>
        <w:t xml:space="preserve">De qué trata: </w:t>
      </w:r>
      <w:r>
        <w:rPr>
          <w:sz w:val="19"/>
          <w:szCs w:val="19"/>
        </w:rPr>
        <w:t xml:space="preserve">Documenta los "ghost features" que genera la media móvil con pesos iguales en una serie de volatilidad (el PDF está en la carpeta 03).</w:t>
      </w:r>
    </w:p>
    <w:p>
      <w:pPr>
        <w:keepNext/>
        <w:keepLines/>
        <w:spacing w:after="60" w:line="276"/>
        <w:ind w:left="360"/>
      </w:pPr>
      <w:r>
        <w:rPr>
          <w:b/>
          <w:bCs/>
          <w:color w:val="1C3A5C"/>
          <w:sz w:val="19"/>
          <w:szCs w:val="19"/>
        </w:rPr>
        <w:t xml:space="preserve">Relación con este análisis: </w:t>
      </w:r>
      <w:r>
        <w:rPr>
          <w:sz w:val="19"/>
          <w:szCs w:val="19"/>
        </w:rPr>
        <w:t xml:space="preserve">Es el mismo efecto que separa los picos genuinos de los que son eco de la ventana: la volatilidad por acción usa la misma ventana de 20 días que el VIX.</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..\03_vix_argentino\papers\2014_Ghost_features_moving_average.pdf</w:t>
      </w:r>
      <w:r>
        <w:rPr>
          <w:color w:val="5C6B7A"/>
          <w:sz w:val="19"/>
          <w:szCs w:val="19"/>
        </w:rPr>
        <w:t xml:space="preserve">  ·  inglés</w:t>
      </w:r>
    </w:p>
    <w:p>
      <w:pPr>
        <w:keepNext/>
        <w:keepLines/>
        <w:spacing w:after="80" w:before="200" w:line="276"/>
      </w:pPr>
      <w:r>
        <w:rPr>
          <w:b/>
          <w:bCs/>
          <w:color w:val="40798C"/>
        </w:rPr>
        <w:t xml:space="preserve">[3] </w:t>
      </w:r>
      <w:r>
        <w:rPr>
          <w:b/>
          <w:bCs/>
          <w:sz w:val="20"/>
          <w:szCs w:val="20"/>
        </w:rPr>
        <w:t xml:space="preserve">Otuki, T. F., Radavelli, C. H., Seabra, F. y da Costa Jr., N. C. A. (2008). Assimetria na volatilidade dos retornos revisitada: Ibovespa, Merval e Inmex. Revista de Gestão USP, 15(4), 71–84.</w:t>
      </w:r>
    </w:p>
    <w:p>
      <w:pPr>
        <w:keepNext/>
        <w:keepLines/>
        <w:spacing w:after="60" w:line="276"/>
        <w:ind w:left="360"/>
      </w:pPr>
      <w:r>
        <w:rPr>
          <w:b/>
          <w:bCs/>
          <w:color w:val="1C3A5C"/>
          <w:sz w:val="19"/>
          <w:szCs w:val="19"/>
        </w:rPr>
        <w:t xml:space="preserve">De qué trata: </w:t>
      </w:r>
      <w:r>
        <w:rPr>
          <w:sz w:val="19"/>
          <w:szCs w:val="19"/>
        </w:rPr>
        <w:t xml:space="preserve">Las caídas aumentan la volatilidad del Merval más que las subas de igual tamaño (el PDF está en la carpeta 03).</w:t>
      </w:r>
    </w:p>
    <w:p>
      <w:pPr>
        <w:keepNext/>
        <w:keepLines/>
        <w:spacing w:after="60" w:line="276"/>
        <w:ind w:left="360"/>
      </w:pPr>
      <w:r>
        <w:rPr>
          <w:b/>
          <w:bCs/>
          <w:color w:val="1C3A5C"/>
          <w:sz w:val="19"/>
          <w:szCs w:val="19"/>
        </w:rPr>
        <w:t xml:space="preserve">Relación con este análisis: </w:t>
      </w:r>
      <w:r>
        <w:rPr>
          <w:sz w:val="19"/>
          <w:szCs w:val="19"/>
        </w:rPr>
        <w:t xml:space="preserve">La misma limitación de simetría del VIX vale para la volatilidad por acción: el ranking no distingue si una acción es nerviosa por caídas o por subas.</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..\03_vix_argentino\papers\2008_Otuki_asimetria_volatilidad_Ibovespa_Merval_Inmex.pdf</w:t>
      </w:r>
      <w:r>
        <w:rPr>
          <w:color w:val="5C6B7A"/>
          <w:sz w:val="19"/>
          <w:szCs w:val="19"/>
        </w:rPr>
        <w:t xml:space="preserve">  ·  portugués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Volatilidad por acción y ranking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45781bef20f1f7869de57aed60682da7e769dc1.png"/><Relationship Id="rId10" Type="http://schemas.openxmlformats.org/officeDocument/2006/relationships/image" Target="media/e4794a31872940582ed18fc2cbb69a9954b20a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2026-10-17T23:42:50.271Z</dcterms:created>
  <dcterms:modified xsi:type="dcterms:W3CDTF">2026-10-17T23:42:50.271Z</dcterms:modified>
</cp:coreProperties>
</file>

<file path=docProps/custom.xml><?xml version="1.0" encoding="utf-8"?>
<Properties xmlns="http://schemas.openxmlformats.org/officeDocument/2006/custom-properties" xmlns:vt="http://schemas.openxmlformats.org/officeDocument/2006/docPropsVTypes"/>
</file>