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Regímenes de Mercado (HMM)</w:t>
      </w:r>
    </w:p>
    <w:p>
      <w:pPr>
        <w:spacing w:after="200"/>
      </w:pPr>
      <w:r>
        <w:rPr>
          <w:rFonts w:ascii="Cambria" w:cs="Cambria" w:eastAsia="Cambria" w:hAnsi="Cambria"/>
          <w:i/>
          <w:iCs/>
          <w:color w:val="1C3A5C"/>
          <w:sz w:val="24"/>
          <w:szCs w:val="24"/>
        </w:rPr>
        <w:t xml:space="preserve">¿En qué estado de volatilidad estuvo el mercado cada día, y cuándo cambió?</w:t>
      </w:r>
    </w:p>
    <w:p>
      <w:pPr>
        <w:pBdr>
          <w:bottom w:val="single" w:color="D9E0E7" w:sz="4" w:space="8"/>
        </w:pBdr>
        <w:spacing w:after="200"/>
      </w:pPr>
      <w:r>
        <w:rPr>
          <w:color w:val="5C6B7A"/>
          <w:sz w:val="19"/>
          <w:szCs w:val="19"/>
        </w:rPr>
        <w:t xml:space="preserve">Tesina — Impacto de shocks informativos en acciones argentinas (BYMA / S&amp;P Merval). Documento exclusivamente del lado bursátil. No toca noticias, sentimiento ni gazetteer.</w:t>
      </w:r>
    </w:p>
    <w:p>
      <w:pPr>
        <w:spacing w:after="160" w:line="300"/>
      </w:pPr>
      <w:r>
        <w:rPr>
          <w:b/>
          <w:bCs/>
        </w:rPr>
        <w:t xml:space="preserve">Ubicación de todo lo generado. </w:t>
      </w:r>
      <w:r>
        <w:rPr>
          <w:rFonts w:ascii="Consolas" w:cs="Consolas" w:eastAsia="Consolas" w:hAnsi="Consolas"/>
          <w:color w:val="1C3A5C"/>
          <w:sz w:val="19"/>
          <w:szCs w:val="19"/>
        </w:rPr>
        <w:t xml:space="preserve">D:\2.Tesina\tesis version 3.0\Lado Bursatil\06_hmm_regimen_mercado\</w:t>
      </w:r>
      <w:r>
        <w:t xml:space="preserve">. Input: </w:t>
      </w:r>
      <w:r>
        <w:rPr>
          <w:rFonts w:ascii="Consolas" w:cs="Consolas" w:eastAsia="Consolas" w:hAnsi="Consolas"/>
          <w:color w:val="1C3A5C"/>
          <w:sz w:val="19"/>
          <w:szCs w:val="19"/>
        </w:rPr>
        <w:t xml:space="preserve">vix_arg.csv</w:t>
      </w:r>
      <w:r>
        <w:t xml:space="preserve"> de </w:t>
      </w:r>
      <w:r>
        <w:rPr>
          <w:rFonts w:ascii="Consolas" w:cs="Consolas" w:eastAsia="Consolas" w:hAnsi="Consolas"/>
          <w:color w:val="1C3A5C"/>
          <w:sz w:val="19"/>
          <w:szCs w:val="19"/>
        </w:rPr>
        <w:t xml:space="preserve">03_vix_argentino</w:t>
      </w:r>
      <w:r>
        <w:t xml:space="preserve"> — la misma ventana usada en VIX, ADF y volatilidad.</w:t>
      </w:r>
    </w:p>
    <w:p>
      <w:r>
        <w:br w:type="page"/>
      </w:r>
    </w:p>
    <w:p>
      <w:pPr>
        <w:pStyle w:val="Heading1"/>
        <w:spacing w:after="160" w:before="360"/>
      </w:pPr>
      <w:r>
        <w:t xml:space="preserve">1. Qué es y para qué sirve</w:t>
      </w:r>
    </w:p>
    <w:p>
      <w:pPr>
        <w:spacing w:after="160" w:line="300"/>
      </w:pPr>
      <w:r>
        <w:t xml:space="preserve">El VIX argentino (volatilidad realizada del Merval) se mueve de forma muy dispareja en el tiempo: hay tramos largos de calma y episodios cortos y violentos de estrés. Un modelo de Markov-Switching asume que, detrás de esa serie, hay un número finito de "regímenes" (estados ocultos) — cada uno con su propio nivel promedio de volatilidad — y que el mercado salta de uno a otro según una cadena de Markov: la probabilidad de estar en un régimen mañana depende solo del régimen de hoy.</w:t>
      </w:r>
    </w:p>
    <w:p>
      <w:pPr>
        <w:spacing w:after="160" w:line="300"/>
      </w:pPr>
      <w:r>
        <w:rPr>
          <w:b/>
          <w:bCs/>
        </w:rPr>
        <w:t xml:space="preserve">Modelo: </w:t>
      </w:r>
      <w:r>
        <w:rPr>
          <w:rFonts w:ascii="Consolas" w:cs="Consolas" w:eastAsia="Consolas" w:hAnsi="Consolas"/>
          <w:color w:val="1C3A5C"/>
          <w:sz w:val="19"/>
          <w:szCs w:val="19"/>
        </w:rPr>
        <w:t xml:space="preserve">statsmodels.tsa.regime_switching.markov_regression.MarkovRegression</w:t>
      </w:r>
      <w:r>
        <w:t xml:space="preserve"> ajustado sobre la serie </w:t>
      </w:r>
      <w:r>
        <w:rPr>
          <w:rFonts w:ascii="Consolas" w:cs="Consolas" w:eastAsia="Consolas" w:hAnsi="Consolas"/>
          <w:color w:val="1C3A5C"/>
          <w:sz w:val="19"/>
          <w:szCs w:val="19"/>
        </w:rPr>
        <w:t xml:space="preserve">vix_arg</w:t>
      </w:r>
      <w:r>
        <w:t xml:space="preserve">. Técnicamente es un modelo Markov-Switching de media y varianza, no un HMM discreto clásico — pero en la literatura de regímenes de mercado se lo llama "HMM" de forma habitual, y así se lo nombra en este documento.</w:t>
      </w:r>
    </w:p>
    <w:p>
      <w:pPr>
        <w:spacing w:after="160" w:line="300"/>
      </w:pPr>
      <w:r>
        <w:t xml:space="preserve">A cada día se le asigna el régimen con mayor probabilidad suavizada (smoothed marginal probability), calculada usando toda la serie completa — no solo el pasado. El resultado es una etiqueta diaria ("Calmo", "Moderado" o "Tenso") que sirve como variable de contexto para el análisis posterior (por ejemplo, para ver si la relación entre noticias y precios cambia según el régimen de volatilidad vigente).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c>
          <w:tcPr>
            <w:shd w:fill="F5F8FA" w:val="clear"/>
            <w:tcMar>
              <w:top w:type="dxa" w:w="160"/>
              <w:left w:type="dxa" w:w="220"/>
              <w:bottom w:type="dxa" w:w="160"/>
              <w:right w:type="dxa" w:w="220"/>
            </w:tcMar>
          </w:tcPr>
          <w:p>
            <w:pPr>
              <w:spacing w:after="80"/>
            </w:pPr>
            <w:r>
              <w:rPr>
                <w:b/>
                <w:bCs/>
                <w:color w:val="1C3A5C"/>
              </w:rPr>
              <w:t xml:space="preserve">Ventana usada — la misma que VIX, ADF y volatilidad</w:t>
            </w:r>
          </w:p>
          <w:p>
            <w:pPr>
              <w:spacing w:after="60" w:line="276"/>
            </w:pPr>
            <w:r>
              <w:t xml:space="preserve">323 días, </w:t>
            </w:r>
            <w:r>
              <w:rPr>
                <w:b/>
                <w:bCs/>
              </w:rPr>
              <w:t xml:space="preserve">2025-01-02 → 2026-04-30</w:t>
            </w:r>
            <w:r>
              <w:t xml:space="preserve"> — leída directamente de </w:t>
            </w:r>
            <w:r>
              <w:rPr>
                <w:rFonts w:ascii="Consolas" w:cs="Consolas" w:eastAsia="Consolas" w:hAnsi="Consolas"/>
                <w:color w:val="1C3A5C"/>
                <w:sz w:val="19"/>
                <w:szCs w:val="19"/>
              </w:rPr>
              <w:t xml:space="preserve">../03_vix_argentino/vix_arg.csv</w:t>
            </w:r>
            <w:r>
              <w:t xml:space="preserve"> (no está hardcodeada acá). No hay una versión "de 1 año" de este análisis: el HMM necesita toda la serie disponible para estimar bien las transiciones entre regímenes.</w:t>
            </w:r>
          </w:p>
        </w:tc>
      </w:tr>
    </w:tbl>
    <w:p>
      <w:pPr>
        <w:pStyle w:val="Heading1"/>
        <w:spacing w:after="160" w:before="360"/>
      </w:pPr>
      <w:r>
        <w:t xml:space="preserve">2. Cuántos regímenes — barrido de k por BIC</w:t>
      </w:r>
    </w:p>
    <w:p>
      <w:pPr>
        <w:spacing w:after="160" w:line="300"/>
      </w:pPr>
      <w:r>
        <w:t xml:space="preserve">El número de regímenes k no se fija a mano: se ajusta el modelo para k=2 a 6 y se compara el BIC (Bayesian Information Criterion) de cada ajuste, que penaliza modelos con más parámetros.</w:t>
      </w:r>
    </w:p>
    <w:p>
      <w:pPr>
        <w:spacing w:after="160" w:line="300"/>
      </w:pPr>
      <w:r>
        <w:rPr>
          <w:b/>
          <w:bCs/>
        </w:rPr>
        <w:t xml:space="preserve">El optimizador por defecto (BFGS) es inestable en esta serie: </w:t>
      </w:r>
      <w:r>
        <w:t xml:space="preserve">con la cantidad de iteraciones internas del EM que usa statsmodels por defecto, el ajuste falla por un problema numérico (el SVD no converge). Se usa en su lugar el optimizador Nelder-Mead ("nm"), más robusto para esta superficie de verosimilitud, y se fija una semilla aleatoria para que el resultado sea reproducible.</w:t>
      </w:r>
    </w:p>
    <w:p>
      <w:pPr>
        <w:spacing w:after="160" w:line="300"/>
      </w:pPr>
      <w:r>
        <w:rPr>
          <w:b/>
          <w:bCs/>
        </w:rPr>
        <w:t xml:space="preserve">Qué es un "régimen degenerado": </w:t>
      </w:r>
      <w:r>
        <w:t xml:space="preserve">un estado que el modelo crea con varianza casi cero, pegado a un único día. Como la varianza tiende a cero, la verosimilitud en ese punto se dispara y el BIC "mejora" de forma artificial — es una falla conocida de los modelos de mezcla, no un régimen real del mercado. Por eso la regla de selección descarta todo k que no converja o que tenga algún régimen de menos de 5 días.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157"/>
        <w:gridCol w:w="2506"/>
        <w:gridCol w:w="3084"/>
        <w:gridCol w:w="2891"/>
      </w:tblGrid>
      <w:tr>
        <w:trPr>
          <w:tblHeader/>
        </w:trPr>
        <w:tc>
          <w:tcPr>
            <w:tcW w:type="pct" w:w="600"/>
            <w:shd w:fill="1C3A5C" w:val="clear"/>
            <w:tcMar>
              <w:top w:type="dxa" w:w="80"/>
              <w:left w:type="dxa" w:w="120"/>
              <w:bottom w:type="dxa" w:w="80"/>
              <w:right w:type="dxa" w:w="120"/>
            </w:tcMar>
          </w:tcPr>
          <w:p>
            <w:r>
              <w:rPr>
                <w:b/>
                <w:bCs/>
                <w:color w:val="FFFFFF"/>
                <w:sz w:val="19"/>
                <w:szCs w:val="19"/>
              </w:rPr>
              <w:t xml:space="preserve">k</w:t>
            </w:r>
          </w:p>
        </w:tc>
        <w:tc>
          <w:tcPr>
            <w:tcW w:type="pct" w:w="1300"/>
            <w:shd w:fill="1C3A5C" w:val="clear"/>
            <w:tcMar>
              <w:top w:type="dxa" w:w="80"/>
              <w:left w:type="dxa" w:w="120"/>
              <w:bottom w:type="dxa" w:w="80"/>
              <w:right w:type="dxa" w:w="120"/>
            </w:tcMar>
          </w:tcPr>
          <w:p>
            <w:r>
              <w:rPr>
                <w:b/>
                <w:bCs/>
                <w:color w:val="FFFFFF"/>
                <w:sz w:val="19"/>
                <w:szCs w:val="19"/>
              </w:rPr>
              <w:t xml:space="preserve">BIC</w:t>
            </w:r>
          </w:p>
        </w:tc>
        <w:tc>
          <w:tcPr>
            <w:tcW w:type="pct" w:w="1600"/>
            <w:shd w:fill="1C3A5C" w:val="clear"/>
            <w:tcMar>
              <w:top w:type="dxa" w:w="80"/>
              <w:left w:type="dxa" w:w="120"/>
              <w:bottom w:type="dxa" w:w="80"/>
              <w:right w:type="dxa" w:w="120"/>
            </w:tcMar>
          </w:tcPr>
          <w:p>
            <w:r>
              <w:rPr>
                <w:b/>
                <w:bCs/>
                <w:color w:val="FFFFFF"/>
                <w:sz w:val="19"/>
                <w:szCs w:val="19"/>
              </w:rPr>
              <w:t xml:space="preserve">Mín. días en un régimen</w:t>
            </w:r>
          </w:p>
        </w:tc>
        <w:tc>
          <w:tcPr>
            <w:tcW w:type="pct" w:w="1500"/>
            <w:shd w:fill="1C3A5C" w:val="clear"/>
            <w:tcMar>
              <w:top w:type="dxa" w:w="80"/>
              <w:left w:type="dxa" w:w="120"/>
              <w:bottom w:type="dxa" w:w="80"/>
              <w:right w:type="dxa" w:w="120"/>
            </w:tcMar>
          </w:tcPr>
          <w:p>
            <w:r>
              <w:rPr>
                <w:b/>
                <w:bCs/>
                <w:color w:val="FFFFFF"/>
                <w:sz w:val="19"/>
                <w:szCs w:val="19"/>
              </w:rPr>
              <w:t xml:space="preserve">¿Converge sin degenerar?</w:t>
            </w:r>
          </w:p>
        </w:tc>
      </w:tr>
      <w:tr>
        <w:trPr>
          <w:cantSplit/>
        </w:trPr>
        <w:tc>
          <w:tcPr>
            <w:tcW w:type="pct" w:w="600"/>
            <w:shd w:fill="FFFFFF" w:val="clear"/>
            <w:tcMar>
              <w:top w:type="dxa" w:w="70"/>
              <w:left w:type="dxa" w:w="120"/>
              <w:bottom w:type="dxa" w:w="70"/>
              <w:right w:type="dxa" w:w="120"/>
            </w:tcMar>
          </w:tcPr>
          <w:p>
            <w:r>
              <w:rPr>
                <w:sz w:val="19"/>
                <w:szCs w:val="19"/>
              </w:rPr>
              <w:t xml:space="preserve">2</w:t>
            </w:r>
          </w:p>
        </w:tc>
        <w:tc>
          <w:tcPr>
            <w:tcW w:type="pct" w:w="1300"/>
            <w:shd w:fill="FFFFFF" w:val="clear"/>
            <w:tcMar>
              <w:top w:type="dxa" w:w="70"/>
              <w:left w:type="dxa" w:w="120"/>
              <w:bottom w:type="dxa" w:w="70"/>
              <w:right w:type="dxa" w:w="120"/>
            </w:tcMar>
          </w:tcPr>
          <w:p>
            <w:r>
              <w:rPr>
                <w:sz w:val="19"/>
                <w:szCs w:val="19"/>
              </w:rPr>
              <w:t xml:space="preserve">2.202,9</w:t>
            </w:r>
          </w:p>
        </w:tc>
        <w:tc>
          <w:tcPr>
            <w:tcW w:type="pct" w:w="1600"/>
            <w:shd w:fill="FFFFFF" w:val="clear"/>
            <w:tcMar>
              <w:top w:type="dxa" w:w="70"/>
              <w:left w:type="dxa" w:w="120"/>
              <w:bottom w:type="dxa" w:w="70"/>
              <w:right w:type="dxa" w:w="120"/>
            </w:tcMar>
          </w:tcPr>
          <w:p>
            <w:r>
              <w:rPr>
                <w:sz w:val="19"/>
                <w:szCs w:val="19"/>
              </w:rPr>
              <w:t xml:space="preserve">1 día</w:t>
            </w:r>
          </w:p>
        </w:tc>
        <w:tc>
          <w:tcPr>
            <w:tcW w:type="pct" w:w="1500"/>
            <w:shd w:fill="FFFFFF" w:val="clear"/>
            <w:tcMar>
              <w:top w:type="dxa" w:w="70"/>
              <w:left w:type="dxa" w:w="120"/>
              <w:bottom w:type="dxa" w:w="70"/>
              <w:right w:type="dxa" w:w="120"/>
            </w:tcMar>
          </w:tcPr>
          <w:p>
            <w:r>
              <w:rPr>
                <w:sz w:val="19"/>
                <w:szCs w:val="19"/>
              </w:rPr>
              <w:t xml:space="preserve">No (con esta semilla)*</w:t>
            </w:r>
          </w:p>
        </w:tc>
      </w:tr>
      <w:tr>
        <w:trPr>
          <w:cantSplit/>
        </w:trPr>
        <w:tc>
          <w:tcPr>
            <w:tcW w:type="pct" w:w="600"/>
            <w:shd w:fill="FAFCFD" w:val="clear"/>
            <w:tcMar>
              <w:top w:type="dxa" w:w="70"/>
              <w:left w:type="dxa" w:w="120"/>
              <w:bottom w:type="dxa" w:w="70"/>
              <w:right w:type="dxa" w:w="120"/>
            </w:tcMar>
          </w:tcPr>
          <w:p>
            <w:r>
              <w:rPr>
                <w:b/>
                <w:bCs/>
              </w:rPr>
              <w:t xml:space="preserve">3</w:t>
            </w:r>
          </w:p>
        </w:tc>
        <w:tc>
          <w:tcPr>
            <w:tcW w:type="pct" w:w="1300"/>
            <w:shd w:fill="FAFCFD" w:val="clear"/>
            <w:tcMar>
              <w:top w:type="dxa" w:w="70"/>
              <w:left w:type="dxa" w:w="120"/>
              <w:bottom w:type="dxa" w:w="70"/>
              <w:right w:type="dxa" w:w="120"/>
            </w:tcMar>
          </w:tcPr>
          <w:p>
            <w:r>
              <w:rPr>
                <w:b/>
                <w:bCs/>
              </w:rPr>
              <w:t xml:space="preserve">2.119,4</w:t>
            </w:r>
          </w:p>
        </w:tc>
        <w:tc>
          <w:tcPr>
            <w:tcW w:type="pct" w:w="1600"/>
            <w:shd w:fill="FAFCFD" w:val="clear"/>
            <w:tcMar>
              <w:top w:type="dxa" w:w="70"/>
              <w:left w:type="dxa" w:w="120"/>
              <w:bottom w:type="dxa" w:w="70"/>
              <w:right w:type="dxa" w:w="120"/>
            </w:tcMar>
          </w:tcPr>
          <w:p>
            <w:r>
              <w:rPr>
                <w:b/>
                <w:bCs/>
              </w:rPr>
              <w:t xml:space="preserve">65 días</w:t>
            </w:r>
          </w:p>
        </w:tc>
        <w:tc>
          <w:tcPr>
            <w:tcW w:type="pct" w:w="1500"/>
            <w:shd w:fill="FAFCFD" w:val="clear"/>
            <w:tcMar>
              <w:top w:type="dxa" w:w="70"/>
              <w:left w:type="dxa" w:w="120"/>
              <w:bottom w:type="dxa" w:w="70"/>
              <w:right w:type="dxa" w:w="120"/>
            </w:tcMar>
          </w:tcPr>
          <w:p>
            <w:r>
              <w:rPr>
                <w:b/>
                <w:bCs/>
              </w:rPr>
              <w:t xml:space="preserve">Sí — elegido</w:t>
            </w:r>
          </w:p>
        </w:tc>
      </w:tr>
      <w:tr>
        <w:trPr>
          <w:cantSplit/>
        </w:trPr>
        <w:tc>
          <w:tcPr>
            <w:tcW w:type="pct" w:w="600"/>
            <w:shd w:fill="FFFFFF" w:val="clear"/>
            <w:tcMar>
              <w:top w:type="dxa" w:w="70"/>
              <w:left w:type="dxa" w:w="120"/>
              <w:bottom w:type="dxa" w:w="70"/>
              <w:right w:type="dxa" w:w="120"/>
            </w:tcMar>
          </w:tcPr>
          <w:p>
            <w:r>
              <w:rPr>
                <w:sz w:val="19"/>
                <w:szCs w:val="19"/>
              </w:rPr>
              <w:t xml:space="preserve">4</w:t>
            </w:r>
          </w:p>
        </w:tc>
        <w:tc>
          <w:tcPr>
            <w:tcW w:type="pct" w:w="1300"/>
            <w:shd w:fill="FFFFFF" w:val="clear"/>
            <w:tcMar>
              <w:top w:type="dxa" w:w="70"/>
              <w:left w:type="dxa" w:w="120"/>
              <w:bottom w:type="dxa" w:w="70"/>
              <w:right w:type="dxa" w:w="120"/>
            </w:tcMar>
          </w:tcPr>
          <w:p>
            <w:r>
              <w:rPr>
                <w:sz w:val="19"/>
                <w:szCs w:val="19"/>
              </w:rPr>
              <w:t xml:space="preserve">2.152,0</w:t>
            </w:r>
          </w:p>
        </w:tc>
        <w:tc>
          <w:tcPr>
            <w:tcW w:type="pct" w:w="1600"/>
            <w:shd w:fill="FFFFFF" w:val="clear"/>
            <w:tcMar>
              <w:top w:type="dxa" w:w="70"/>
              <w:left w:type="dxa" w:w="120"/>
              <w:bottom w:type="dxa" w:w="70"/>
              <w:right w:type="dxa" w:w="120"/>
            </w:tcMar>
          </w:tcPr>
          <w:p>
            <w:r>
              <w:rPr>
                <w:sz w:val="19"/>
                <w:szCs w:val="19"/>
              </w:rPr>
              <w:t xml:space="preserve">1 día</w:t>
            </w:r>
          </w:p>
        </w:tc>
        <w:tc>
          <w:tcPr>
            <w:tcW w:type="pct" w:w="1500"/>
            <w:shd w:fill="FFFFFF" w:val="clear"/>
            <w:tcMar>
              <w:top w:type="dxa" w:w="70"/>
              <w:left w:type="dxa" w:w="120"/>
              <w:bottom w:type="dxa" w:w="70"/>
              <w:right w:type="dxa" w:w="120"/>
            </w:tcMar>
          </w:tcPr>
          <w:p>
            <w:r>
              <w:rPr>
                <w:sz w:val="19"/>
                <w:szCs w:val="19"/>
              </w:rPr>
              <w:t xml:space="preserve">No</w:t>
            </w:r>
          </w:p>
        </w:tc>
      </w:tr>
      <w:tr>
        <w:trPr>
          <w:cantSplit/>
        </w:trPr>
        <w:tc>
          <w:tcPr>
            <w:tcW w:type="pct" w:w="600"/>
            <w:shd w:fill="FAFCFD" w:val="clear"/>
            <w:tcMar>
              <w:top w:type="dxa" w:w="70"/>
              <w:left w:type="dxa" w:w="120"/>
              <w:bottom w:type="dxa" w:w="70"/>
              <w:right w:type="dxa" w:w="120"/>
            </w:tcMar>
          </w:tcPr>
          <w:p>
            <w:r>
              <w:rPr>
                <w:sz w:val="19"/>
                <w:szCs w:val="19"/>
              </w:rPr>
              <w:t xml:space="preserve">5</w:t>
            </w:r>
          </w:p>
        </w:tc>
        <w:tc>
          <w:tcPr>
            <w:tcW w:type="pct" w:w="1300"/>
            <w:shd w:fill="FAFCFD" w:val="clear"/>
            <w:tcMar>
              <w:top w:type="dxa" w:w="70"/>
              <w:left w:type="dxa" w:w="120"/>
              <w:bottom w:type="dxa" w:w="70"/>
              <w:right w:type="dxa" w:w="120"/>
            </w:tcMar>
          </w:tcPr>
          <w:p>
            <w:r>
              <w:rPr>
                <w:sz w:val="19"/>
                <w:szCs w:val="19"/>
              </w:rPr>
              <w:t xml:space="preserve">2.161,4</w:t>
            </w:r>
          </w:p>
        </w:tc>
        <w:tc>
          <w:tcPr>
            <w:tcW w:type="pct" w:w="1600"/>
            <w:shd w:fill="FAFCFD" w:val="clear"/>
            <w:tcMar>
              <w:top w:type="dxa" w:w="70"/>
              <w:left w:type="dxa" w:w="120"/>
              <w:bottom w:type="dxa" w:w="70"/>
              <w:right w:type="dxa" w:w="120"/>
            </w:tcMar>
          </w:tcPr>
          <w:p>
            <w:r>
              <w:rPr>
                <w:sz w:val="19"/>
                <w:szCs w:val="19"/>
              </w:rPr>
              <w:t xml:space="preserve">1 día</w:t>
            </w:r>
          </w:p>
        </w:tc>
        <w:tc>
          <w:tcPr>
            <w:tcW w:type="pct" w:w="1500"/>
            <w:shd w:fill="FAFCFD" w:val="clear"/>
            <w:tcMar>
              <w:top w:type="dxa" w:w="70"/>
              <w:left w:type="dxa" w:w="120"/>
              <w:bottom w:type="dxa" w:w="70"/>
              <w:right w:type="dxa" w:w="120"/>
            </w:tcMar>
          </w:tcPr>
          <w:p>
            <w:r>
              <w:rPr>
                <w:sz w:val="19"/>
                <w:szCs w:val="19"/>
              </w:rPr>
              <w:t xml:space="preserve">No</w:t>
            </w:r>
          </w:p>
        </w:tc>
      </w:tr>
      <w:tr>
        <w:trPr>
          <w:cantSplit/>
        </w:trPr>
        <w:tc>
          <w:tcPr>
            <w:tcW w:type="pct" w:w="600"/>
            <w:shd w:fill="FFFFFF" w:val="clear"/>
            <w:tcMar>
              <w:top w:type="dxa" w:w="70"/>
              <w:left w:type="dxa" w:w="120"/>
              <w:bottom w:type="dxa" w:w="70"/>
              <w:right w:type="dxa" w:w="120"/>
            </w:tcMar>
          </w:tcPr>
          <w:p>
            <w:r>
              <w:rPr>
                <w:sz w:val="19"/>
                <w:szCs w:val="19"/>
              </w:rPr>
              <w:t xml:space="preserve">6</w:t>
            </w:r>
          </w:p>
        </w:tc>
        <w:tc>
          <w:tcPr>
            <w:tcW w:type="pct" w:w="1300"/>
            <w:shd w:fill="FFFFFF" w:val="clear"/>
            <w:tcMar>
              <w:top w:type="dxa" w:w="70"/>
              <w:left w:type="dxa" w:w="120"/>
              <w:bottom w:type="dxa" w:w="70"/>
              <w:right w:type="dxa" w:w="120"/>
            </w:tcMar>
          </w:tcPr>
          <w:p>
            <w:r>
              <w:rPr>
                <w:sz w:val="19"/>
                <w:szCs w:val="19"/>
              </w:rPr>
              <w:t xml:space="preserve">2.185,2</w:t>
            </w:r>
          </w:p>
        </w:tc>
        <w:tc>
          <w:tcPr>
            <w:tcW w:type="pct" w:w="1600"/>
            <w:shd w:fill="FFFFFF" w:val="clear"/>
            <w:tcMar>
              <w:top w:type="dxa" w:w="70"/>
              <w:left w:type="dxa" w:w="120"/>
              <w:bottom w:type="dxa" w:w="70"/>
              <w:right w:type="dxa" w:w="120"/>
            </w:tcMar>
          </w:tcPr>
          <w:p>
            <w:r>
              <w:rPr>
                <w:sz w:val="19"/>
                <w:szCs w:val="19"/>
              </w:rPr>
              <w:t xml:space="preserve">1 día</w:t>
            </w:r>
          </w:p>
        </w:tc>
        <w:tc>
          <w:tcPr>
            <w:tcW w:type="pct" w:w="1500"/>
            <w:shd w:fill="FFFFFF" w:val="clear"/>
            <w:tcMar>
              <w:top w:type="dxa" w:w="70"/>
              <w:left w:type="dxa" w:w="120"/>
              <w:bottom w:type="dxa" w:w="70"/>
              <w:right w:type="dxa" w:w="120"/>
            </w:tcMar>
          </w:tcPr>
          <w:p>
            <w:r>
              <w:rPr>
                <w:sz w:val="19"/>
                <w:szCs w:val="19"/>
              </w:rPr>
              <w:t xml:space="preserve">No</w:t>
            </w:r>
          </w:p>
        </w:tc>
      </w:tr>
    </w:tbl>
    <w:p>
      <w:pPr>
        <w:spacing w:after="160" w:line="300"/>
      </w:pPr>
      <w:r>
        <w:t xml:space="preserve"/>
      </w:r>
    </w:p>
    <w:p>
      <w:pPr>
        <w:spacing w:after="16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95575"/>
                    </a:xfrm>
                    <a:prstGeom prst="rect">
                      <a:avLst/>
                    </a:prstGeom>
                  </pic:spPr>
                </pic:pic>
              </a:graphicData>
            </a:graphic>
          </wp:inline>
        </w:drawing>
      </w:r>
    </w:p>
    <w:p>
      <w:pPr>
        <w:spacing w:after="160" w:line="300"/>
      </w:pPr>
      <w:r>
        <w:t xml:space="preserve">* k=2 depende del arranque aleatorio: con la semilla del script degenera, pero con otras semillas converge bien (BIC 2.350,8 o 2.450,7). En cualquier caso su BIC es peor que el de k=3.</w:t>
      </w:r>
    </w:p>
    <w:p>
      <w:pPr>
        <w:spacing w:after="160" w:line="300"/>
      </w:pPr>
      <w:r>
        <w:rPr>
          <w:b/>
          <w:bCs/>
        </w:rPr>
        <w:t xml:space="preserve">k = 3 es el mínimo real: </w:t>
      </w:r>
      <w:r>
        <w:t xml:space="preserve">tiene el menor BIC entre los k que convergen sin degenerar, y da exactamente el mismo resultado con 10 semillas aleatorias distintas — a diferencia de k=2, no depende del arranque.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c>
          <w:tcPr>
            <w:shd w:fill="F5F8FA" w:val="clear"/>
            <w:tcMar>
              <w:top w:type="dxa" w:w="160"/>
              <w:left w:type="dxa" w:w="220"/>
              <w:bottom w:type="dxa" w:w="160"/>
              <w:right w:type="dxa" w:w="220"/>
            </w:tcMar>
          </w:tcPr>
          <w:p>
            <w:pPr>
              <w:spacing w:after="80"/>
            </w:pPr>
            <w:r>
              <w:rPr>
                <w:b/>
                <w:bCs/>
                <w:color w:val="1C3A5C"/>
              </w:rPr>
              <w:t xml:space="preserve">¿Por qué no 4 o 5 regímenes?</w:t>
            </w:r>
          </w:p>
          <w:p>
            <w:pPr>
              <w:spacing w:after="60" w:line="276"/>
            </w:pPr>
            <w:r>
              <w:rPr>
                <w:b/>
                <w:bCs/>
              </w:rPr>
              <w:t xml:space="preserve">Con k=4 </w:t>
            </w:r>
            <w:r>
              <w:t xml:space="preserve">el modelo reproduce los mismos 3 regímenes de k=3 (VIX promedio 32,7% / 46,7% / 70,9%) y el "cuarto" es un solo día: el 01/12/2025 (VIX 40,3%), un día de transición mientras la volatilidad bajaba después de las elecciones. No aparece ninguna categoría nueva con sentido económico.</w:t>
            </w:r>
          </w:p>
          <w:p>
            <w:pPr>
              <w:spacing w:after="60" w:line="276"/>
            </w:pPr>
            <w:r>
              <w:rPr>
                <w:b/>
                <w:bCs/>
              </w:rPr>
              <w:t xml:space="preserve">Con k=5 </w:t>
            </w:r>
            <w:r>
              <w:t xml:space="preserve">el mejor ajuste encontrado directamente se rompe: uno de los estados tiene varianza exactamente cero, clavado en el valor mínimo de la serie (15,4%), y otro no queda asignado a ningún día.</w:t>
            </w:r>
          </w:p>
          <w:p>
            <w:pPr>
              <w:spacing w:after="60" w:line="276"/>
            </w:pPr>
            <w:r>
              <w:t xml:space="preserve">Con 323 días de datos, la serie sostiene 3 regímenes distinguibles; pedirle más solo genera estados artificiales.</w:t>
            </w:r>
          </w:p>
        </w:tc>
      </w:tr>
    </w:tbl>
    <w:p>
      <w:pPr>
        <w:pStyle w:val="Heading1"/>
        <w:spacing w:after="160" w:before="360"/>
      </w:pPr>
      <w:r>
        <w:t xml:space="preserve">3. Los 3 regímenes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120"/>
        <w:gridCol w:w="1735"/>
        <w:gridCol w:w="2313"/>
        <w:gridCol w:w="1349"/>
        <w:gridCol w:w="2120"/>
      </w:tblGrid>
      <w:tr>
        <w:trPr>
          <w:tblHeader/>
        </w:trPr>
        <w:tc>
          <w:tcPr>
            <w:tcW w:type="pct" w:w="1100"/>
            <w:shd w:fill="1C3A5C" w:val="clear"/>
            <w:tcMar>
              <w:top w:type="dxa" w:w="80"/>
              <w:left w:type="dxa" w:w="120"/>
              <w:bottom w:type="dxa" w:w="80"/>
              <w:right w:type="dxa" w:w="120"/>
            </w:tcMar>
          </w:tcPr>
          <w:p>
            <w:r>
              <w:rPr>
                <w:b/>
                <w:bCs/>
                <w:color w:val="FFFFFF"/>
                <w:sz w:val="19"/>
                <w:szCs w:val="19"/>
              </w:rPr>
              <w:t xml:space="preserve">Régimen</w:t>
            </w:r>
          </w:p>
        </w:tc>
        <w:tc>
          <w:tcPr>
            <w:tcW w:type="pct" w:w="900"/>
            <w:shd w:fill="1C3A5C" w:val="clear"/>
            <w:tcMar>
              <w:top w:type="dxa" w:w="80"/>
              <w:left w:type="dxa" w:w="120"/>
              <w:bottom w:type="dxa" w:w="80"/>
              <w:right w:type="dxa" w:w="120"/>
            </w:tcMar>
          </w:tcPr>
          <w:p>
            <w:r>
              <w:rPr>
                <w:b/>
                <w:bCs/>
                <w:color w:val="FFFFFF"/>
                <w:sz w:val="19"/>
                <w:szCs w:val="19"/>
              </w:rPr>
              <w:t xml:space="preserve">VIX prom.</w:t>
            </w:r>
          </w:p>
        </w:tc>
        <w:tc>
          <w:tcPr>
            <w:tcW w:type="pct" w:w="1200"/>
            <w:shd w:fill="1C3A5C" w:val="clear"/>
            <w:tcMar>
              <w:top w:type="dxa" w:w="80"/>
              <w:left w:type="dxa" w:w="120"/>
              <w:bottom w:type="dxa" w:w="80"/>
              <w:right w:type="dxa" w:w="120"/>
            </w:tcMar>
          </w:tcPr>
          <w:p>
            <w:r>
              <w:rPr>
                <w:b/>
                <w:bCs/>
                <w:color w:val="FFFFFF"/>
                <w:sz w:val="19"/>
                <w:szCs w:val="19"/>
              </w:rPr>
              <w:t xml:space="preserve">Retorno prom. diario</w:t>
            </w:r>
          </w:p>
        </w:tc>
        <w:tc>
          <w:tcPr>
            <w:tcW w:type="pct" w:w="700"/>
            <w:shd w:fill="1C3A5C" w:val="clear"/>
            <w:tcMar>
              <w:top w:type="dxa" w:w="80"/>
              <w:left w:type="dxa" w:w="120"/>
              <w:bottom w:type="dxa" w:w="80"/>
              <w:right w:type="dxa" w:w="120"/>
            </w:tcMar>
          </w:tcPr>
          <w:p>
            <w:r>
              <w:rPr>
                <w:b/>
                <w:bCs/>
                <w:color w:val="FFFFFF"/>
                <w:sz w:val="19"/>
                <w:szCs w:val="19"/>
              </w:rPr>
              <w:t xml:space="preserve">Días</w:t>
            </w:r>
          </w:p>
        </w:tc>
        <w:tc>
          <w:tcPr>
            <w:tcW w:type="pct" w:w="1100"/>
            <w:shd w:fill="1C3A5C" w:val="clear"/>
            <w:tcMar>
              <w:top w:type="dxa" w:w="80"/>
              <w:left w:type="dxa" w:w="120"/>
              <w:bottom w:type="dxa" w:w="80"/>
              <w:right w:type="dxa" w:w="120"/>
            </w:tcMar>
          </w:tcPr>
          <w:p>
            <w:r>
              <w:rPr>
                <w:b/>
                <w:bCs/>
                <w:color w:val="FFFFFF"/>
                <w:sz w:val="19"/>
                <w:szCs w:val="19"/>
              </w:rPr>
              <w:t xml:space="preserve">% del período</w:t>
            </w:r>
          </w:p>
        </w:tc>
      </w:tr>
      <w:tr>
        <w:trPr>
          <w:cantSplit/>
        </w:trPr>
        <w:tc>
          <w:tcPr>
            <w:tcW w:type="pct" w:w="1100"/>
            <w:shd w:fill="FFFFFF" w:val="clear"/>
            <w:tcMar>
              <w:top w:type="dxa" w:w="70"/>
              <w:left w:type="dxa" w:w="120"/>
              <w:bottom w:type="dxa" w:w="70"/>
              <w:right w:type="dxa" w:w="120"/>
            </w:tcMar>
          </w:tcPr>
          <w:p>
            <w:r>
              <w:rPr>
                <w:sz w:val="19"/>
                <w:szCs w:val="19"/>
              </w:rPr>
              <w:t xml:space="preserve">Calmo</w:t>
            </w:r>
          </w:p>
        </w:tc>
        <w:tc>
          <w:tcPr>
            <w:tcW w:type="pct" w:w="900"/>
            <w:shd w:fill="FFFFFF" w:val="clear"/>
            <w:tcMar>
              <w:top w:type="dxa" w:w="70"/>
              <w:left w:type="dxa" w:w="120"/>
              <w:bottom w:type="dxa" w:w="70"/>
              <w:right w:type="dxa" w:w="120"/>
            </w:tcMar>
          </w:tcPr>
          <w:p>
            <w:r>
              <w:rPr>
                <w:sz w:val="19"/>
                <w:szCs w:val="19"/>
              </w:rPr>
              <w:t xml:space="preserve">33,0%</w:t>
            </w:r>
          </w:p>
        </w:tc>
        <w:tc>
          <w:tcPr>
            <w:tcW w:type="pct" w:w="1200"/>
            <w:shd w:fill="FFFFFF" w:val="clear"/>
            <w:tcMar>
              <w:top w:type="dxa" w:w="70"/>
              <w:left w:type="dxa" w:w="120"/>
              <w:bottom w:type="dxa" w:w="70"/>
              <w:right w:type="dxa" w:w="120"/>
            </w:tcMar>
          </w:tcPr>
          <w:p>
            <w:r>
              <w:rPr>
                <w:sz w:val="19"/>
                <w:szCs w:val="19"/>
              </w:rPr>
              <w:t xml:space="preserve">-0,074%</w:t>
            </w:r>
          </w:p>
        </w:tc>
        <w:tc>
          <w:tcPr>
            <w:tcW w:type="pct" w:w="700"/>
            <w:shd w:fill="FFFFFF" w:val="clear"/>
            <w:tcMar>
              <w:top w:type="dxa" w:w="70"/>
              <w:left w:type="dxa" w:w="120"/>
              <w:bottom w:type="dxa" w:w="70"/>
              <w:right w:type="dxa" w:w="120"/>
            </w:tcMar>
          </w:tcPr>
          <w:p>
            <w:r>
              <w:rPr>
                <w:sz w:val="19"/>
                <w:szCs w:val="19"/>
              </w:rPr>
              <w:t xml:space="preserve">177</w:t>
            </w:r>
          </w:p>
        </w:tc>
        <w:tc>
          <w:tcPr>
            <w:tcW w:type="pct" w:w="1100"/>
            <w:shd w:fill="FFFFFF" w:val="clear"/>
            <w:tcMar>
              <w:top w:type="dxa" w:w="70"/>
              <w:left w:type="dxa" w:w="120"/>
              <w:bottom w:type="dxa" w:w="70"/>
              <w:right w:type="dxa" w:w="120"/>
            </w:tcMar>
          </w:tcPr>
          <w:p>
            <w:r>
              <w:rPr>
                <w:sz w:val="19"/>
                <w:szCs w:val="19"/>
              </w:rPr>
              <w:t xml:space="preserve">54,8%</w:t>
            </w:r>
          </w:p>
        </w:tc>
      </w:tr>
      <w:tr>
        <w:trPr>
          <w:cantSplit/>
        </w:trPr>
        <w:tc>
          <w:tcPr>
            <w:tcW w:type="pct" w:w="1100"/>
            <w:shd w:fill="FAFCFD" w:val="clear"/>
            <w:tcMar>
              <w:top w:type="dxa" w:w="70"/>
              <w:left w:type="dxa" w:w="120"/>
              <w:bottom w:type="dxa" w:w="70"/>
              <w:right w:type="dxa" w:w="120"/>
            </w:tcMar>
          </w:tcPr>
          <w:p>
            <w:r>
              <w:rPr>
                <w:sz w:val="19"/>
                <w:szCs w:val="19"/>
              </w:rPr>
              <w:t xml:space="preserve">Moderado</w:t>
            </w:r>
          </w:p>
        </w:tc>
        <w:tc>
          <w:tcPr>
            <w:tcW w:type="pct" w:w="900"/>
            <w:shd w:fill="FAFCFD" w:val="clear"/>
            <w:tcMar>
              <w:top w:type="dxa" w:w="70"/>
              <w:left w:type="dxa" w:w="120"/>
              <w:bottom w:type="dxa" w:w="70"/>
              <w:right w:type="dxa" w:w="120"/>
            </w:tcMar>
          </w:tcPr>
          <w:p>
            <w:r>
              <w:rPr>
                <w:sz w:val="19"/>
                <w:szCs w:val="19"/>
              </w:rPr>
              <w:t xml:space="preserve">46,6%</w:t>
            </w:r>
          </w:p>
        </w:tc>
        <w:tc>
          <w:tcPr>
            <w:tcW w:type="pct" w:w="1200"/>
            <w:shd w:fill="FAFCFD" w:val="clear"/>
            <w:tcMar>
              <w:top w:type="dxa" w:w="70"/>
              <w:left w:type="dxa" w:w="120"/>
              <w:bottom w:type="dxa" w:w="70"/>
              <w:right w:type="dxa" w:w="120"/>
            </w:tcMar>
          </w:tcPr>
          <w:p>
            <w:r>
              <w:rPr>
                <w:sz w:val="19"/>
                <w:szCs w:val="19"/>
              </w:rPr>
              <w:t xml:space="preserve">0,053%</w:t>
            </w:r>
          </w:p>
        </w:tc>
        <w:tc>
          <w:tcPr>
            <w:tcW w:type="pct" w:w="700"/>
            <w:shd w:fill="FAFCFD" w:val="clear"/>
            <w:tcMar>
              <w:top w:type="dxa" w:w="70"/>
              <w:left w:type="dxa" w:w="120"/>
              <w:bottom w:type="dxa" w:w="70"/>
              <w:right w:type="dxa" w:w="120"/>
            </w:tcMar>
          </w:tcPr>
          <w:p>
            <w:r>
              <w:rPr>
                <w:sz w:val="19"/>
                <w:szCs w:val="19"/>
              </w:rPr>
              <w:t xml:space="preserve">81</w:t>
            </w:r>
          </w:p>
        </w:tc>
        <w:tc>
          <w:tcPr>
            <w:tcW w:type="pct" w:w="1100"/>
            <w:shd w:fill="FAFCFD" w:val="clear"/>
            <w:tcMar>
              <w:top w:type="dxa" w:w="70"/>
              <w:left w:type="dxa" w:w="120"/>
              <w:bottom w:type="dxa" w:w="70"/>
              <w:right w:type="dxa" w:w="120"/>
            </w:tcMar>
          </w:tcPr>
          <w:p>
            <w:r>
              <w:rPr>
                <w:sz w:val="19"/>
                <w:szCs w:val="19"/>
              </w:rPr>
              <w:t xml:space="preserve">25,1%</w:t>
            </w:r>
          </w:p>
        </w:tc>
      </w:tr>
      <w:tr>
        <w:trPr>
          <w:cantSplit/>
        </w:trPr>
        <w:tc>
          <w:tcPr>
            <w:tcW w:type="pct" w:w="1100"/>
            <w:shd w:fill="FFFFFF" w:val="clear"/>
            <w:tcMar>
              <w:top w:type="dxa" w:w="70"/>
              <w:left w:type="dxa" w:w="120"/>
              <w:bottom w:type="dxa" w:w="70"/>
              <w:right w:type="dxa" w:w="120"/>
            </w:tcMar>
          </w:tcPr>
          <w:p>
            <w:r>
              <w:rPr>
                <w:sz w:val="19"/>
                <w:szCs w:val="19"/>
              </w:rPr>
              <w:t xml:space="preserve">Tenso</w:t>
            </w:r>
          </w:p>
        </w:tc>
        <w:tc>
          <w:tcPr>
            <w:tcW w:type="pct" w:w="900"/>
            <w:shd w:fill="FFFFFF" w:val="clear"/>
            <w:tcMar>
              <w:top w:type="dxa" w:w="70"/>
              <w:left w:type="dxa" w:w="120"/>
              <w:bottom w:type="dxa" w:w="70"/>
              <w:right w:type="dxa" w:w="120"/>
            </w:tcMar>
          </w:tcPr>
          <w:p>
            <w:r>
              <w:rPr>
                <w:sz w:val="19"/>
                <w:szCs w:val="19"/>
              </w:rPr>
              <w:t xml:space="preserve">70,8%</w:t>
            </w:r>
          </w:p>
        </w:tc>
        <w:tc>
          <w:tcPr>
            <w:tcW w:type="pct" w:w="1200"/>
            <w:shd w:fill="FFFFFF" w:val="clear"/>
            <w:tcMar>
              <w:top w:type="dxa" w:w="70"/>
              <w:left w:type="dxa" w:w="120"/>
              <w:bottom w:type="dxa" w:w="70"/>
              <w:right w:type="dxa" w:w="120"/>
            </w:tcMar>
          </w:tcPr>
          <w:p>
            <w:r>
              <w:rPr>
                <w:sz w:val="19"/>
                <w:szCs w:val="19"/>
              </w:rPr>
              <w:t xml:space="preserve">0,518%</w:t>
            </w:r>
          </w:p>
        </w:tc>
        <w:tc>
          <w:tcPr>
            <w:tcW w:type="pct" w:w="700"/>
            <w:shd w:fill="FFFFFF" w:val="clear"/>
            <w:tcMar>
              <w:top w:type="dxa" w:w="70"/>
              <w:left w:type="dxa" w:w="120"/>
              <w:bottom w:type="dxa" w:w="70"/>
              <w:right w:type="dxa" w:w="120"/>
            </w:tcMar>
          </w:tcPr>
          <w:p>
            <w:r>
              <w:rPr>
                <w:sz w:val="19"/>
                <w:szCs w:val="19"/>
              </w:rPr>
              <w:t xml:space="preserve">65</w:t>
            </w:r>
          </w:p>
        </w:tc>
        <w:tc>
          <w:tcPr>
            <w:tcW w:type="pct" w:w="1100"/>
            <w:shd w:fill="FFFFFF" w:val="clear"/>
            <w:tcMar>
              <w:top w:type="dxa" w:w="70"/>
              <w:left w:type="dxa" w:w="120"/>
              <w:bottom w:type="dxa" w:w="70"/>
              <w:right w:type="dxa" w:w="120"/>
            </w:tcMar>
          </w:tcPr>
          <w:p>
            <w:r>
              <w:rPr>
                <w:sz w:val="19"/>
                <w:szCs w:val="19"/>
              </w:rPr>
              <w:t xml:space="preserve">20,1%</w:t>
            </w:r>
          </w:p>
        </w:tc>
      </w:tr>
    </w:tbl>
    <w:p>
      <w:pPr>
        <w:spacing w:after="160" w:line="300"/>
      </w:pPr>
      <w:r>
        <w:t xml:space="preserve"/>
      </w:r>
    </w:p>
    <w:p>
      <w:pPr>
        <w:spacing w:after="160" w:line="300"/>
      </w:pPr>
      <w:r>
        <w:rPr>
          <w:b/>
          <w:bCs/>
        </w:rPr>
        <w:t xml:space="preserve">El mercado pasó más de la mitad del período (54,8%) en el régimen Calmo. </w:t>
      </w:r>
      <w:r>
        <w:t xml:space="preserve">El régimen "Tenso" — el de mayor volatilidad — coincide con el retorno diario promedio más alto de los tres (0,518%), no el más bajo: son los tramos donde el índice se mueve fuerte en cualquier dirección, e incluye la fuerte suba del Merval alrededor de las elecciones legislativas de octubre-noviembre 2025.</w:t>
      </w:r>
    </w:p>
    <w:p>
      <w:pPr>
        <w:pStyle w:val="Heading1"/>
        <w:spacing w:after="160" w:before="360"/>
      </w:pPr>
      <w:r>
        <w:t xml:space="preserve">4. Matriz de transición</w:t>
      </w:r>
    </w:p>
    <w:p>
      <w:pPr>
        <w:keepNext/>
        <w:spacing w:after="160" w:line="300"/>
      </w:pPr>
      <w:r>
        <w:t xml:space="preserve">Probabilidad de pasar de un régimen (fila, "hoy") a otro (columna, "mañana") de un día para el otro: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699"/>
        <w:gridCol w:w="2313"/>
        <w:gridCol w:w="2313"/>
        <w:gridCol w:w="2313"/>
      </w:tblGrid>
      <w:tr>
        <w:trPr>
          <w:tblHeader/>
        </w:trPr>
        <w:tc>
          <w:tcPr>
            <w:tcW w:type="pct" w:w="1400"/>
            <w:shd w:fill="1C3A5C" w:val="clear"/>
            <w:tcMar>
              <w:top w:type="dxa" w:w="80"/>
              <w:left w:type="dxa" w:w="120"/>
              <w:bottom w:type="dxa" w:w="80"/>
              <w:right w:type="dxa" w:w="120"/>
            </w:tcMar>
          </w:tcPr>
          <w:p>
            <w:r>
              <w:rPr>
                <w:b/>
                <w:bCs/>
                <w:color w:val="FFFFFF"/>
                <w:sz w:val="19"/>
                <w:szCs w:val="19"/>
              </w:rPr>
              <w:t xml:space="preserve">Hoy \ Mañana</w:t>
            </w:r>
          </w:p>
        </w:tc>
        <w:tc>
          <w:tcPr>
            <w:tcW w:type="pct" w:w="1200"/>
            <w:shd w:fill="1C3A5C" w:val="clear"/>
            <w:tcMar>
              <w:top w:type="dxa" w:w="80"/>
              <w:left w:type="dxa" w:w="120"/>
              <w:bottom w:type="dxa" w:w="80"/>
              <w:right w:type="dxa" w:w="120"/>
            </w:tcMar>
          </w:tcPr>
          <w:p>
            <w:r>
              <w:rPr>
                <w:b/>
                <w:bCs/>
                <w:color w:val="FFFFFF"/>
                <w:sz w:val="19"/>
                <w:szCs w:val="19"/>
              </w:rPr>
              <w:t xml:space="preserve">Calmo</w:t>
            </w:r>
          </w:p>
        </w:tc>
        <w:tc>
          <w:tcPr>
            <w:tcW w:type="pct" w:w="1200"/>
            <w:shd w:fill="1C3A5C" w:val="clear"/>
            <w:tcMar>
              <w:top w:type="dxa" w:w="80"/>
              <w:left w:type="dxa" w:w="120"/>
              <w:bottom w:type="dxa" w:w="80"/>
              <w:right w:type="dxa" w:w="120"/>
            </w:tcMar>
          </w:tcPr>
          <w:p>
            <w:r>
              <w:rPr>
                <w:b/>
                <w:bCs/>
                <w:color w:val="FFFFFF"/>
                <w:sz w:val="19"/>
                <w:szCs w:val="19"/>
              </w:rPr>
              <w:t xml:space="preserve">Moderado</w:t>
            </w:r>
          </w:p>
        </w:tc>
        <w:tc>
          <w:tcPr>
            <w:tcW w:type="pct" w:w="1200"/>
            <w:shd w:fill="1C3A5C" w:val="clear"/>
            <w:tcMar>
              <w:top w:type="dxa" w:w="80"/>
              <w:left w:type="dxa" w:w="120"/>
              <w:bottom w:type="dxa" w:w="80"/>
              <w:right w:type="dxa" w:w="120"/>
            </w:tcMar>
          </w:tcPr>
          <w:p>
            <w:r>
              <w:rPr>
                <w:b/>
                <w:bCs/>
                <w:color w:val="FFFFFF"/>
                <w:sz w:val="19"/>
                <w:szCs w:val="19"/>
              </w:rPr>
              <w:t xml:space="preserve">Tenso</w:t>
            </w:r>
          </w:p>
        </w:tc>
      </w:tr>
      <w:tr>
        <w:trPr>
          <w:cantSplit/>
        </w:trPr>
        <w:tc>
          <w:tcPr>
            <w:tcW w:type="pct" w:w="1400"/>
            <w:shd w:fill="FFFFFF" w:val="clear"/>
            <w:tcMar>
              <w:top w:type="dxa" w:w="70"/>
              <w:left w:type="dxa" w:w="120"/>
              <w:bottom w:type="dxa" w:w="70"/>
              <w:right w:type="dxa" w:w="120"/>
            </w:tcMar>
          </w:tcPr>
          <w:p>
            <w:r>
              <w:rPr>
                <w:sz w:val="19"/>
                <w:szCs w:val="19"/>
              </w:rPr>
              <w:t xml:space="preserve">Calmo</w:t>
            </w:r>
          </w:p>
        </w:tc>
        <w:tc>
          <w:tcPr>
            <w:tcW w:type="pct" w:w="1200"/>
            <w:shd w:fill="FFFFFF" w:val="clear"/>
            <w:tcMar>
              <w:top w:type="dxa" w:w="70"/>
              <w:left w:type="dxa" w:w="120"/>
              <w:bottom w:type="dxa" w:w="70"/>
              <w:right w:type="dxa" w:w="120"/>
            </w:tcMar>
          </w:tcPr>
          <w:p>
            <w:r>
              <w:rPr>
                <w:sz w:val="19"/>
                <w:szCs w:val="19"/>
              </w:rPr>
              <w:t xml:space="preserve">98,0%</w:t>
            </w:r>
          </w:p>
        </w:tc>
        <w:tc>
          <w:tcPr>
            <w:tcW w:type="pct" w:w="1200"/>
            <w:shd w:fill="FFFFFF" w:val="clear"/>
            <w:tcMar>
              <w:top w:type="dxa" w:w="70"/>
              <w:left w:type="dxa" w:w="120"/>
              <w:bottom w:type="dxa" w:w="70"/>
              <w:right w:type="dxa" w:w="120"/>
            </w:tcMar>
          </w:tcPr>
          <w:p>
            <w:r>
              <w:rPr>
                <w:sz w:val="19"/>
                <w:szCs w:val="19"/>
              </w:rPr>
              <w:t xml:space="preserve">0,0%</w:t>
            </w:r>
          </w:p>
        </w:tc>
        <w:tc>
          <w:tcPr>
            <w:tcW w:type="pct" w:w="1200"/>
            <w:shd w:fill="FFFFFF" w:val="clear"/>
            <w:tcMar>
              <w:top w:type="dxa" w:w="70"/>
              <w:left w:type="dxa" w:w="120"/>
              <w:bottom w:type="dxa" w:w="70"/>
              <w:right w:type="dxa" w:w="120"/>
            </w:tcMar>
          </w:tcPr>
          <w:p>
            <w:r>
              <w:rPr>
                <w:sz w:val="19"/>
                <w:szCs w:val="19"/>
              </w:rPr>
              <w:t xml:space="preserve">2,0%</w:t>
            </w:r>
          </w:p>
        </w:tc>
      </w:tr>
      <w:tr>
        <w:trPr>
          <w:cantSplit/>
        </w:trPr>
        <w:tc>
          <w:tcPr>
            <w:tcW w:type="pct" w:w="1400"/>
            <w:shd w:fill="FAFCFD" w:val="clear"/>
            <w:tcMar>
              <w:top w:type="dxa" w:w="70"/>
              <w:left w:type="dxa" w:w="120"/>
              <w:bottom w:type="dxa" w:w="70"/>
              <w:right w:type="dxa" w:w="120"/>
            </w:tcMar>
          </w:tcPr>
          <w:p>
            <w:r>
              <w:rPr>
                <w:sz w:val="19"/>
                <w:szCs w:val="19"/>
              </w:rPr>
              <w:t xml:space="preserve">Moderado</w:t>
            </w:r>
          </w:p>
        </w:tc>
        <w:tc>
          <w:tcPr>
            <w:tcW w:type="pct" w:w="1200"/>
            <w:shd w:fill="FAFCFD" w:val="clear"/>
            <w:tcMar>
              <w:top w:type="dxa" w:w="70"/>
              <w:left w:type="dxa" w:w="120"/>
              <w:bottom w:type="dxa" w:w="70"/>
              <w:right w:type="dxa" w:w="120"/>
            </w:tcMar>
          </w:tcPr>
          <w:p>
            <w:r>
              <w:rPr>
                <w:sz w:val="19"/>
                <w:szCs w:val="19"/>
              </w:rPr>
              <w:t xml:space="preserve">4,2%</w:t>
            </w:r>
          </w:p>
        </w:tc>
        <w:tc>
          <w:tcPr>
            <w:tcW w:type="pct" w:w="1200"/>
            <w:shd w:fill="FAFCFD" w:val="clear"/>
            <w:tcMar>
              <w:top w:type="dxa" w:w="70"/>
              <w:left w:type="dxa" w:w="120"/>
              <w:bottom w:type="dxa" w:w="70"/>
              <w:right w:type="dxa" w:w="120"/>
            </w:tcMar>
          </w:tcPr>
          <w:p>
            <w:r>
              <w:rPr>
                <w:sz w:val="19"/>
                <w:szCs w:val="19"/>
              </w:rPr>
              <w:t xml:space="preserve">95,8%</w:t>
            </w:r>
          </w:p>
        </w:tc>
        <w:tc>
          <w:tcPr>
            <w:tcW w:type="pct" w:w="1200"/>
            <w:shd w:fill="FAFCFD" w:val="clear"/>
            <w:tcMar>
              <w:top w:type="dxa" w:w="70"/>
              <w:left w:type="dxa" w:w="120"/>
              <w:bottom w:type="dxa" w:w="70"/>
              <w:right w:type="dxa" w:w="120"/>
            </w:tcMar>
          </w:tcPr>
          <w:p>
            <w:r>
              <w:rPr>
                <w:sz w:val="19"/>
                <w:szCs w:val="19"/>
              </w:rPr>
              <w:t xml:space="preserve">0,0%</w:t>
            </w:r>
          </w:p>
        </w:tc>
      </w:tr>
      <w:tr>
        <w:trPr>
          <w:cantSplit/>
        </w:trPr>
        <w:tc>
          <w:tcPr>
            <w:tcW w:type="pct" w:w="1400"/>
            <w:shd w:fill="FFFFFF" w:val="clear"/>
            <w:tcMar>
              <w:top w:type="dxa" w:w="70"/>
              <w:left w:type="dxa" w:w="120"/>
              <w:bottom w:type="dxa" w:w="70"/>
              <w:right w:type="dxa" w:w="120"/>
            </w:tcMar>
          </w:tcPr>
          <w:p>
            <w:r>
              <w:rPr>
                <w:sz w:val="19"/>
                <w:szCs w:val="19"/>
              </w:rPr>
              <w:t xml:space="preserve">Tenso</w:t>
            </w:r>
          </w:p>
        </w:tc>
        <w:tc>
          <w:tcPr>
            <w:tcW w:type="pct" w:w="1200"/>
            <w:shd w:fill="FFFFFF" w:val="clear"/>
            <w:tcMar>
              <w:top w:type="dxa" w:w="70"/>
              <w:left w:type="dxa" w:w="120"/>
              <w:bottom w:type="dxa" w:w="70"/>
              <w:right w:type="dxa" w:w="120"/>
            </w:tcMar>
          </w:tcPr>
          <w:p>
            <w:r>
              <w:rPr>
                <w:sz w:val="19"/>
                <w:szCs w:val="19"/>
              </w:rPr>
              <w:t xml:space="preserve">0,0%</w:t>
            </w:r>
          </w:p>
        </w:tc>
        <w:tc>
          <w:tcPr>
            <w:tcW w:type="pct" w:w="1200"/>
            <w:shd w:fill="FFFFFF" w:val="clear"/>
            <w:tcMar>
              <w:top w:type="dxa" w:w="70"/>
              <w:left w:type="dxa" w:w="120"/>
              <w:bottom w:type="dxa" w:w="70"/>
              <w:right w:type="dxa" w:w="120"/>
            </w:tcMar>
          </w:tcPr>
          <w:p>
            <w:r>
              <w:rPr>
                <w:sz w:val="19"/>
                <w:szCs w:val="19"/>
              </w:rPr>
              <w:t xml:space="preserve">4,9%</w:t>
            </w:r>
          </w:p>
        </w:tc>
        <w:tc>
          <w:tcPr>
            <w:tcW w:type="pct" w:w="1200"/>
            <w:shd w:fill="FFFFFF" w:val="clear"/>
            <w:tcMar>
              <w:top w:type="dxa" w:w="70"/>
              <w:left w:type="dxa" w:w="120"/>
              <w:bottom w:type="dxa" w:w="70"/>
              <w:right w:type="dxa" w:w="120"/>
            </w:tcMar>
          </w:tcPr>
          <w:p>
            <w:r>
              <w:rPr>
                <w:sz w:val="19"/>
                <w:szCs w:val="19"/>
              </w:rPr>
              <w:t xml:space="preserve">95,1%</w:t>
            </w:r>
          </w:p>
        </w:tc>
      </w:tr>
    </w:tbl>
    <w:p>
      <w:pPr>
        <w:spacing w:after="160" w:line="300"/>
      </w:pPr>
      <w:r>
        <w:t xml:space="preserve"/>
      </w:r>
    </w:p>
    <w:p>
      <w:pPr>
        <w:spacing w:after="160" w:line="300"/>
      </w:pPr>
      <w:r>
        <w:rPr>
          <w:b/>
          <w:bCs/>
        </w:rPr>
        <w:t xml:space="preserve">Los regímenes son muy persistentes: </w:t>
      </w:r>
      <w:r>
        <w:t xml:space="preserve">la diagonal está entre 95% y 98% — una vez que el mercado entra en un régimen, lo más probable es que siga en él al día siguiente. La matriz coincide con los cambios que efectivamente se observan en la serie (10 cambios de régimen en 323 días): </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1157"/>
        <w:gridCol w:w="5590"/>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Cambio observado</w:t>
            </w:r>
          </w:p>
        </w:tc>
        <w:tc>
          <w:tcPr>
            <w:tcW w:type="pct" w:w="600"/>
            <w:shd w:fill="1C3A5C" w:val="clear"/>
            <w:tcMar>
              <w:top w:type="dxa" w:w="80"/>
              <w:left w:type="dxa" w:w="120"/>
              <w:bottom w:type="dxa" w:w="80"/>
              <w:right w:type="dxa" w:w="120"/>
            </w:tcMar>
          </w:tcPr>
          <w:p>
            <w:r>
              <w:rPr>
                <w:b/>
                <w:bCs/>
                <w:color w:val="FFFFFF"/>
                <w:sz w:val="19"/>
                <w:szCs w:val="19"/>
              </w:rPr>
              <w:t xml:space="preserve">Veces</w:t>
            </w:r>
          </w:p>
        </w:tc>
        <w:tc>
          <w:tcPr>
            <w:tcW w:type="pct" w:w="2900"/>
            <w:shd w:fill="1C3A5C" w:val="clear"/>
            <w:tcMar>
              <w:top w:type="dxa" w:w="80"/>
              <w:left w:type="dxa" w:w="120"/>
              <w:bottom w:type="dxa" w:w="80"/>
              <w:right w:type="dxa" w:w="120"/>
            </w:tcMar>
          </w:tcPr>
          <w:p>
            <w:r>
              <w:rPr>
                <w:b/>
                <w:bCs/>
                <w:color w:val="FFFFFF"/>
                <w:sz w:val="19"/>
                <w:szCs w:val="19"/>
              </w:rPr>
              <w:t xml:space="preserve">Fechas</w:t>
            </w:r>
          </w:p>
        </w:tc>
      </w:tr>
      <w:tr>
        <w:trPr>
          <w:cantSplit/>
        </w:trPr>
        <w:tc>
          <w:tcPr>
            <w:tcW w:type="pct" w:w="1500"/>
            <w:shd w:fill="FFFFFF" w:val="clear"/>
            <w:tcMar>
              <w:top w:type="dxa" w:w="70"/>
              <w:left w:type="dxa" w:w="120"/>
              <w:bottom w:type="dxa" w:w="70"/>
              <w:right w:type="dxa" w:w="120"/>
            </w:tcMar>
          </w:tcPr>
          <w:p>
            <w:r>
              <w:rPr>
                <w:sz w:val="19"/>
                <w:szCs w:val="19"/>
              </w:rPr>
              <w:t xml:space="preserve">Calmo → Tenso</w:t>
            </w:r>
          </w:p>
        </w:tc>
        <w:tc>
          <w:tcPr>
            <w:tcW w:type="pct" w:w="600"/>
            <w:shd w:fill="FFFFFF" w:val="clear"/>
            <w:tcMar>
              <w:top w:type="dxa" w:w="70"/>
              <w:left w:type="dxa" w:w="120"/>
              <w:bottom w:type="dxa" w:w="70"/>
              <w:right w:type="dxa" w:w="120"/>
            </w:tcMar>
          </w:tcPr>
          <w:p>
            <w:r>
              <w:rPr>
                <w:sz w:val="19"/>
                <w:szCs w:val="19"/>
              </w:rPr>
              <w:t xml:space="preserve">2</w:t>
            </w:r>
          </w:p>
        </w:tc>
        <w:tc>
          <w:tcPr>
            <w:tcW w:type="pct" w:w="2900"/>
            <w:shd w:fill="FFFFFF" w:val="clear"/>
            <w:tcMar>
              <w:top w:type="dxa" w:w="70"/>
              <w:left w:type="dxa" w:w="120"/>
              <w:bottom w:type="dxa" w:w="70"/>
              <w:right w:type="dxa" w:w="120"/>
            </w:tcMar>
          </w:tcPr>
          <w:p>
            <w:r>
              <w:rPr>
                <w:sz w:val="19"/>
                <w:szCs w:val="19"/>
              </w:rPr>
              <w:t xml:space="preserve">08/09/2025 · 27/10/2025</w:t>
            </w:r>
          </w:p>
        </w:tc>
      </w:tr>
      <w:tr>
        <w:trPr>
          <w:cantSplit/>
        </w:trPr>
        <w:tc>
          <w:tcPr>
            <w:tcW w:type="pct" w:w="1500"/>
            <w:shd w:fill="FAFCFD" w:val="clear"/>
            <w:tcMar>
              <w:top w:type="dxa" w:w="70"/>
              <w:left w:type="dxa" w:w="120"/>
              <w:bottom w:type="dxa" w:w="70"/>
              <w:right w:type="dxa" w:w="120"/>
            </w:tcMar>
          </w:tcPr>
          <w:p>
            <w:r>
              <w:rPr>
                <w:sz w:val="19"/>
                <w:szCs w:val="19"/>
              </w:rPr>
              <w:t xml:space="preserve">Tenso → Moderado</w:t>
            </w:r>
          </w:p>
        </w:tc>
        <w:tc>
          <w:tcPr>
            <w:tcW w:type="pct" w:w="600"/>
            <w:shd w:fill="FAFCFD" w:val="clear"/>
            <w:tcMar>
              <w:top w:type="dxa" w:w="70"/>
              <w:left w:type="dxa" w:w="120"/>
              <w:bottom w:type="dxa" w:w="70"/>
              <w:right w:type="dxa" w:w="120"/>
            </w:tcMar>
          </w:tcPr>
          <w:p>
            <w:r>
              <w:rPr>
                <w:sz w:val="19"/>
                <w:szCs w:val="19"/>
              </w:rPr>
              <w:t xml:space="preserve">3</w:t>
            </w:r>
          </w:p>
        </w:tc>
        <w:tc>
          <w:tcPr>
            <w:tcW w:type="pct" w:w="2900"/>
            <w:shd w:fill="FAFCFD" w:val="clear"/>
            <w:tcMar>
              <w:top w:type="dxa" w:w="70"/>
              <w:left w:type="dxa" w:w="120"/>
              <w:bottom w:type="dxa" w:w="70"/>
              <w:right w:type="dxa" w:w="120"/>
            </w:tcMar>
          </w:tcPr>
          <w:p>
            <w:r>
              <w:rPr>
                <w:sz w:val="19"/>
                <w:szCs w:val="19"/>
              </w:rPr>
              <w:t xml:space="preserve">16/05/2025 · 06/10/2025 · 25/11/2025</w:t>
            </w:r>
          </w:p>
        </w:tc>
      </w:tr>
      <w:tr>
        <w:trPr>
          <w:cantSplit/>
        </w:trPr>
        <w:tc>
          <w:tcPr>
            <w:tcW w:type="pct" w:w="1500"/>
            <w:shd w:fill="FFFFFF" w:val="clear"/>
            <w:tcMar>
              <w:top w:type="dxa" w:w="70"/>
              <w:left w:type="dxa" w:w="120"/>
              <w:bottom w:type="dxa" w:w="70"/>
              <w:right w:type="dxa" w:w="120"/>
            </w:tcMar>
          </w:tcPr>
          <w:p>
            <w:r>
              <w:rPr>
                <w:sz w:val="19"/>
                <w:szCs w:val="19"/>
              </w:rPr>
              <w:t xml:space="preserve">Moderado → Calmo</w:t>
            </w:r>
          </w:p>
        </w:tc>
        <w:tc>
          <w:tcPr>
            <w:tcW w:type="pct" w:w="600"/>
            <w:shd w:fill="FFFFFF" w:val="clear"/>
            <w:tcMar>
              <w:top w:type="dxa" w:w="70"/>
              <w:left w:type="dxa" w:w="120"/>
              <w:bottom w:type="dxa" w:w="70"/>
              <w:right w:type="dxa" w:w="120"/>
            </w:tcMar>
          </w:tcPr>
          <w:p>
            <w:r>
              <w:rPr>
                <w:sz w:val="19"/>
                <w:szCs w:val="19"/>
              </w:rPr>
              <w:t xml:space="preserve">3</w:t>
            </w:r>
          </w:p>
        </w:tc>
        <w:tc>
          <w:tcPr>
            <w:tcW w:type="pct" w:w="2900"/>
            <w:shd w:fill="FFFFFF" w:val="clear"/>
            <w:tcMar>
              <w:top w:type="dxa" w:w="70"/>
              <w:left w:type="dxa" w:w="120"/>
              <w:bottom w:type="dxa" w:w="70"/>
              <w:right w:type="dxa" w:w="120"/>
            </w:tcMar>
          </w:tcPr>
          <w:p>
            <w:r>
              <w:rPr>
                <w:sz w:val="19"/>
                <w:szCs w:val="19"/>
              </w:rPr>
              <w:t xml:space="preserve">22/05/2025 · 21/10/2025 · 01/12/2025</w:t>
            </w:r>
          </w:p>
        </w:tc>
      </w:tr>
      <w:tr>
        <w:trPr>
          <w:cantSplit/>
        </w:trPr>
        <w:tc>
          <w:tcPr>
            <w:tcW w:type="pct" w:w="1500"/>
            <w:shd w:fill="FAFCFD" w:val="clear"/>
            <w:tcMar>
              <w:top w:type="dxa" w:w="70"/>
              <w:left w:type="dxa" w:w="120"/>
              <w:bottom w:type="dxa" w:w="70"/>
              <w:right w:type="dxa" w:w="120"/>
            </w:tcMar>
          </w:tcPr>
          <w:p>
            <w:r>
              <w:rPr>
                <w:sz w:val="19"/>
                <w:szCs w:val="19"/>
              </w:rPr>
              <w:t xml:space="preserve">Moderado → Tenso</w:t>
            </w:r>
          </w:p>
        </w:tc>
        <w:tc>
          <w:tcPr>
            <w:tcW w:type="pct" w:w="600"/>
            <w:shd w:fill="FAFCFD" w:val="clear"/>
            <w:tcMar>
              <w:top w:type="dxa" w:w="70"/>
              <w:left w:type="dxa" w:w="120"/>
              <w:bottom w:type="dxa" w:w="70"/>
              <w:right w:type="dxa" w:w="120"/>
            </w:tcMar>
          </w:tcPr>
          <w:p>
            <w:r>
              <w:rPr>
                <w:sz w:val="19"/>
                <w:szCs w:val="19"/>
              </w:rPr>
              <w:t xml:space="preserve">1</w:t>
            </w:r>
          </w:p>
        </w:tc>
        <w:tc>
          <w:tcPr>
            <w:tcW w:type="pct" w:w="2900"/>
            <w:shd w:fill="FAFCFD" w:val="clear"/>
            <w:tcMar>
              <w:top w:type="dxa" w:w="70"/>
              <w:left w:type="dxa" w:w="120"/>
              <w:bottom w:type="dxa" w:w="70"/>
              <w:right w:type="dxa" w:w="120"/>
            </w:tcMar>
          </w:tcPr>
          <w:p>
            <w:r>
              <w:rPr>
                <w:sz w:val="19"/>
                <w:szCs w:val="19"/>
              </w:rPr>
              <w:t xml:space="preserve">07/04/2025</w:t>
            </w:r>
          </w:p>
        </w:tc>
      </w:tr>
    </w:tbl>
    <w:p>
      <w:pPr>
        <w:spacing w:after="160" w:line="300"/>
      </w:pPr>
      <w:r>
        <w:t xml:space="preserve"/>
      </w:r>
    </w:p>
    <w:p>
      <w:pPr>
        <w:spacing w:after="160" w:line="300"/>
      </w:pPr>
      <w:r>
        <w:rPr>
          <w:b/>
          <w:bCs/>
        </w:rPr>
        <w:t xml:space="preserve">La desescalada es gradual, la escalada no: </w:t>
      </w:r>
      <w:r>
        <w:t xml:space="preserve">al salir de Tenso el mercado siempre pasó primero por Moderado antes de volver a Calmo. En cambio, las dos veces que salió de Calmo saltó directo a Tenso, sin pasar por el régimen intermedio — un shock lleva al mercado de la calma al estrés de un día para el otro.</w:t>
      </w:r>
    </w:p>
    <w:p>
      <w:pPr>
        <w:pStyle w:val="Heading1"/>
        <w:spacing w:after="160" w:before="360"/>
      </w:pPr>
      <w:r>
        <w:t xml:space="preserve">5. Los regímenes en el tiempo</w:t>
      </w:r>
    </w:p>
    <w:p>
      <w:pPr>
        <w:spacing w:after="160"/>
        <w:jc w:val="center"/>
      </w:pPr>
      <w:r>
        <w:drawing>
          <wp:inline distT="0" distB="0" distL="0" distR="0">
            <wp:extent cx="4762500" cy="3400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00425"/>
                    </a:xfrm>
                    <a:prstGeom prst="rect">
                      <a:avLst/>
                    </a:prstGeom>
                  </pic:spPr>
                </pic:pic>
              </a:graphicData>
            </a:graphic>
          </wp:inline>
        </w:drawing>
      </w:r>
    </w:p>
    <w:p>
      <w:pPr>
        <w:spacing w:after="160" w:line="300"/>
      </w:pPr>
      <w:r>
        <w:rPr>
          <w:b/>
          <w:bCs/>
        </w:rPr>
        <w:t xml:space="preserve">Tres episodios Tensos: </w:t>
      </w:r>
      <w:r>
        <w:t xml:space="preserve">07/04 → 15/05/2025 (VIX hasta ≈72%), 08/09 → 03/10/2025 y 27/10 → 21/11/2025, este último con el máximo de toda la serie (VIX ≈91%, 21/11/2025). El primer tramo del período (enero-abril 2025) es Moderado; todo junio-agosto 2025 y prácticamente todo diciembre 2025 en adelante quedan como Calmo, con el VIX cayendo hasta su mínimo de la serie (15,4%, 30/04/2026) en el último día disponible.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c>
          <w:tcPr>
            <w:shd w:fill="F5F8FA" w:val="clear"/>
            <w:tcMar>
              <w:top w:type="dxa" w:w="160"/>
              <w:left w:type="dxa" w:w="220"/>
              <w:bottom w:type="dxa" w:w="160"/>
              <w:right w:type="dxa" w:w="220"/>
            </w:tcMar>
          </w:tcPr>
          <w:p>
            <w:pPr>
              <w:spacing w:after="80"/>
            </w:pPr>
            <w:r>
              <w:rPr>
                <w:b/>
                <w:bCs/>
                <w:color w:val="1C3A5C"/>
              </w:rPr>
              <w:t xml:space="preserve">Cómo leer las fechas de los regímenes — el eco de la ventana de 20 días</w:t>
            </w:r>
          </w:p>
          <w:p>
            <w:pPr>
              <w:spacing w:after="60" w:line="276"/>
            </w:pPr>
            <w:r>
              <w:t xml:space="preserve">El HMM se ajusta sobre el VIX argentino, que es un desvío de los últimos 20 días, así que hereda su eco (ver la sección 3 de Documentacion_VIX_Argentino): un único día extremo queda adentro del cálculo durante exactamente 20 ruedas. Los dos episodios Tensos del segundo semestre empiezan el día del shock — 08/09/2025 (−13,3%) y 27/10/2025 (+21,8%) — y terminan cuando ese día sale de la ventana, 20 ruedas después (06/10 y 25/11). Las fechas de inicio marcan el shock; las de fin no marcan que el mercado se haya calmado ese día, sino que el shock cumplió 20 ruedas. Por eso parte de los días Tensos son semanas posteriores al shock, y no días de shock en sí.</w:t>
            </w:r>
          </w:p>
        </w:tc>
      </w:tr>
    </w:tbl>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c>
          <w:tcPr>
            <w:shd w:fill="F5F8FA" w:val="clear"/>
            <w:tcMar>
              <w:top w:type="dxa" w:w="160"/>
              <w:left w:type="dxa" w:w="220"/>
              <w:bottom w:type="dxa" w:w="160"/>
              <w:right w:type="dxa" w:w="220"/>
            </w:tcMar>
          </w:tcPr>
          <w:p>
            <w:pPr>
              <w:spacing w:after="80"/>
            </w:pPr>
            <w:r>
              <w:rPr>
                <w:b/>
                <w:bCs/>
                <w:color w:val="1C3A5C"/>
              </w:rPr>
              <w:t xml:space="preserve">Dos versiones del régimen: "mirando todo el período" y "en tiempo real"</w:t>
            </w:r>
          </w:p>
          <w:p>
            <w:pPr>
              <w:spacing w:after="60" w:line="276"/>
            </w:pPr>
            <w:r>
              <w:t xml:space="preserve">El régimen oficial de cada día (columna </w:t>
            </w:r>
            <w:r>
              <w:rPr>
                <w:rFonts w:ascii="Consolas" w:cs="Consolas" w:eastAsia="Consolas" w:hAnsi="Consolas"/>
                <w:color w:val="1C3A5C"/>
                <w:sz w:val="19"/>
                <w:szCs w:val="19"/>
              </w:rPr>
              <w:t xml:space="preserve">regimen_nombre</w:t>
            </w:r>
            <w:r>
              <w:t xml:space="preserve">) usa las probabilidades suavizadas: para decidir el régimen de un día, el modelo mira toda la serie, incluidos los días posteriores. Es como relatar un partido después de verlo entero: sirve para describir qué pasó, pero no para anticipar nada.</w:t>
            </w:r>
          </w:p>
          <w:p>
            <w:pPr>
              <w:spacing w:after="60" w:line="276"/>
            </w:pPr>
            <w:r>
              <w:t xml:space="preserve">Por eso se guarda también la versión filtrada (</w:t>
            </w:r>
            <w:r>
              <w:rPr>
                <w:rFonts w:ascii="Consolas" w:cs="Consolas" w:eastAsia="Consolas" w:hAnsi="Consolas"/>
                <w:color w:val="1C3A5C"/>
                <w:sz w:val="19"/>
                <w:szCs w:val="19"/>
              </w:rPr>
              <w:t xml:space="preserve">regimen_filtrado_nombre</w:t>
            </w:r>
            <w:r>
              <w:t xml:space="preserve">), que en cada día solo usa la información disponible hasta ese día. Las dos coinciden en 318 de 323 días (98,5%). La diferencia aparece en los bordes de los episodios: por ejemplo, el primer Tenso empieza el 07/04/2025 en la versión suavizada, pero recién el 09/04/2025 en la filtrada — en tiempo real, el modelo tarda en confirmar el cambio.</w:t>
            </w:r>
          </w:p>
          <w:p>
            <w:pPr>
              <w:spacing w:after="60" w:line="276"/>
            </w:pPr>
            <w:r>
              <w:rPr>
                <w:b/>
                <w:bCs/>
              </w:rPr>
              <w:t xml:space="preserve">Cuál usar: </w:t>
            </w:r>
            <w:r>
              <w:t xml:space="preserve">la suavizada para describir el período (como en este documento); la filtrada si en la etapa siguiente el régimen se usa para pronosticar o para condicionar un análisis sin mirar el futuro (Majumder et al., 2023, en las referencias).</w:t>
            </w:r>
          </w:p>
        </w:tc>
      </w:tr>
    </w:tbl>
    <w:p>
      <w:pPr>
        <w:pStyle w:val="Heading1"/>
        <w:spacing w:after="160" w:before="360"/>
      </w:pPr>
      <w:r>
        <w:t xml:space="preserve">6. Archivos generados</w:t>
      </w:r>
    </w:p>
    <w:p>
      <w:pPr>
        <w:spacing w:after="160" w:line="300"/>
      </w:pPr>
      <w:r>
        <w:rPr>
          <w:rFonts w:ascii="Consolas" w:cs="Consolas" w:eastAsia="Consolas" w:hAnsi="Consolas"/>
          <w:color w:val="1C3A5C"/>
          <w:sz w:val="19"/>
          <w:szCs w:val="19"/>
        </w:rPr>
        <w:t xml:space="preserve">D:\2.Tesina\tesis version 3.0\Lado Bursatil\06_hmm_regimen_mercado\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6747"/>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Archivo</w:t>
            </w:r>
          </w:p>
        </w:tc>
        <w:tc>
          <w:tcPr>
            <w:tcW w:type="pct" w:w="3500"/>
            <w:shd w:fill="1C3A5C" w:val="clear"/>
            <w:tcMar>
              <w:top w:type="dxa" w:w="80"/>
              <w:left w:type="dxa" w:w="120"/>
              <w:bottom w:type="dxa" w:w="80"/>
              <w:right w:type="dxa" w:w="120"/>
            </w:tcMar>
          </w:tcPr>
          <w:p>
            <w:r>
              <w:rPr>
                <w:b/>
                <w:bCs/>
                <w:color w:val="FFFFFF"/>
                <w:sz w:val="19"/>
                <w:szCs w:val="19"/>
              </w:rPr>
              <w:t xml:space="preserve">Qué es</w:t>
            </w:r>
          </w:p>
        </w:tc>
      </w:tr>
      <w:tr>
        <w:trPr>
          <w:cantSplit/>
        </w:trPr>
        <w:tc>
          <w:tcPr>
            <w:tcW w:type="pct" w:w="1500"/>
            <w:shd w:fill="FFFFFF" w:val="clear"/>
            <w:tcMar>
              <w:top w:type="dxa" w:w="70"/>
              <w:left w:type="dxa" w:w="120"/>
              <w:bottom w:type="dxa" w:w="70"/>
              <w:right w:type="dxa" w:w="120"/>
            </w:tcMar>
          </w:tcPr>
          <w:p>
            <w:r>
              <w:rPr>
                <w:sz w:val="19"/>
                <w:szCs w:val="19"/>
              </w:rPr>
              <w:t xml:space="preserve">hmm_regimen_mercado.py</w:t>
            </w:r>
          </w:p>
        </w:tc>
        <w:tc>
          <w:tcPr>
            <w:tcW w:type="pct" w:w="3500"/>
            <w:shd w:fill="FFFFFF" w:val="clear"/>
            <w:tcMar>
              <w:top w:type="dxa" w:w="70"/>
              <w:left w:type="dxa" w:w="120"/>
              <w:bottom w:type="dxa" w:w="70"/>
              <w:right w:type="dxa" w:w="120"/>
            </w:tcMar>
          </w:tcPr>
          <w:p>
            <w:r>
              <w:rPr>
                <w:sz w:val="19"/>
                <w:szCs w:val="19"/>
              </w:rPr>
              <w:t xml:space="preserve">Script único. Barre k=2..6, elige k por BIC, ajusta el modelo final y genera todos los outputs.</w:t>
            </w:r>
          </w:p>
        </w:tc>
      </w:tr>
      <w:tr>
        <w:trPr>
          <w:cantSplit/>
        </w:trPr>
        <w:tc>
          <w:tcPr>
            <w:tcW w:type="pct" w:w="1500"/>
            <w:shd w:fill="FAFCFD" w:val="clear"/>
            <w:tcMar>
              <w:top w:type="dxa" w:w="70"/>
              <w:left w:type="dxa" w:w="120"/>
              <w:bottom w:type="dxa" w:w="70"/>
              <w:right w:type="dxa" w:w="120"/>
            </w:tcMar>
          </w:tcPr>
          <w:p>
            <w:r>
              <w:rPr>
                <w:sz w:val="19"/>
                <w:szCs w:val="19"/>
              </w:rPr>
              <w:t xml:space="preserve">hmm_regimen_mercado.csv</w:t>
            </w:r>
          </w:p>
        </w:tc>
        <w:tc>
          <w:tcPr>
            <w:tcW w:type="pct" w:w="3500"/>
            <w:shd w:fill="FAFCFD" w:val="clear"/>
            <w:tcMar>
              <w:top w:type="dxa" w:w="70"/>
              <w:left w:type="dxa" w:w="120"/>
              <w:bottom w:type="dxa" w:w="70"/>
              <w:right w:type="dxa" w:w="120"/>
            </w:tcMar>
          </w:tcPr>
          <w:p>
            <w:r>
              <w:rPr>
                <w:sz w:val="19"/>
                <w:szCs w:val="19"/>
              </w:rPr>
              <w:t xml:space="preserve">1 fila por día (323): fecha, cierre Merval, retorno, VIX, régimen asignado (suavizado, el oficial), las probabilidades suavizadas y filtradas de cada régimen, y el régimen filtrado.</w:t>
            </w:r>
          </w:p>
        </w:tc>
      </w:tr>
      <w:tr>
        <w:trPr>
          <w:cantSplit/>
        </w:trPr>
        <w:tc>
          <w:tcPr>
            <w:tcW w:type="pct" w:w="1500"/>
            <w:shd w:fill="FFFFFF" w:val="clear"/>
            <w:tcMar>
              <w:top w:type="dxa" w:w="70"/>
              <w:left w:type="dxa" w:w="120"/>
              <w:bottom w:type="dxa" w:w="70"/>
              <w:right w:type="dxa" w:w="120"/>
            </w:tcMar>
          </w:tcPr>
          <w:p>
            <w:r>
              <w:rPr>
                <w:sz w:val="19"/>
                <w:szCs w:val="19"/>
              </w:rPr>
              <w:t xml:space="preserve">matriz_transicion.csv</w:t>
            </w:r>
          </w:p>
        </w:tc>
        <w:tc>
          <w:tcPr>
            <w:tcW w:type="pct" w:w="3500"/>
            <w:shd w:fill="FFFFFF" w:val="clear"/>
            <w:tcMar>
              <w:top w:type="dxa" w:w="70"/>
              <w:left w:type="dxa" w:w="120"/>
              <w:bottom w:type="dxa" w:w="70"/>
              <w:right w:type="dxa" w:w="120"/>
            </w:tcMar>
          </w:tcPr>
          <w:p>
            <w:r>
              <w:rPr>
                <w:sz w:val="19"/>
                <w:szCs w:val="19"/>
              </w:rPr>
              <w:t xml:space="preserve">Matriz de transición 3×3, fila=régimen hoy, columna=régimen mañana.</w:t>
            </w:r>
          </w:p>
        </w:tc>
      </w:tr>
      <w:tr>
        <w:trPr>
          <w:cantSplit/>
        </w:trPr>
        <w:tc>
          <w:tcPr>
            <w:tcW w:type="pct" w:w="1500"/>
            <w:shd w:fill="FAFCFD" w:val="clear"/>
            <w:tcMar>
              <w:top w:type="dxa" w:w="70"/>
              <w:left w:type="dxa" w:w="120"/>
              <w:bottom w:type="dxa" w:w="70"/>
              <w:right w:type="dxa" w:w="120"/>
            </w:tcMar>
          </w:tcPr>
          <w:p>
            <w:r>
              <w:rPr>
                <w:sz w:val="19"/>
                <w:szCs w:val="19"/>
              </w:rPr>
              <w:t xml:space="preserve">bic_por_k.csv</w:t>
            </w:r>
          </w:p>
        </w:tc>
        <w:tc>
          <w:tcPr>
            <w:tcW w:type="pct" w:w="3500"/>
            <w:shd w:fill="FAFCFD" w:val="clear"/>
            <w:tcMar>
              <w:top w:type="dxa" w:w="70"/>
              <w:left w:type="dxa" w:w="120"/>
              <w:bottom w:type="dxa" w:w="70"/>
              <w:right w:type="dxa" w:w="120"/>
            </w:tcMar>
          </w:tcPr>
          <w:p>
            <w:r>
              <w:rPr>
                <w:sz w:val="19"/>
                <w:szCs w:val="19"/>
              </w:rPr>
              <w:t xml:space="preserve">BIC, AIC, log-verosimilitud, convergencia y régimen mínimo para cada k barrido (2 a 6).</w:t>
            </w:r>
          </w:p>
        </w:tc>
      </w:tr>
      <w:tr>
        <w:trPr>
          <w:cantSplit/>
        </w:trPr>
        <w:tc>
          <w:tcPr>
            <w:tcW w:type="pct" w:w="1500"/>
            <w:shd w:fill="FFFFFF" w:val="clear"/>
            <w:tcMar>
              <w:top w:type="dxa" w:w="70"/>
              <w:left w:type="dxa" w:w="120"/>
              <w:bottom w:type="dxa" w:w="70"/>
              <w:right w:type="dxa" w:w="120"/>
            </w:tcMar>
          </w:tcPr>
          <w:p>
            <w:r>
              <w:rPr>
                <w:sz w:val="19"/>
                <w:szCs w:val="19"/>
              </w:rPr>
              <w:t xml:space="preserve">bic_curva.png</w:t>
            </w:r>
          </w:p>
        </w:tc>
        <w:tc>
          <w:tcPr>
            <w:tcW w:type="pct" w:w="3500"/>
            <w:shd w:fill="FFFFFF" w:val="clear"/>
            <w:tcMar>
              <w:top w:type="dxa" w:w="70"/>
              <w:left w:type="dxa" w:w="120"/>
              <w:bottom w:type="dxa" w:w="70"/>
              <w:right w:type="dxa" w:w="120"/>
            </w:tcMar>
          </w:tcPr>
          <w:p>
            <w:r>
              <w:rPr>
                <w:sz w:val="19"/>
                <w:szCs w:val="19"/>
              </w:rPr>
              <w:t xml:space="preserve">Gráfico de BIC vs. k, marcando el k elegido.</w:t>
            </w:r>
          </w:p>
        </w:tc>
      </w:tr>
      <w:tr>
        <w:trPr>
          <w:cantSplit/>
        </w:trPr>
        <w:tc>
          <w:tcPr>
            <w:tcW w:type="pct" w:w="1500"/>
            <w:shd w:fill="FAFCFD" w:val="clear"/>
            <w:tcMar>
              <w:top w:type="dxa" w:w="70"/>
              <w:left w:type="dxa" w:w="120"/>
              <w:bottom w:type="dxa" w:w="70"/>
              <w:right w:type="dxa" w:w="120"/>
            </w:tcMar>
          </w:tcPr>
          <w:p>
            <w:r>
              <w:rPr>
                <w:sz w:val="19"/>
                <w:szCs w:val="19"/>
              </w:rPr>
              <w:t xml:space="preserve">hmm_regimen_mercado.png</w:t>
            </w:r>
          </w:p>
        </w:tc>
        <w:tc>
          <w:tcPr>
            <w:tcW w:type="pct" w:w="3500"/>
            <w:shd w:fill="FAFCFD" w:val="clear"/>
            <w:tcMar>
              <w:top w:type="dxa" w:w="70"/>
              <w:left w:type="dxa" w:w="120"/>
              <w:bottom w:type="dxa" w:w="70"/>
              <w:right w:type="dxa" w:w="120"/>
            </w:tcMar>
          </w:tcPr>
          <w:p>
            <w:r>
              <w:rPr>
                <w:sz w:val="19"/>
                <w:szCs w:val="19"/>
              </w:rPr>
              <w:t xml:space="preserve">3 paneles: Merval y VIX coloreados por régimen, y probabilidad suavizada de cada régimen por día.</w:t>
            </w:r>
          </w:p>
        </w:tc>
      </w:tr>
    </w:tbl>
    <w:p>
      <w:pPr>
        <w:pStyle w:val="Heading1"/>
        <w:keepNext/>
        <w:spacing w:after="160" w:before="360"/>
      </w:pPr>
      <w:r>
        <w:t xml:space="preserve">7. Referencias bibliográficas</w:t>
      </w:r>
    </w:p>
    <w:p>
      <w:pPr>
        <w:spacing w:after="160" w:line="300"/>
      </w:pPr>
      <w:r>
        <w:t xml:space="preserve">Trabajos previos sobre este tema, en español, inglés y portugués. Los que son de acceso libre están descargados en </w:t>
      </w:r>
      <w:r>
        <w:rPr>
          <w:rFonts w:ascii="Consolas" w:cs="Consolas" w:eastAsia="Consolas" w:hAnsi="Consolas"/>
          <w:color w:val="1C3A5C"/>
          <w:sz w:val="19"/>
          <w:szCs w:val="19"/>
        </w:rPr>
        <w:t xml:space="preserve">papers\</w:t>
      </w:r>
      <w:r>
        <w:t xml:space="preserve"> dentro de esta misma carpeta (5 archivos); los que tienen acceso restringido se citan con su enlace oficial. La misma lista, en formato BibTeX para citar en la tesis, está en </w:t>
      </w:r>
      <w:r>
        <w:rPr>
          <w:rFonts w:ascii="Consolas" w:cs="Consolas" w:eastAsia="Consolas" w:hAnsi="Consolas"/>
          <w:color w:val="1C3A5C"/>
          <w:sz w:val="19"/>
          <w:szCs w:val="19"/>
        </w:rPr>
        <w:t xml:space="preserve">papers\referencias.bib</w:t>
      </w:r>
      <w:r>
        <w:t xml:space="preserve">.</w:t>
      </w:r>
    </w:p>
    <w:p>
      <w:pPr>
        <w:keepNext/>
        <w:keepLines/>
        <w:spacing w:after="80" w:before="200" w:line="276"/>
      </w:pPr>
      <w:r>
        <w:rPr>
          <w:b/>
          <w:bCs/>
          <w:color w:val="40798C"/>
        </w:rPr>
        <w:t xml:space="preserve">[1] </w:t>
      </w:r>
      <w:r>
        <w:rPr>
          <w:b/>
          <w:bCs/>
          <w:sz w:val="20"/>
          <w:szCs w:val="20"/>
        </w:rPr>
        <w:t xml:space="preserve">Hamilton, J. D. (1989). A New Approach to the Economic Analysis of Nonstationary Time Series and the Business Cycle. Econometrica, 57(2), 357–384.</w:t>
      </w:r>
    </w:p>
    <w:p>
      <w:pPr>
        <w:keepNext/>
        <w:keepLines/>
        <w:spacing w:after="60" w:line="276"/>
        <w:ind w:left="360"/>
      </w:pPr>
      <w:r>
        <w:rPr>
          <w:b/>
          <w:bCs/>
          <w:color w:val="1C3A5C"/>
          <w:sz w:val="19"/>
          <w:szCs w:val="19"/>
        </w:rPr>
        <w:t xml:space="preserve">De qué trata: </w:t>
      </w:r>
      <w:r>
        <w:rPr>
          <w:sz w:val="19"/>
          <w:szCs w:val="19"/>
        </w:rPr>
        <w:t xml:space="preserve">El artículo original del modelo de cambio de régimen de Markov (Markov-Switching): los parámetros de una serie dependen de un estado oculto que salta según una cadena de Markov.</w:t>
      </w:r>
    </w:p>
    <w:p>
      <w:pPr>
        <w:keepNext/>
        <w:keepLines/>
        <w:spacing w:after="60" w:line="276"/>
        <w:ind w:left="360"/>
      </w:pPr>
      <w:r>
        <w:rPr>
          <w:b/>
          <w:bCs/>
          <w:color w:val="1C3A5C"/>
          <w:sz w:val="19"/>
          <w:szCs w:val="19"/>
        </w:rPr>
        <w:t xml:space="preserve">Relación con este análisis: </w:t>
      </w:r>
      <w:r>
        <w:rPr>
          <w:sz w:val="19"/>
          <w:szCs w:val="19"/>
        </w:rPr>
        <w:t xml:space="preserve">Es el modelo que implementa MarkovRegression de statsmodels, el que se usa en este paso.</w:t>
      </w:r>
    </w:p>
    <w:p>
      <w:pPr>
        <w:keepLines/>
        <w:spacing w:after="60" w:line="276"/>
        <w:ind w:left="360"/>
      </w:pPr>
      <w:r>
        <w:rPr>
          <w:b/>
          <w:bCs/>
          <w:color w:val="C1272D"/>
          <w:sz w:val="19"/>
          <w:szCs w:val="19"/>
        </w:rPr>
        <w:t xml:space="preserve">No descargado: </w:t>
      </w:r>
      <w:r>
        <w:rPr>
          <w:sz w:val="19"/>
          <w:szCs w:val="19"/>
        </w:rPr>
        <w:t xml:space="preserve">acceso por suscripción (JSTOR / Econometric Society). </w:t>
      </w:r>
      <w:r>
        <w:rPr>
          <w:color w:val="40798C"/>
          <w:sz w:val="18"/>
          <w:szCs w:val="18"/>
        </w:rPr>
        <w:t xml:space="preserve">https://ideas.repec.org/a/ecm/emetrp/v57y1989i2p357-84.html</w:t>
      </w:r>
      <w:r>
        <w:rPr>
          <w:color w:val="5C6B7A"/>
          <w:sz w:val="19"/>
          <w:szCs w:val="19"/>
        </w:rPr>
        <w:t xml:space="preserve">  ·  inglés</w:t>
      </w:r>
    </w:p>
    <w:p>
      <w:pPr>
        <w:keepNext/>
        <w:keepLines/>
        <w:spacing w:after="80" w:before="200" w:line="276"/>
      </w:pPr>
      <w:r>
        <w:rPr>
          <w:b/>
          <w:bCs/>
          <w:color w:val="40798C"/>
        </w:rPr>
        <w:t xml:space="preserve">[2] </w:t>
      </w:r>
      <w:r>
        <w:rPr>
          <w:b/>
          <w:bCs/>
          <w:sz w:val="20"/>
          <w:szCs w:val="20"/>
        </w:rPr>
        <w:t xml:space="preserve">Schwarz, G. (1978). Estimating the Dimension of a Model. Annals of Statistics, 6(2), 461–464. https://doi.org/10.1214/aos/1176344136</w:t>
      </w:r>
    </w:p>
    <w:p>
      <w:pPr>
        <w:keepNext/>
        <w:keepLines/>
        <w:spacing w:after="60" w:line="276"/>
        <w:ind w:left="360"/>
      </w:pPr>
      <w:r>
        <w:rPr>
          <w:b/>
          <w:bCs/>
          <w:color w:val="1C3A5C"/>
          <w:sz w:val="19"/>
          <w:szCs w:val="19"/>
        </w:rPr>
        <w:t xml:space="preserve">De qué trata: </w:t>
      </w:r>
      <w:r>
        <w:rPr>
          <w:sz w:val="19"/>
          <w:szCs w:val="19"/>
        </w:rPr>
        <w:t xml:space="preserve">Deriva el criterio de información bayesiano (BIC): una forma de elegir entre modelos de distinta complejidad que penaliza la cantidad de parámetros.</w:t>
      </w:r>
    </w:p>
    <w:p>
      <w:pPr>
        <w:keepNext/>
        <w:keepLines/>
        <w:spacing w:after="60" w:line="276"/>
        <w:ind w:left="360"/>
      </w:pPr>
      <w:r>
        <w:rPr>
          <w:b/>
          <w:bCs/>
          <w:color w:val="1C3A5C"/>
          <w:sz w:val="19"/>
          <w:szCs w:val="19"/>
        </w:rPr>
        <w:t xml:space="preserve">Relación con este análisis: </w:t>
      </w:r>
      <w:r>
        <w:rPr>
          <w:sz w:val="19"/>
          <w:szCs w:val="19"/>
        </w:rPr>
        <w:t xml:space="preserve">Es el criterio con el que se elige k = 3 en el barrido de la sección 2.</w:t>
      </w:r>
    </w:p>
    <w:p>
      <w:pPr>
        <w:keepLines/>
        <w:spacing w:after="60" w:line="276"/>
        <w:ind w:left="360"/>
      </w:pPr>
      <w:r>
        <w:rPr>
          <w:b/>
          <w:bCs/>
          <w:color w:val="C1272D"/>
          <w:sz w:val="19"/>
          <w:szCs w:val="19"/>
        </w:rPr>
        <w:t xml:space="preserve">No descargado: </w:t>
      </w:r>
      <w:r>
        <w:rPr>
          <w:sz w:val="19"/>
          <w:szCs w:val="19"/>
        </w:rPr>
        <w:t xml:space="preserve">es de acceso libre en Project Euclid, pero el sitio bloquea la descarga automática (se puede bajar a mano). </w:t>
      </w:r>
      <w:r>
        <w:rPr>
          <w:color w:val="40798C"/>
          <w:sz w:val="18"/>
          <w:szCs w:val="18"/>
        </w:rPr>
        <w:t xml:space="preserve">https://www.projecteuclid.org/euclid.aos/1176344136</w:t>
      </w:r>
      <w:r>
        <w:rPr>
          <w:color w:val="5C6B7A"/>
          <w:sz w:val="19"/>
          <w:szCs w:val="19"/>
        </w:rPr>
        <w:t xml:space="preserve">  ·  inglés</w:t>
      </w:r>
    </w:p>
    <w:p>
      <w:pPr>
        <w:keepNext/>
        <w:keepLines/>
        <w:spacing w:after="80" w:before="200" w:line="276"/>
      </w:pPr>
      <w:r>
        <w:rPr>
          <w:b/>
          <w:bCs/>
          <w:color w:val="40798C"/>
        </w:rPr>
        <w:t xml:space="preserve">[3] </w:t>
      </w:r>
      <w:r>
        <w:rPr>
          <w:b/>
          <w:bCs/>
          <w:sz w:val="20"/>
          <w:szCs w:val="20"/>
        </w:rPr>
        <w:t xml:space="preserve">Kim, C.-J. (1994). Dynamic linear models with Markov-switching. Journal of Econometrics, 60(1–2), 1–22.</w:t>
      </w:r>
    </w:p>
    <w:p>
      <w:pPr>
        <w:keepNext/>
        <w:keepLines/>
        <w:spacing w:after="60" w:line="276"/>
        <w:ind w:left="360"/>
      </w:pPr>
      <w:r>
        <w:rPr>
          <w:b/>
          <w:bCs/>
          <w:color w:val="1C3A5C"/>
          <w:sz w:val="19"/>
          <w:szCs w:val="19"/>
        </w:rPr>
        <w:t xml:space="preserve">De qué trata: </w:t>
      </w:r>
      <w:r>
        <w:rPr>
          <w:sz w:val="19"/>
          <w:szCs w:val="19"/>
        </w:rPr>
        <w:t xml:space="preserve">Desarrolla el algoritmo para calcular las probabilidades suavizadas de un modelo de cambio de régimen, es decir, el régimen de cada día usando toda la serie.</w:t>
      </w:r>
    </w:p>
    <w:p>
      <w:pPr>
        <w:keepNext/>
        <w:keepLines/>
        <w:spacing w:after="60" w:line="276"/>
        <w:ind w:left="360"/>
      </w:pPr>
      <w:r>
        <w:rPr>
          <w:b/>
          <w:bCs/>
          <w:color w:val="1C3A5C"/>
          <w:sz w:val="19"/>
          <w:szCs w:val="19"/>
        </w:rPr>
        <w:t xml:space="preserve">Relación con este análisis: </w:t>
      </w:r>
      <w:r>
        <w:rPr>
          <w:sz w:val="19"/>
          <w:szCs w:val="19"/>
        </w:rPr>
        <w:t xml:space="preserve">Es el método detrás del régimen oficial (suavizado) de este paso; la diferencia con el régimen filtrado, que solo usa el pasado, está explicada en la sección 5.</w:t>
      </w:r>
    </w:p>
    <w:p>
      <w:pPr>
        <w:keepLines/>
        <w:spacing w:after="60" w:line="276"/>
        <w:ind w:left="360"/>
      </w:pPr>
      <w:r>
        <w:rPr>
          <w:b/>
          <w:bCs/>
          <w:color w:val="C1272D"/>
          <w:sz w:val="19"/>
          <w:szCs w:val="19"/>
        </w:rPr>
        <w:t xml:space="preserve">No descargado: </w:t>
      </w:r>
      <w:r>
        <w:rPr>
          <w:sz w:val="19"/>
          <w:szCs w:val="19"/>
        </w:rPr>
        <w:t xml:space="preserve">acceso por suscripción (Elsevier). </w:t>
      </w:r>
      <w:r>
        <w:rPr>
          <w:color w:val="40798C"/>
          <w:sz w:val="18"/>
          <w:szCs w:val="18"/>
        </w:rPr>
        <w:t xml:space="preserve">https://ideas.repec.org/a/eee/econom/v60y1994i1-2p1-22.html</w:t>
      </w:r>
      <w:r>
        <w:rPr>
          <w:color w:val="5C6B7A"/>
          <w:sz w:val="19"/>
          <w:szCs w:val="19"/>
        </w:rPr>
        <w:t xml:space="preserve">  ·  inglés</w:t>
      </w:r>
    </w:p>
    <w:p>
      <w:pPr>
        <w:keepNext/>
        <w:keepLines/>
        <w:spacing w:after="80" w:before="200" w:line="276"/>
      </w:pPr>
      <w:r>
        <w:rPr>
          <w:b/>
          <w:bCs/>
          <w:color w:val="40798C"/>
        </w:rPr>
        <w:t xml:space="preserve">[4] </w:t>
      </w:r>
      <w:r>
        <w:rPr>
          <w:b/>
          <w:bCs/>
          <w:sz w:val="20"/>
          <w:szCs w:val="20"/>
        </w:rPr>
        <w:t xml:space="preserve">Ataurima Arellano, M. (2016). Empirical Modeling of Latin American Stock Markets Returns and Volatility Using Markov-Switching GARCH Models. Tesis de maestría, Pontificia Universidad Católica del Perú.</w:t>
      </w:r>
    </w:p>
    <w:p>
      <w:pPr>
        <w:keepNext/>
        <w:keepLines/>
        <w:spacing w:after="60" w:line="276"/>
        <w:ind w:left="360"/>
      </w:pPr>
      <w:r>
        <w:rPr>
          <w:b/>
          <w:bCs/>
          <w:color w:val="1C3A5C"/>
          <w:sz w:val="19"/>
          <w:szCs w:val="19"/>
        </w:rPr>
        <w:t xml:space="preserve">De qué trata: </w:t>
      </w:r>
      <w:r>
        <w:rPr>
          <w:sz w:val="19"/>
          <w:szCs w:val="19"/>
        </w:rPr>
        <w:t xml:space="preserve">Estima modelos de cambio de régimen sobre los retornos semanales de seis bolsas latinoamericanas, Argentina incluida, comparando un Markov-Switching simple con un Markov-Switching GARCH.</w:t>
      </w:r>
    </w:p>
    <w:p>
      <w:pPr>
        <w:keepNext/>
        <w:keepLines/>
        <w:spacing w:after="60" w:line="276"/>
        <w:ind w:left="360"/>
      </w:pPr>
      <w:r>
        <w:rPr>
          <w:b/>
          <w:bCs/>
          <w:color w:val="1C3A5C"/>
          <w:sz w:val="19"/>
          <w:szCs w:val="19"/>
        </w:rPr>
        <w:t xml:space="preserve">Relación con este análisis: </w:t>
      </w:r>
      <w:r>
        <w:rPr>
          <w:sz w:val="19"/>
          <w:szCs w:val="19"/>
        </w:rPr>
        <w:t xml:space="preserve">Antecedente más directo del paso para el mercado argentino. Trae una advertencia importante: para Argentina, el modelo de cambio de régimen simple (sin GARCH, como el nuestro) estima un régimen de alta volatilidad de aproximadamente el doble que el MS-GARCH, y con más persistencia. Los regímenes Tenso y su persistencia de 95-98% deben leerse con esa cautela.</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papers\2016_Ataurima_MS-GARCH_Latinoamerica_PUCP.pdf</w:t>
      </w:r>
      <w:r>
        <w:rPr>
          <w:color w:val="5C6B7A"/>
          <w:sz w:val="19"/>
          <w:szCs w:val="19"/>
        </w:rPr>
        <w:t xml:space="preserve">  ·  inglés</w:t>
      </w:r>
    </w:p>
    <w:p>
      <w:pPr>
        <w:keepNext/>
        <w:keepLines/>
        <w:spacing w:after="80" w:before="200" w:line="276"/>
      </w:pPr>
      <w:r>
        <w:rPr>
          <w:b/>
          <w:bCs/>
          <w:color w:val="40798C"/>
        </w:rPr>
        <w:t xml:space="preserve">[5] </w:t>
      </w:r>
      <w:r>
        <w:rPr>
          <w:b/>
          <w:bCs/>
          <w:sz w:val="20"/>
          <w:szCs w:val="20"/>
        </w:rPr>
        <w:t xml:space="preserve">Caballero Martínez, R. y Caballero Claure, B. (2016). Estimación de la volatilidad del tipo de cambio en México y Brasil. Un enfoque con modelos Markov Switching GARCH. Latin American Journal of Economic Development (LAJED), 25, 127–170.</w:t>
      </w:r>
    </w:p>
    <w:p>
      <w:pPr>
        <w:keepNext/>
        <w:keepLines/>
        <w:spacing w:after="60" w:line="276"/>
        <w:ind w:left="360"/>
      </w:pPr>
      <w:r>
        <w:rPr>
          <w:b/>
          <w:bCs/>
          <w:color w:val="1C3A5C"/>
          <w:sz w:val="19"/>
          <w:szCs w:val="19"/>
        </w:rPr>
        <w:t xml:space="preserve">De qué trata: </w:t>
      </w:r>
      <w:r>
        <w:rPr>
          <w:sz w:val="19"/>
          <w:szCs w:val="19"/>
        </w:rPr>
        <w:t xml:space="preserve">Aplica modelos de cambio de régimen a la volatilidad cambiaria de México y Brasil (1994-2014) y encuentra una persistencia alta: los shocks de volatilidad no se disipan rápido.</w:t>
      </w:r>
    </w:p>
    <w:p>
      <w:pPr>
        <w:keepNext/>
        <w:keepLines/>
        <w:spacing w:after="60" w:line="276"/>
        <w:ind w:left="360"/>
      </w:pPr>
      <w:r>
        <w:rPr>
          <w:b/>
          <w:bCs/>
          <w:color w:val="1C3A5C"/>
          <w:sz w:val="19"/>
          <w:szCs w:val="19"/>
        </w:rPr>
        <w:t xml:space="preserve">Relación con este análisis: </w:t>
      </w:r>
      <w:r>
        <w:rPr>
          <w:sz w:val="19"/>
          <w:szCs w:val="19"/>
        </w:rPr>
        <w:t xml:space="preserve">Ejemplo en español y en la región de la misma familia de modelos; su hallazgo de alta persistencia coincide con la diagonal de 95-98% de nuestra matriz de transición.</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papers\2016_Caballero_MS-GARCH_tipo_de_cambio_Mexico_Brasil.pdf</w:t>
      </w:r>
      <w:r>
        <w:rPr>
          <w:color w:val="5C6B7A"/>
          <w:sz w:val="19"/>
          <w:szCs w:val="19"/>
        </w:rPr>
        <w:t xml:space="preserve">  ·  español</w:t>
      </w:r>
    </w:p>
    <w:p>
      <w:pPr>
        <w:keepNext/>
        <w:keepLines/>
        <w:spacing w:after="80" w:before="200" w:line="276"/>
      </w:pPr>
      <w:r>
        <w:rPr>
          <w:b/>
          <w:bCs/>
          <w:color w:val="40798C"/>
        </w:rPr>
        <w:t xml:space="preserve">[6] </w:t>
      </w:r>
      <w:r>
        <w:rPr>
          <w:b/>
          <w:bCs/>
          <w:sz w:val="20"/>
          <w:szCs w:val="20"/>
        </w:rPr>
        <w:t xml:space="preserve">Blake, A. C., Gandhi, N. A. y Jakkula, A. R. (2025). Improving S&amp;P 500 Volatility Forecasting through Regime-Switching Methods. arXiv:2510.03236.</w:t>
      </w:r>
    </w:p>
    <w:p>
      <w:pPr>
        <w:keepNext/>
        <w:keepLines/>
        <w:spacing w:after="60" w:line="276"/>
        <w:ind w:left="360"/>
      </w:pPr>
      <w:r>
        <w:rPr>
          <w:b/>
          <w:bCs/>
          <w:color w:val="1C3A5C"/>
          <w:sz w:val="19"/>
          <w:szCs w:val="19"/>
        </w:rPr>
        <w:t xml:space="preserve">De qué trata: </w:t>
      </w:r>
      <w:r>
        <w:rPr>
          <w:sz w:val="19"/>
          <w:szCs w:val="19"/>
        </w:rPr>
        <w:t xml:space="preserve">Aplica modelos de cambio de régimen a la volatilidad realizada diaria del S&amp;P 500 (2014-2025) para mejorar su pronóstico.</w:t>
      </w:r>
    </w:p>
    <w:p>
      <w:pPr>
        <w:keepNext/>
        <w:keepLines/>
        <w:spacing w:after="60" w:line="276"/>
        <w:ind w:left="360"/>
      </w:pPr>
      <w:r>
        <w:rPr>
          <w:b/>
          <w:bCs/>
          <w:color w:val="1C3A5C"/>
          <w:sz w:val="19"/>
          <w:szCs w:val="19"/>
        </w:rPr>
        <w:t xml:space="preserve">Relación con este análisis: </w:t>
      </w:r>
      <w:r>
        <w:rPr>
          <w:sz w:val="19"/>
          <w:szCs w:val="19"/>
        </w:rPr>
        <w:t xml:space="preserve">Mismo enfoque que el nuestro: regímenes detectados sobre una serie de volatilidad realizada, no sobre los precios.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papers\2025_Regime_switching_SP500_volatility.pdf</w:t>
      </w:r>
      <w:r>
        <w:rPr>
          <w:color w:val="5C6B7A"/>
          <w:sz w:val="19"/>
          <w:szCs w:val="19"/>
        </w:rPr>
        <w:t xml:space="preserve">  ·  inglés</w:t>
      </w:r>
    </w:p>
    <w:p>
      <w:pPr>
        <w:keepNext/>
        <w:keepLines/>
        <w:spacing w:after="80" w:before="200" w:line="276"/>
      </w:pPr>
      <w:r>
        <w:rPr>
          <w:b/>
          <w:bCs/>
          <w:color w:val="40798C"/>
        </w:rPr>
        <w:t xml:space="preserve">[7] </w:t>
      </w:r>
      <w:r>
        <w:rPr>
          <w:b/>
          <w:bCs/>
          <w:sz w:val="20"/>
          <w:szCs w:val="20"/>
        </w:rPr>
        <w:t xml:space="preserve">Ataei, M. (2025). Modeling Regime Structure and Informational Drivers of Stock Market Volatility via the Financial Chaos Index. arXiv:2504.18958.</w:t>
      </w:r>
    </w:p>
    <w:p>
      <w:pPr>
        <w:keepNext/>
        <w:keepLines/>
        <w:spacing w:after="60" w:line="276"/>
        <w:ind w:left="360"/>
      </w:pPr>
      <w:r>
        <w:rPr>
          <w:b/>
          <w:bCs/>
          <w:color w:val="1C3A5C"/>
          <w:sz w:val="19"/>
          <w:szCs w:val="19"/>
        </w:rPr>
        <w:t xml:space="preserve">De qué trata: </w:t>
      </w:r>
      <w:r>
        <w:rPr>
          <w:sz w:val="19"/>
          <w:szCs w:val="19"/>
        </w:rPr>
        <w:t xml:space="preserve">Construye un índice de volatilidad realizada del mercado y le aplica un modelo de cambio de régimen para estudiar qué información mueve cada régimen.</w:t>
      </w:r>
    </w:p>
    <w:p>
      <w:pPr>
        <w:keepNext/>
        <w:keepLines/>
        <w:spacing w:after="60" w:line="276"/>
        <w:ind w:left="360"/>
      </w:pPr>
      <w:r>
        <w:rPr>
          <w:b/>
          <w:bCs/>
          <w:color w:val="1C3A5C"/>
          <w:sz w:val="19"/>
          <w:szCs w:val="19"/>
        </w:rPr>
        <w:t xml:space="preserve">Relación con este análisis: </w:t>
      </w:r>
      <w:r>
        <w:rPr>
          <w:sz w:val="19"/>
          <w:szCs w:val="19"/>
        </w:rPr>
        <w:t xml:space="preserve">Combina las dos piezas de este trabajo — un índice de volatilidad realizada (03) y regímenes sobre él (06) — y además los vincula con información de mercado, el paso que sigue con las noticias.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papers\2025_Regime_structure_volatility.pdf</w:t>
      </w:r>
      <w:r>
        <w:rPr>
          <w:color w:val="5C6B7A"/>
          <w:sz w:val="19"/>
          <w:szCs w:val="19"/>
        </w:rPr>
        <w:t xml:space="preserve">  ·  inglés</w:t>
      </w:r>
    </w:p>
    <w:p>
      <w:pPr>
        <w:keepNext/>
        <w:keepLines/>
        <w:spacing w:after="80" w:before="200" w:line="276"/>
      </w:pPr>
      <w:r>
        <w:rPr>
          <w:b/>
          <w:bCs/>
          <w:color w:val="40798C"/>
        </w:rPr>
        <w:t xml:space="preserve">[8] </w:t>
      </w:r>
      <w:r>
        <w:rPr>
          <w:b/>
          <w:bCs/>
          <w:sz w:val="20"/>
          <w:szCs w:val="20"/>
        </w:rPr>
        <w:t xml:space="preserve">Majumder, R., Ji, Q. y Neerchal, N. K. (2023). Optimal Stock Portfolio Selection with a Multivariate Hidden Markov Model. Sankhya B, 85 (Suppl 1), 177–198. arXiv:2406.02297.</w:t>
      </w:r>
    </w:p>
    <w:p>
      <w:pPr>
        <w:keepNext/>
        <w:keepLines/>
        <w:spacing w:after="60" w:line="276"/>
        <w:ind w:left="360"/>
      </w:pPr>
      <w:r>
        <w:rPr>
          <w:b/>
          <w:bCs/>
          <w:color w:val="1C3A5C"/>
          <w:sz w:val="19"/>
          <w:szCs w:val="19"/>
        </w:rPr>
        <w:t xml:space="preserve">De qué trata: </w:t>
      </w:r>
      <w:r>
        <w:rPr>
          <w:sz w:val="19"/>
          <w:szCs w:val="19"/>
        </w:rPr>
        <w:t xml:space="preserve">Usa un HMM para identificar estados alcistas y bajistas en acciones del S&amp;P 500, y señala que esos estados no se observan: solo se pueden asignar en forma retrospectiva.</w:t>
      </w:r>
    </w:p>
    <w:p>
      <w:pPr>
        <w:keepNext/>
        <w:keepLines/>
        <w:spacing w:after="60" w:line="276"/>
        <w:ind w:left="360"/>
      </w:pPr>
      <w:r>
        <w:rPr>
          <w:b/>
          <w:bCs/>
          <w:color w:val="1C3A5C"/>
          <w:sz w:val="19"/>
          <w:szCs w:val="19"/>
        </w:rPr>
        <w:t xml:space="preserve">Relación con este análisis: </w:t>
      </w:r>
      <w:r>
        <w:rPr>
          <w:sz w:val="19"/>
          <w:szCs w:val="19"/>
        </w:rPr>
        <w:t xml:space="preserve">Es el mismo punto de nuestras probabilidades suavizadas: el régimen de cada día se asigna usando toda la serie, incluido el futuro. Sirve para describir el período, no para saber en tiempo real en qué régimen está el mercado.</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papers\2024_Multivariate_HMM_bull_bear.pdf</w:t>
      </w:r>
      <w:r>
        <w:rPr>
          <w:color w:val="5C6B7A"/>
          <w:sz w:val="19"/>
          <w:szCs w:val="19"/>
        </w:rPr>
        <w:t xml:space="preserve">  ·  inglés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w:t>
    </w:r>
    <w:r>
      <w:rPr>
        <w:color w:val="5C6B7A"/>
        <w:sz w:val="16"/>
        <w:szCs w:val="16"/>
      </w:rPr>
      <w:t xml:space="preserve">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Regímenes de mercado (HMM)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 w:type="paragraph" w:styleId="Heading2">
    <w:name w:val="Heading 2"/>
    <w:basedOn w:val="Normal"/>
    <w:next w:val="Normal"/>
    <w:qFormat/>
    <w:pPr>
      <w:spacing w:after="120" w:before="280"/>
    </w:pPr>
    <w:rPr>
      <w:rFonts w:ascii="Cambria" w:cs="Cambria" w:eastAsia="Cambria" w:hAnsi="Cambria"/>
      <w:b/>
      <w:bCs/>
      <w:color w:val="1C3A5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c5d8d9ca2b80c358a8731784d8bbeac995a8559.png"/><Relationship Id="rId10" Type="http://schemas.openxmlformats.org/officeDocument/2006/relationships/image" Target="media/609b130ef7836d7ffb841541c5ec077f2c5e96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2026-10-17T23:42:49.535Z</dcterms:created>
  <dcterms:modified xsi:type="dcterms:W3CDTF">2026-10-17T23:42:49.535Z</dcterms:modified>
</cp:coreProperties>
</file>

<file path=docProps/custom.xml><?xml version="1.0" encoding="utf-8"?>
<Properties xmlns="http://schemas.openxmlformats.org/officeDocument/2006/custom-properties" xmlns:vt="http://schemas.openxmlformats.org/officeDocument/2006/docPropsVTypes"/>
</file>