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mbria" w:cs="Cambria" w:eastAsia="Cambria" w:hAnsi="Cambria"/>
          <w:b/>
          <w:bCs/>
          <w:color w:val="12263A"/>
          <w:sz w:val="44"/>
          <w:szCs w:val="44"/>
        </w:rPr>
        <w:t xml:space="preserve">Pipeline de la unión</w:t>
      </w:r>
    </w:p>
    <w:p>
      <w:pPr>
        <w:spacing w:after="200"/>
      </w:pPr>
      <w:r>
        <w:rPr>
          <w:rFonts w:ascii="Cambria" w:cs="Cambria" w:eastAsia="Cambria" w:hAnsi="Cambria"/>
          <w:i/>
          <w:iCs/>
          <w:color w:val="1C3A5C"/>
          <w:sz w:val="24"/>
          <w:szCs w:val="24"/>
        </w:rPr>
        <w:t xml:space="preserve">Los pasos para unir el lado bursátil con el lado de noticias y cerrar los archivos finales</w:t>
      </w:r>
    </w:p>
    <w:p>
      <w:pPr>
        <w:pBdr>
          <w:bottom w:val="single" w:color="D9E0E7" w:sz="4" w:space="8"/>
        </w:pBdr>
        <w:spacing w:after="200"/>
      </w:pPr>
      <w:r>
        <w:rPr>
          <w:color w:val="5C6B7A"/>
          <w:sz w:val="19"/>
          <w:szCs w:val="19"/>
        </w:rPr>
        <w:t xml:space="preserve">Tesina — Impacto de shocks informativos en acciones argentinas (BYMA / S&amp;P Merval). Documento de la unión: lee los dos lados y no modifica ninguno. Versión del 23/10/2026, con el lado de noticias actualizado al 18/10.</w:t>
      </w:r>
    </w:p>
    <w:p>
      <w:pPr>
        <w:spacing w:after="160" w:line="300"/>
      </w:pPr>
      <w:r>
        <w:rPr>
          <w:b/>
          <w:bCs/>
        </w:rPr>
        <w:t xml:space="preserve">Ubicación.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D:\2.Tesina\tesis version 3.0\Unión\00_pipeline_union\</w:t>
      </w:r>
      <w:r>
        <w:t xml:space="preserve">. Los números salen de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diagnostico_union.py</w:t>
      </w:r>
      <w:r>
        <w:t xml:space="preserve">, que solo lee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Lado Bursatil</w:t>
      </w:r>
      <w:r>
        <w:t xml:space="preserve"> y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Lado Noticias</w:t>
      </w:r>
      <w:r>
        <w:t xml:space="preserve">.</w:t>
      </w:r>
    </w:p>
    <w:tbl>
      <w:tblPr>
        <w:tblW w:type="pct" w:w="5000"/>
        <w:tblBorders>
          <w:top w:val="single" w:color="D9E0E7" w:sz="4"/>
          <w:left w:val="single" w:color="40798C" w:sz="24"/>
          <w:bottom w:val="single" w:color="D9E0E7" w:sz="4"/>
          <w:right w:val="single" w:color="D9E0E7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shd w:fill="F5F8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C3A5C"/>
              </w:rPr>
              <w:t xml:space="preserve">En una frase</w:t>
            </w:r>
          </w:p>
          <w:p>
            <w:pPr>
              <w:spacing w:after="60" w:line="276"/>
            </w:pPr>
            <w:r>
              <w:t xml:space="preserve">Los dos lados están completos. Para unirlos hay que mandar cada noticia a la rueda en la que el mercado pudo reaccionar, armar dos tablas (mercado y empresas) y sobre ellas correr el VAR, Granger y el event study. Antes de armar las series las decisiones previas (D1 a D3) ya están tomadas: el sentimiento queda congelado y se analizan precio y volumen.</w:t>
            </w:r>
          </w:p>
        </w:tc>
      </w:tr>
    </w:tbl>
    <w:p>
      <w:pPr>
        <w:spacing w:after="160"/>
        <w:jc w:val="center"/>
      </w:pPr>
      <w:r>
        <w:drawing>
          <wp:inline distT="0" distB="0" distL="0" distR="0">
            <wp:extent cx="5334000" cy="718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360"/>
      </w:pPr>
      <w:r>
        <w:t xml:space="preserve">1. Dónde está cada lado</w:t>
      </w:r>
    </w:p>
    <w:p>
      <w:pPr>
        <w:spacing w:after="160" w:line="300"/>
      </w:pPr>
      <w:r>
        <w:rPr>
          <w:b/>
          <w:bCs/>
        </w:rPr>
        <w:t xml:space="preserve">Lado bursátil (Nicolás): cerrado el 17/10. </w:t>
      </w:r>
      <w:r>
        <w:t xml:space="preserve">Carpetas 00 a 06 con su script, sus CSV y su PDF: precios y volumen de 47 acciones, clustering, VIX argentino, ADF, volatilidad y régimen de mercado (HMM). No hay cambios desde la versión anterior de este documento.</w:t>
      </w:r>
    </w:p>
    <w:p>
      <w:pPr>
        <w:spacing w:after="160" w:line="300"/>
      </w:pPr>
      <w:r>
        <w:rPr>
          <w:b/>
          <w:bCs/>
        </w:rPr>
        <w:t xml:space="preserve">Lado de noticias (Gino): actualizado el 18/10. </w:t>
      </w:r>
      <w:r>
        <w:t xml:space="preserve">Los cambios que importan para la unión: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5301"/>
        <w:gridCol w:w="4337"/>
      </w:tblGrid>
      <w:tr>
        <w:trPr>
          <w:tblHeader/>
        </w:trPr>
        <w:tc>
          <w:tcPr>
            <w:tcW w:type="pct" w:w="27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cambió</w:t>
            </w:r>
          </w:p>
        </w:tc>
        <w:tc>
          <w:tcPr>
            <w:tcW w:type="pct" w:w="22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Efecto en la unión</w:t>
            </w:r>
          </w:p>
        </w:tc>
      </w:tr>
      <w:tr>
        <w:trPr>
          <w:cantSplit/>
        </w:trPr>
        <w:tc>
          <w:tcPr>
            <w:tcW w:type="pct" w:w="2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Trajo a la carpeta el sentimiento por oración (beto_oraciones_finetuned.csv), el etiquetado de Gemma, los datos de entrenamiento y el modelo de partida, cada uno con su hash</w:t>
            </w:r>
          </w:p>
        </w:tc>
        <w:tc>
          <w:tcPr>
            <w:tcW w:type="pct" w:w="22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Ya está todo lo necesario para U3, sin leer nada fuera de esta carpeta</w:t>
            </w:r>
          </w:p>
        </w:tc>
      </w:tr>
      <w:tr>
        <w:trPr>
          <w:cantSplit/>
        </w:trPr>
        <w:tc>
          <w:tcPr>
            <w:tcW w:type="pct" w:w="2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Limpió el etiquetado (750 filas de relleno o repetidas) y midió de nuevo la calidad del modelo con una división por noticia</w:t>
            </w:r>
          </w:p>
        </w:tc>
        <w:tc>
          <w:tcPr>
            <w:tcW w:type="pct" w:w="22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 calidad que se informa es F1 0,685 (4 clases) y 0,724 contra 0,546 del modelo de referencia (3 clases)</w:t>
            </w:r>
          </w:p>
        </w:tc>
      </w:tr>
      <w:tr>
        <w:trPr>
          <w:cantSplit/>
        </w:trPr>
        <w:tc>
          <w:tcPr>
            <w:tcW w:type="pct" w:w="2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 serie diaria ahora se arma desde el sentimiento por oración y sin las frases de relleno</w:t>
            </w:r>
          </w:p>
        </w:tc>
        <w:tc>
          <w:tcPr>
            <w:tcW w:type="pct" w:w="22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36 shocks en lugar de 33; la serie anterior y la nueva tienen correlación 0,996</w:t>
            </w:r>
          </w:p>
        </w:tc>
      </w:tr>
      <w:tr>
        <w:trPr>
          <w:cantSplit/>
        </w:trPr>
        <w:tc>
          <w:tcPr>
            <w:tcW w:type="pct" w:w="2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Unificó indicadores sinónimos del NER (ccl y contado con liquidación, pib y pbi, etc.)</w:t>
            </w:r>
          </w:p>
        </w:tc>
        <w:tc>
          <w:tcPr>
            <w:tcW w:type="pct" w:w="22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sentimiento por indicador queda sin dobles conteos</w:t>
            </w:r>
          </w:p>
        </w:tc>
      </w:tr>
      <w:tr>
        <w:trPr>
          <w:cantSplit/>
        </w:trPr>
        <w:tc>
          <w:tcPr>
            <w:tcW w:type="pct" w:w="2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Documentó el hueco de iProfesional en abril de 2026 y las horas en UTC</w:t>
            </w:r>
          </w:p>
        </w:tc>
        <w:tc>
          <w:tcPr>
            <w:tcW w:type="pct" w:w="22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Las dos cosas se resuelven del lado de la unión (U1, U4 y U8)</w:t>
            </w:r>
          </w:p>
        </w:tc>
      </w:tr>
      <w:tr>
        <w:trPr>
          <w:cantSplit/>
        </w:trPr>
        <w:tc>
          <w:tcPr>
            <w:tcW w:type="pct" w:w="27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Dejó escrito que la regla de shocks incluye el propio día y que la unión la redefine</w:t>
            </w:r>
          </w:p>
        </w:tc>
        <w:tc>
          <w:tcPr>
            <w:tcW w:type="pct" w:w="22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 regla de shocks se elige en U2</w:t>
            </w:r>
          </w:p>
        </w:tc>
      </w:tr>
      <w:tr>
        <w:trPr>
          <w:cantSplit/>
        </w:trPr>
        <w:tc>
          <w:tcPr>
            <w:tcW w:type="pct" w:w="2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Dejó pendiente reentrenar el modelo que clasificó el corpus con los datos limpios (su plan de mejora, pasos 2 y 5)</w:t>
            </w:r>
          </w:p>
        </w:tc>
        <w:tc>
          <w:tcPr>
            <w:tcW w:type="pct" w:w="22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Decidido en D1: no se reentrena, se congela la versión actual</w:t>
            </w:r>
          </w:p>
        </w:tc>
      </w:tr>
    </w:tbl>
    <w:p>
      <w:pPr>
        <w:spacing w:after="160" w:line="300"/>
      </w:pPr>
      <w:r>
        <w:rPr>
          <w:i/>
          <w:iCs/>
          <w:color w:val="5C6B7A"/>
          <w:sz w:val="18"/>
          <w:szCs w:val="18"/>
        </w:rPr>
        <w:t xml:space="preserve">El lado de noticias lleva su propio registro: cada archivo traído desde afuera figura en su README con su origen y su hash.</w:t>
      </w:r>
    </w:p>
    <w:p>
      <w:pPr>
        <w:pStyle w:val="Heading1"/>
        <w:keepNext/>
        <w:spacing w:after="160" w:before="360"/>
      </w:pPr>
      <w:r>
        <w:t xml:space="preserve">2. Lo que ya está decidido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pct" w:w="13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pct" w:w="37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se decidió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Ventana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05/05/2025 → 30/04/2026 (244 ruedas). Las carpetas de cada lado no cambian sus fechas: la unión usa ese tramo.</w:t>
            </w:r>
          </w:p>
        </w:tc>
      </w:tr>
      <w:tr>
        <w:trPr>
          <w:cantSplit/>
        </w:trPr>
        <w:tc>
          <w:tcPr>
            <w:tcW w:type="pct" w:w="13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Regla de cierre</w:t>
            </w:r>
          </w:p>
        </w:tc>
        <w:tc>
          <w:tcPr>
            <w:tcW w:type="pct" w:w="3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Una nota publicada a las 17:00 o después, o en un día sin mercado, cuenta para la rueda siguiente.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Régimen (HMM)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 usa tal como está en la carpeta 06, sin reentrenar. La unión toma las filas desde mayo de 2025.</w:t>
            </w:r>
          </w:p>
        </w:tc>
      </w:tr>
      <w:tr>
        <w:trPr>
          <w:cantSplit/>
        </w:trPr>
        <w:tc>
          <w:tcPr>
            <w:tcW w:type="pct" w:w="13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Moderado</w:t>
            </w:r>
          </w:p>
        </w:tc>
        <w:tc>
          <w:tcPr>
            <w:tcW w:type="pct" w:w="3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Tiene 18 días en la ventana común. El VAR por régimen compara Calmo vs. Tenso; "No calmo" (Moderado + Tenso) va como robustez.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Sentimiento propio por empresa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Solo para las 17 acciones con al menos 90 ruedas con noticias. Las demás usan el sentimiento general.</w:t>
            </w:r>
          </w:p>
        </w:tc>
      </w:tr>
      <w:tr>
        <w:trPr>
          <w:cantSplit/>
        </w:trPr>
        <w:tc>
          <w:tcPr>
            <w:tcW w:type="pct" w:w="13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Dólares CCL</w:t>
            </w:r>
          </w:p>
        </w:tc>
        <w:tc>
          <w:tcPr>
            <w:tcW w:type="pct" w:w="3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se hace. Queda como idea a futuro y como limitación.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Regla de shocks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 banda se calcula sin el día evaluado (acordado con Gino). La ventana y el umbral se eligen en U2, comparando contra el azar.</w:t>
            </w:r>
          </w:p>
        </w:tc>
      </w:tr>
      <w:tr>
        <w:trPr>
          <w:cantSplit/>
        </w:trPr>
        <w:tc>
          <w:tcPr>
            <w:tcW w:type="pct" w:w="13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D1 · Modelo de sentimiento (24/10)</w:t>
            </w:r>
          </w:p>
        </w:tc>
        <w:tc>
          <w:tcPr>
            <w:tcW w:type="pct" w:w="3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 congela: los datos actuales del lado de noticias son los finales y no se reentrena. La tesis aclara que el modelo en uso se entrenó con la división original.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D2 · Variables del plan (24/10)</w:t>
            </w:r>
          </w:p>
        </w:tc>
        <w:tc>
          <w:tcPr>
            <w:tcW w:type="pct" w:w="3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 suman el volumen operado (volumen anormal), la cantidad de notas por rueda y si hubo noticia de cada empresa, como pide el plan de tesis.</w:t>
            </w:r>
          </w:p>
        </w:tc>
      </w:tr>
      <w:tr>
        <w:trPr>
          <w:cantSplit/>
        </w:trPr>
        <w:tc>
          <w:tcPr>
            <w:tcW w:type="pct" w:w="13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D3 · Twitter, DLM y HMM por sector (24/10)</w:t>
            </w:r>
          </w:p>
        </w:tc>
        <w:tc>
          <w:tcPr>
            <w:tcW w:type="pct" w:w="37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Twitter queda documentado pero no se usa. El DLM queda como trabajo futuro (el VAR ya trabaja con rezagos). El HMM por sector y por acción de la versión anterior no se rehace.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3. Qué implican las decisiones D1 a D3</w:t>
      </w:r>
    </w:p>
    <w:p>
      <w:pPr>
        <w:spacing w:after="160" w:line="300"/>
      </w:pPr>
      <w:r>
        <w:rPr>
          <w:b/>
          <w:bCs/>
        </w:rPr>
        <w:t xml:space="preserve">D1 · Sentimiento congelado. </w:t>
      </w:r>
      <w:r>
        <w:t xml:space="preserve">La unión usa beto_oraciones_finetuned.csv y finetuned_articulos.csv tal como están hoy en Lado Noticias. U2 y U3 ya no esperan nada. En la tesis se declara que la calidad informada (F1 0,685) se midió reentrenando con datos limpios, mientras que el modelo que clasificó el corpus es el original.</w:t>
      </w:r>
    </w:p>
    <w:p>
      <w:pPr>
        <w:spacing w:after="160" w:line="300"/>
      </w:pPr>
      <w:r>
        <w:rPr>
          <w:b/>
          <w:bCs/>
        </w:rPr>
        <w:t xml:space="preserve">D2 · Precio y volumen, sentimiento y atención. </w:t>
      </w:r>
      <w:r>
        <w:t xml:space="preserve">No suma datos ni reentrena: usa columnas que ya existen. El volumen anormal sale del volumen de la carpeta 01; la cantidad de notas, de contar las notas de cada rueda (U1); la marca de noticia por empresa, del NER (U3). Entran como variables en U4, U6 y U7, y así la tesis cubre el objetivo general (precio y volumen) y el objetivo 4 (volumetría, sentimiento y entidades).</w:t>
      </w:r>
    </w:p>
    <w:p>
      <w:pPr>
        <w:spacing w:after="160" w:line="300"/>
      </w:pPr>
      <w:r>
        <w:rPr>
          <w:b/>
          <w:bCs/>
        </w:rPr>
        <w:t xml:space="preserve">D3 · Fuera del análisis. </w:t>
      </w:r>
      <w:r>
        <w:t xml:space="preserve">Los trending topics de X/Twitter quedan documentados como fuente prevista pero no utilizada; el plan de trabajo se ajusta en U9. El DLM pasa a trabajo futuro. El HMM por sector y por acción no se rehace: tenía el régimen atado al VIX del mercado, y la pregunta queda cubierta por el VAR por sector (U6) y la volatilidad propia (carpeta 05).</w:t>
      </w:r>
    </w:p>
    <w:p>
      <w:pPr>
        <w:pStyle w:val="Heading1"/>
        <w:keepNext/>
        <w:spacing w:after="160" w:before="360"/>
      </w:pPr>
      <w:r>
        <w:t xml:space="preserve">4. Lo que mostró el cruce de los datos</w:t>
      </w:r>
    </w:p>
    <w:p>
      <w:pPr>
        <w:spacing w:after="160" w:line="300"/>
      </w:pPr>
      <w:r>
        <w:rPr>
          <w:b/>
          <w:bCs/>
        </w:rPr>
        <w:t xml:space="preserve">Ventana. </w:t>
      </w:r>
      <w:r>
        <w:t xml:space="preserve">Hay 11 notas entre enero y abril de 2025; la unión arranca el 05/05/2025.</w:t>
      </w:r>
    </w:p>
    <w:p>
      <w:pPr>
        <w:spacing w:after="160" w:line="300"/>
      </w:pPr>
      <w:r>
        <w:rPr>
          <w:b/>
          <w:bCs/>
        </w:rPr>
        <w:t xml:space="preserve">Calendario. </w:t>
      </w:r>
      <w:r>
        <w:t xml:space="preserve">De los 36 shocks de la serie de noticias, 18 caen en días sin mercado.</w:t>
      </w:r>
    </w:p>
    <w:p>
      <w:pPr>
        <w:spacing w:after="160" w:line="300"/>
      </w:pPr>
      <w:r>
        <w:rPr>
          <w:b/>
          <w:bCs/>
        </w:rPr>
        <w:t xml:space="preserve">Horario. </w:t>
      </w:r>
      <w:r>
        <w:t xml:space="preserve">El 27,9% de las notas sale a las 17:00 o después. Con la regla de la rueda, el 40,2% cambia de día y todas las ruedas tienen noticias (mínimo 12, mediana 55). 95 notas quedaban con el día siguiente por la hora en UTC.</w:t>
      </w:r>
    </w:p>
    <w:p>
      <w:pPr>
        <w:spacing w:after="160" w:line="300"/>
      </w:pPr>
      <w:r>
        <w:rPr>
          <w:b/>
          <w:bCs/>
        </w:rPr>
        <w:t xml:space="preserve">Horas sospechosas. </w:t>
      </w:r>
      <w:r>
        <w:t xml:space="preserve">El 13,4% de las notas (1.881) tiene una hora repetida que no puede ser la real (una misma hora junta más del 3% de las notas de su portal): Clarín a las 07:00 o 07:08, Ámbito a las 00:00, TN a las 05:55, entre otras. La regla de las 17:00 las manda al mismo día; si en realidad salieron de noche, corresponden al día siguiente. Se marcan en U1 y se prueba sin ellas en U8.</w:t>
      </w:r>
    </w:p>
    <w:p>
      <w:pPr>
        <w:spacing w:after="160" w:line="300"/>
      </w:pPr>
      <w:r>
        <w:rPr>
          <w:b/>
          <w:bCs/>
        </w:rPr>
        <w:t xml:space="preserve">Portales. </w:t>
      </w:r>
      <w:r>
        <w:t xml:space="preserve">El sentimiento medio por portal va de 0,0 a +30,7, e iProfesional pasa de 512 notas en marzo de 2026 a 3 en abril. Por eso hay una versión ajustada por portal.</w:t>
      </w:r>
    </w:p>
    <w:p>
      <w:pPr>
        <w:spacing w:after="160" w:line="300"/>
      </w:pPr>
      <w:r>
        <w:rPr>
          <w:b/>
          <w:bCs/>
        </w:rPr>
        <w:t xml:space="preserve">Empresas y régimen. </w:t>
      </w:r>
      <w:r>
        <w:t xml:space="preserve">17 acciones tienen sentimiento propio suficiente; 3 no tienen ninguna mención. En la ventana común hay 177 días Calmo, 18 Moderado y 49 Tenso.</w:t>
      </w:r>
    </w:p>
    <w:p>
      <w:pPr>
        <w:spacing w:after="160" w:line="300"/>
      </w:pPr>
      <w:r>
        <w:rPr>
          <w:b/>
          <w:bCs/>
        </w:rPr>
        <w:t xml:space="preserve">Shocks contra el azar. </w:t>
      </w:r>
      <w:r>
        <w:t xml:space="preserve">Se armó la serie por rueda y se contó cuántas ruedas marca cada regla como shock, contra lo que marcaría una serie de números al azar: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5397"/>
        <w:gridCol w:w="2120"/>
        <w:gridCol w:w="2120"/>
      </w:tblGrid>
      <w:tr>
        <w:trPr>
          <w:tblHeader/>
        </w:trPr>
        <w:tc>
          <w:tcPr>
            <w:tcW w:type="pct" w:w="28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pct" w:w="11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Serie por rueda</w:t>
            </w:r>
          </w:p>
        </w:tc>
        <w:tc>
          <w:tcPr>
            <w:tcW w:type="pct" w:w="11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Puro azar</w:t>
            </w:r>
          </w:p>
        </w:tc>
      </w:tr>
      <w:tr>
        <w:trPr>
          <w:cantSplit/>
        </w:trPr>
        <w:tc>
          <w:tcPr>
            <w:tcW w:type="pct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 de Gino (7 días, incluye el día, 1,5σ)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12,6%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10,7%</w:t>
            </w:r>
          </w:p>
        </w:tc>
      </w:tr>
      <w:tr>
        <w:trPr>
          <w:cantSplit/>
        </w:trPr>
        <w:tc>
          <w:tcPr>
            <w:tcW w:type="pct" w:w="28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 días previos, 2σ</w:t>
            </w:r>
          </w:p>
        </w:tc>
        <w:tc>
          <w:tcPr>
            <w:tcW w:type="pct" w:w="1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12,2%</w:t>
            </w:r>
          </w:p>
        </w:tc>
        <w:tc>
          <w:tcPr>
            <w:tcW w:type="pct" w:w="1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11,1%</w:t>
            </w:r>
          </w:p>
        </w:tc>
      </w:tr>
      <w:tr>
        <w:trPr>
          <w:cantSplit/>
        </w:trPr>
        <w:tc>
          <w:tcPr>
            <w:tcW w:type="pct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 días previos, 2σ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8,0%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6,6%</w:t>
            </w:r>
          </w:p>
        </w:tc>
      </w:tr>
    </w:tbl>
    <w:p>
      <w:pPr>
        <w:spacing w:after="160" w:line="300"/>
      </w:pPr>
      <w:r>
        <w:t xml:space="preserve">Con cualquier regla la proporción es casi la del azar: definir "shock" mirando solo los días previos no separa bien un evento de una fluctuación. Esto afecta solo al event study (U7). El VAR y Granger (U6) usan la serie completa de sentimiento y no dependen de esta definición. En U2 se prueban reglas alternativas (por ejemplo, medir cuánto se aparta el día teniendo en cuenta cuántas notas tiene) y se elige la que más se distinga del azar.</w:t>
      </w:r>
    </w:p>
    <w:p>
      <w:pPr>
        <w:pStyle w:val="Heading1"/>
        <w:keepNext/>
        <w:spacing w:after="160" w:before="360"/>
      </w:pPr>
      <w:r>
        <w:t xml:space="preserve">5. El pipeline, paso a paso</w:t>
      </w:r>
    </w:p>
    <w:p>
      <w:pPr>
        <w:spacing w:after="160" w:line="300"/>
      </w:pPr>
      <w:r>
        <w:t xml:space="preserve">Cada paso tiene su carpeta dentro de Unión, con su script, sus CSV y su PDF, igual que los dos lados. Ningún paso modifica Lado Bursatil ni Lado Noticias. Se avanza de a un paso: se corre, se revisa el resultado y recién ahí se sigue.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A4C93"/>
          <w:sz w:val="25"/>
          <w:szCs w:val="25"/>
        </w:rPr>
        <w:t xml:space="preserve">U1 · Cada noticia a su rueda</w:t>
      </w:r>
      <w:r>
        <w:rPr>
          <w:color w:val="5C6B7A"/>
          <w:sz w:val="18"/>
          <w:szCs w:val="18"/>
        </w:rPr>
        <w:t xml:space="preserve">   (Unión · depende de: nada (se puede hacer ya))</w:t>
      </w:r>
    </w:p>
    <w:p>
      <w:pPr>
        <w:spacing w:after="160" w:line="300"/>
      </w:pPr>
      <w:r>
        <w:rPr>
          <w:b/>
          <w:bCs/>
        </w:rPr>
        <w:t xml:space="preserve">Qué se hace. </w:t>
      </w:r>
      <w:r>
        <w:t xml:space="preserve">Pasar la hora de publicación de las 14.012 notas a hora argentina y asignar cada una a una rueda: la del mismo día si salió antes de las 17:00, y la siguiente si salió después o en un día sin mercado. Marcar las notas con hora sospechosa.</w:t>
      </w:r>
    </w:p>
    <w:p>
      <w:pPr>
        <w:spacing w:after="160" w:line="300"/>
      </w:pPr>
      <w:r>
        <w:rPr>
          <w:b/>
          <w:bCs/>
        </w:rPr>
        <w:t xml:space="preserve">Por qué. </w:t>
      </w:r>
      <w:r>
        <w:t xml:space="preserve">La noticia cuenta desde el primer momento en que alguien pudo operar con ella. Sin esto, una nota del viernes a la noche se compara con un precio que se formó antes.</w:t>
      </w:r>
    </w:p>
    <w:p>
      <w:pPr>
        <w:spacing w:after="160" w:line="300"/>
      </w:pPr>
      <w:r>
        <w:rPr>
          <w:b/>
          <w:bCs/>
        </w:rPr>
        <w:t xml:space="preserve">Entra.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noticias/resultados/*.jsonl</w:t>
      </w:r>
      <w:r>
        <w:t xml:space="preserve"> (Gino) y el calendario de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03_vix_argentino/vix_arg.csv</w:t>
      </w:r>
      <w:r>
        <w:t xml:space="preserve"> (Nicolás).</w:t>
      </w:r>
    </w:p>
    <w:p>
      <w:pPr>
        <w:spacing w:after="160" w:line="300"/>
      </w:pPr>
      <w:r>
        <w:rPr>
          <w:b/>
          <w:bCs/>
        </w:rPr>
        <w:t xml:space="preserve">Sale.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01_alineacion_noticias_ruedas/nota_a_rueda.csv</w:t>
      </w:r>
      <w:r>
        <w:t xml:space="preserve">: url, portal, hora argentina, rueda, hora sospechosa.</w:t>
      </w:r>
    </w:p>
    <w:p>
      <w:pPr>
        <w:spacing w:after="160" w:line="300"/>
      </w:pPr>
      <w:r>
        <w:rPr>
          <w:b/>
          <w:bCs/>
        </w:rPr>
        <w:t xml:space="preserve">Está terminado cuando </w:t>
      </w:r>
      <w:r>
        <w:t xml:space="preserve">cada nota del corpus tiene una rueda o un motivo para no tenerla, y el conteo por rueda coincide con el diagnóstico.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A4C93"/>
          <w:sz w:val="25"/>
          <w:szCs w:val="25"/>
        </w:rPr>
        <w:t xml:space="preserve">U2 · Series de mercado por rueda</w:t>
      </w:r>
      <w:r>
        <w:rPr>
          <w:color w:val="5C6B7A"/>
          <w:sz w:val="18"/>
          <w:szCs w:val="18"/>
        </w:rPr>
        <w:t xml:space="preserve">   (Unión · depende de: U1)</w:t>
      </w:r>
    </w:p>
    <w:p>
      <w:pPr>
        <w:spacing w:after="160" w:line="300"/>
      </w:pPr>
      <w:r>
        <w:rPr>
          <w:b/>
          <w:bCs/>
        </w:rPr>
        <w:t xml:space="preserve">Qué se hace. </w:t>
      </w:r>
      <w:r>
        <w:t xml:space="preserve">Para cada rueda: sentimiento promedio (simple y ajustado por portal), cantidad de notas y porcentaje de notas de cada portal. Después, elegir la regla de shocks: probar varias (ventana, umbral, ajuste por cantidad de notas), compararlas contra el azar y quedarse con la que más se distinga.</w:t>
      </w:r>
    </w:p>
    <w:p>
      <w:pPr>
        <w:spacing w:after="160" w:line="300"/>
      </w:pPr>
      <w:r>
        <w:rPr>
          <w:b/>
          <w:bCs/>
        </w:rPr>
        <w:t xml:space="preserve">Por qué. </w:t>
      </w:r>
      <w:r>
        <w:t xml:space="preserve">Es la variable de noticias del análisis de mercado. La regla de shocks se justifica con datos, no se elige a ojo.</w:t>
      </w:r>
    </w:p>
    <w:p>
      <w:pPr>
        <w:spacing w:after="160" w:line="300"/>
      </w:pPr>
      <w:r>
        <w:rPr>
          <w:b/>
          <w:bCs/>
        </w:rPr>
        <w:t xml:space="preserve">Entra.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sentimiento_finbert/finetuned_articulos.csv</w:t>
      </w:r>
      <w:r>
        <w:t xml:space="preserve"> (versión congelada) y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nota_a_rueda.csv</w:t>
      </w:r>
      <w:r>
        <w:t xml:space="preserve">.</w:t>
      </w:r>
    </w:p>
    <w:p>
      <w:pPr>
        <w:spacing w:after="160" w:line="300"/>
      </w:pPr>
      <w:r>
        <w:rPr>
          <w:b/>
          <w:bCs/>
        </w:rPr>
        <w:t xml:space="preserve">Sale.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02_sentimiento_por_rueda/sentimiento_mercado_rueda.csv</w:t>
      </w:r>
      <w:r>
        <w:t xml:space="preserve">,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shocks_rueda.csv</w:t>
      </w:r>
      <w:r>
        <w:t xml:space="preserve"> y la tabla de reglas probadas.</w:t>
      </w:r>
    </w:p>
    <w:p>
      <w:pPr>
        <w:spacing w:after="160" w:line="300"/>
      </w:pPr>
      <w:r>
        <w:rPr>
          <w:b/>
          <w:bCs/>
        </w:rPr>
        <w:t xml:space="preserve">Está terminado cuando </w:t>
      </w:r>
      <w:r>
        <w:t xml:space="preserve">la serie tiene las 244 ruedas, y la regla elegida y su comparación con el azar quedan documentadas.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A4C93"/>
          <w:sz w:val="25"/>
          <w:szCs w:val="25"/>
        </w:rPr>
        <w:t xml:space="preserve">U3 · Sentimiento por empresa e indicador por rueda</w:t>
      </w:r>
      <w:r>
        <w:rPr>
          <w:color w:val="5C6B7A"/>
          <w:sz w:val="18"/>
          <w:szCs w:val="18"/>
        </w:rPr>
        <w:t xml:space="preserve">   (Unión · depende de: U1)</w:t>
      </w:r>
    </w:p>
    <w:p>
      <w:pPr>
        <w:spacing w:after="160" w:line="300"/>
      </w:pPr>
      <w:r>
        <w:rPr>
          <w:b/>
          <w:bCs/>
        </w:rPr>
        <w:t xml:space="preserve">Qué se hace. </w:t>
      </w:r>
      <w:r>
        <w:t xml:space="preserve">Rehacer el cruce entidad × oración de Gino agrupando por rueda en lugar de por fecha, con sus mismas equivalencias de indicadores. Una rueda sin noticias de una empresa queda vacía, con la marca hubo_noticia = 0, y no con sentimiento 0.</w:t>
      </w:r>
    </w:p>
    <w:p>
      <w:pPr>
        <w:spacing w:after="160" w:line="300"/>
      </w:pPr>
      <w:r>
        <w:rPr>
          <w:b/>
          <w:bCs/>
        </w:rPr>
        <w:t xml:space="preserve">Por qué. </w:t>
      </w:r>
      <w:r>
        <w:t xml:space="preserve">Sentimiento 0 quiere decir tono neutro; no tener noticias es otra cosa. Mezclarlos haría parecer neutras a las empresas de las que nadie habla.</w:t>
      </w:r>
    </w:p>
    <w:p>
      <w:pPr>
        <w:spacing w:after="160" w:line="300"/>
      </w:pPr>
      <w:r>
        <w:rPr>
          <w:b/>
          <w:bCs/>
        </w:rPr>
        <w:t xml:space="preserve">Entra.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ner_entidades/resultados_ner/ner_oraciones.csv</w:t>
      </w:r>
      <w:r>
        <w:t xml:space="preserve">,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beto_oraciones_finetuned.csv</w:t>
      </w:r>
      <w:r>
        <w:t xml:space="preserve">,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equivalencias_indicadores.py</w:t>
      </w:r>
      <w:r>
        <w:t xml:space="preserve"> y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nota_a_rueda.csv</w:t>
      </w:r>
      <w:r>
        <w:t xml:space="preserve">.</w:t>
      </w:r>
    </w:p>
    <w:p>
      <w:pPr>
        <w:spacing w:after="160" w:line="300"/>
      </w:pPr>
      <w:r>
        <w:rPr>
          <w:b/>
          <w:bCs/>
        </w:rPr>
        <w:t xml:space="preserve">Sale.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03_sentimiento_por_empresa/sentimiento_entidad_rueda.csv</w:t>
      </w:r>
      <w:r>
        <w:t xml:space="preserve"> (rueda × empresa o indicador) y la cobertura exacta por empresa.</w:t>
      </w:r>
    </w:p>
    <w:p>
      <w:pPr>
        <w:spacing w:after="160" w:line="300"/>
      </w:pPr>
      <w:r>
        <w:rPr>
          <w:b/>
          <w:bCs/>
        </w:rPr>
        <w:t xml:space="preserve">Está terminado cuando </w:t>
      </w:r>
      <w:r>
        <w:t xml:space="preserve">con fecha calendario reproduce los totales de ner_sentimiento_diario.csv de Gino, y la cobertura confirma (o corrige) las 17 empresas con sentimiento propio.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A4C93"/>
          <w:sz w:val="25"/>
          <w:szCs w:val="25"/>
        </w:rPr>
        <w:t xml:space="preserve">U4 · Datasets unificados</w:t>
      </w:r>
      <w:r>
        <w:rPr>
          <w:color w:val="5C6B7A"/>
          <w:sz w:val="18"/>
          <w:szCs w:val="18"/>
        </w:rPr>
        <w:t xml:space="preserve">   (Unión · depende de: U2 y U3)</w:t>
      </w:r>
    </w:p>
    <w:p>
      <w:pPr>
        <w:spacing w:after="160" w:line="300"/>
      </w:pPr>
      <w:r>
        <w:rPr>
          <w:b/>
          <w:bCs/>
        </w:rPr>
        <w:t xml:space="preserve">Qué se hace. </w:t>
      </w:r>
      <w:r>
        <w:t xml:space="preserve">Dos tablas. Mercado: una fila por rueda (244) con retorno del Merval, VIX, régimen suavizado y filtrado, volumen total, sentimiento (simple y por portal), cantidad de notas y shocks. Panel: una fila por acción y rueda (47 × 244) con retorno, volumen anormal, sentimiento propio y hubo_noticia, sentimiento de mercado, sector, grupo de liquidez y régimen. Las dos con marcas de días especiales: elecciones (08/09/2025 y 27/10/2025), eco de 20 ruedas de esos saltos y abril de 2026 (hueco de iProfesional).</w:t>
      </w:r>
    </w:p>
    <w:p>
      <w:pPr>
        <w:spacing w:after="160" w:line="300"/>
      </w:pPr>
      <w:r>
        <w:rPr>
          <w:b/>
          <w:bCs/>
        </w:rPr>
        <w:t xml:space="preserve">Por qué. </w:t>
      </w:r>
      <w:r>
        <w:t xml:space="preserve">Son los únicos insumos de los modelos. Con todo en dos archivos, ningún script arma su propio cruce.</w:t>
      </w:r>
    </w:p>
    <w:p>
      <w:pPr>
        <w:spacing w:after="160" w:line="300"/>
      </w:pPr>
      <w:r>
        <w:rPr>
          <w:b/>
          <w:bCs/>
        </w:rPr>
        <w:t xml:space="preserve">Entra. </w:t>
      </w:r>
      <w:r>
        <w:t xml:space="preserve">U2, U3 y las carpetas 01, 02, 03 y 06 del lado bursátil.</w:t>
      </w:r>
    </w:p>
    <w:p>
      <w:pPr>
        <w:spacing w:after="160" w:line="300"/>
      </w:pPr>
      <w:r>
        <w:rPr>
          <w:b/>
          <w:bCs/>
        </w:rPr>
        <w:t xml:space="preserve">Sale.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04_dataset_unificado/dataset_mercado.csv</w:t>
      </w:r>
      <w:r>
        <w:t xml:space="preserve">,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dataset_panel.csv</w:t>
      </w:r>
      <w:r>
        <w:t xml:space="preserve"> y un diccionario de variables.</w:t>
      </w:r>
    </w:p>
    <w:p>
      <w:pPr>
        <w:spacing w:after="160" w:line="300"/>
      </w:pPr>
      <w:r>
        <w:rPr>
          <w:b/>
          <w:bCs/>
        </w:rPr>
        <w:t xml:space="preserve">Está terminado cuando </w:t>
      </w:r>
      <w:r>
        <w:t xml:space="preserve">no se pierde ninguna rueda ni ninguna acción, y cada columna está en el diccionario con su origen.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A4C93"/>
          <w:sz w:val="25"/>
          <w:szCs w:val="25"/>
        </w:rPr>
        <w:t xml:space="preserve">U5 · Estacionariedad en la ventana común</w:t>
      </w:r>
      <w:r>
        <w:rPr>
          <w:color w:val="5C6B7A"/>
          <w:sz w:val="18"/>
          <w:szCs w:val="18"/>
        </w:rPr>
        <w:t xml:space="preserve">   (Unión · depende de: U4)</w:t>
      </w:r>
    </w:p>
    <w:p>
      <w:pPr>
        <w:spacing w:after="160" w:line="300"/>
      </w:pPr>
      <w:r>
        <w:rPr>
          <w:b/>
          <w:bCs/>
        </w:rPr>
        <w:t xml:space="preserve">Qué se hace. </w:t>
      </w:r>
      <w:r>
        <w:t xml:space="preserve">ADF sobre cada serie que entra a los modelos (retornos, volumen anormal, sentimiento, cantidad de notas), en las 244 ruedas, con constante.</w:t>
      </w:r>
    </w:p>
    <w:p>
      <w:pPr>
        <w:spacing w:after="160" w:line="300"/>
      </w:pPr>
      <w:r>
        <w:rPr>
          <w:b/>
          <w:bCs/>
        </w:rPr>
        <w:t xml:space="preserve">Por qué. </w:t>
      </w:r>
      <w:r>
        <w:t xml:space="preserve">El VAR exige series estables en el tramo exacto que usa. El ADF de la carpeta 04 justificó usar retornos con 3 años de datos; este confirma el tramo de la unión.</w:t>
      </w:r>
    </w:p>
    <w:p>
      <w:pPr>
        <w:spacing w:after="160" w:line="300"/>
      </w:pPr>
      <w:r>
        <w:rPr>
          <w:b/>
          <w:bCs/>
        </w:rPr>
        <w:t xml:space="preserve">Entra.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dataset_mercado.csv</w:t>
      </w:r>
      <w:r>
        <w:t xml:space="preserve"> y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dataset_panel.csv</w:t>
      </w:r>
      <w:r>
        <w:t xml:space="preserve">.</w:t>
      </w:r>
    </w:p>
    <w:p>
      <w:pPr>
        <w:spacing w:after="160" w:line="300"/>
      </w:pPr>
      <w:r>
        <w:rPr>
          <w:b/>
          <w:bCs/>
        </w:rPr>
        <w:t xml:space="preserve">Sale.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05_adf_union/resultados_adf_union.csv</w:t>
      </w:r>
      <w:r>
        <w:t xml:space="preserve">.</w:t>
      </w:r>
    </w:p>
    <w:p>
      <w:pPr>
        <w:spacing w:after="160" w:line="300"/>
      </w:pPr>
      <w:r>
        <w:rPr>
          <w:b/>
          <w:bCs/>
        </w:rPr>
        <w:t xml:space="preserve">Está terminado cuando </w:t>
      </w:r>
      <w:r>
        <w:t xml:space="preserve">cada serie tiene su resultado y las que no son estables tienen su transformación decidida.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A4C93"/>
          <w:sz w:val="25"/>
          <w:szCs w:val="25"/>
        </w:rPr>
        <w:t xml:space="preserve">U6 · VAR, Granger e impulso-respuesta</w:t>
      </w:r>
      <w:r>
        <w:rPr>
          <w:color w:val="5C6B7A"/>
          <w:sz w:val="18"/>
          <w:szCs w:val="18"/>
        </w:rPr>
        <w:t xml:space="preserve">   (Unión · depende de: U5)</w:t>
      </w:r>
    </w:p>
    <w:p>
      <w:pPr>
        <w:spacing w:after="160" w:line="300"/>
      </w:pPr>
      <w:r>
        <w:rPr>
          <w:b/>
          <w:bCs/>
        </w:rPr>
        <w:t xml:space="preserve">Qué se hace. </w:t>
      </w:r>
      <w:r>
        <w:t xml:space="preserve">Siempre en las dos direcciones (noticias → mercado y mercado → noticias) y para retorno y volumen: mercado; cada una de las 47 acciones con el sentimiento general y las 17 con su sentimiento propio; por régimen (Calmo vs. Tenso); y por sector. Rezagos elegidos por AIC/BIC y corrección por pruebas múltiples (Benjamini-Hochberg).</w:t>
      </w:r>
    </w:p>
    <w:p>
      <w:pPr>
        <w:spacing w:after="160" w:line="300"/>
      </w:pPr>
      <w:r>
        <w:rPr>
          <w:b/>
          <w:bCs/>
        </w:rPr>
        <w:t xml:space="preserve">Por qué. </w:t>
      </w:r>
      <w:r>
        <w:t xml:space="preserve">Es el núcleo de la tesis (objetivo 6). Con decenas de tests, sin corrección aparecen resultados "significativos" por azar.</w:t>
      </w:r>
    </w:p>
    <w:p>
      <w:pPr>
        <w:spacing w:after="160" w:line="300"/>
      </w:pPr>
      <w:r>
        <w:rPr>
          <w:b/>
          <w:bCs/>
        </w:rPr>
        <w:t xml:space="preserve">Entra.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dataset_mercado.csv</w:t>
      </w:r>
      <w:r>
        <w:t xml:space="preserve">,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dataset_panel.csv</w:t>
      </w:r>
      <w:r>
        <w:t xml:space="preserve"> y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resultados_adf_union.csv</w:t>
      </w:r>
      <w:r>
        <w:t xml:space="preserve">.</w:t>
      </w:r>
    </w:p>
    <w:p>
      <w:pPr>
        <w:spacing w:after="160" w:line="300"/>
      </w:pPr>
      <w:r>
        <w:rPr>
          <w:b/>
          <w:bCs/>
        </w:rPr>
        <w:t xml:space="preserve">Sale.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06_var_granger/</w:t>
      </w:r>
      <w:r>
        <w:t xml:space="preserve">: p-valores sin corregir y corregidos, rezagos e IRF.</w:t>
      </w:r>
    </w:p>
    <w:p>
      <w:pPr>
        <w:spacing w:after="160" w:line="300"/>
      </w:pPr>
      <w:r>
        <w:rPr>
          <w:b/>
          <w:bCs/>
        </w:rPr>
        <w:t xml:space="preserve">Está terminado cuando </w:t>
      </w:r>
      <w:r>
        <w:t xml:space="preserve">cada test tiene su p-valor corregido y cada resultado se puede rastrear a su modelo.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A4C93"/>
          <w:sz w:val="25"/>
          <w:szCs w:val="25"/>
        </w:rPr>
        <w:t xml:space="preserve">U7 · Event study</w:t>
      </w:r>
      <w:r>
        <w:rPr>
          <w:color w:val="5C6B7A"/>
          <w:sz w:val="18"/>
          <w:szCs w:val="18"/>
        </w:rPr>
        <w:t xml:space="preserve">   (Unión · depende de: U4 (y la regla de shocks de U2))</w:t>
      </w:r>
    </w:p>
    <w:p>
      <w:pPr>
        <w:spacing w:after="160" w:line="300"/>
      </w:pPr>
      <w:r>
        <w:rPr>
          <w:b/>
          <w:bCs/>
        </w:rPr>
        <w:t xml:space="preserve">Qué se hace. </w:t>
      </w:r>
      <w:r>
        <w:t xml:space="preserve">Con los shocks de U2, uniendo los que estén pegados, estimar para cada acción el modelo de mercado en [−25, −4] y medir el retorno y el volumen anormal acumulados en [−3, +5]. Test t y test de signo, separando shocks positivos y negativos y dejando aparte los días electorales.</w:t>
      </w:r>
    </w:p>
    <w:p>
      <w:pPr>
        <w:spacing w:after="160" w:line="300"/>
      </w:pPr>
      <w:r>
        <w:rPr>
          <w:b/>
          <w:bCs/>
        </w:rPr>
        <w:t xml:space="preserve">Por qué. </w:t>
      </w:r>
      <w:r>
        <w:t xml:space="preserve">Mide qué pasa con precio y volumen alrededor de los días de noticias extremas. Con pocos eventos, el test de signo es más confiable que el t.</w:t>
      </w:r>
    </w:p>
    <w:p>
      <w:pPr>
        <w:spacing w:after="160" w:line="300"/>
      </w:pPr>
      <w:r>
        <w:rPr>
          <w:b/>
          <w:bCs/>
        </w:rPr>
        <w:t xml:space="preserve">Entra.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dataset_panel.csv</w:t>
      </w:r>
      <w:r>
        <w:t xml:space="preserve"> y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shocks_rueda.csv</w:t>
      </w:r>
      <w:r>
        <w:t xml:space="preserve">.</w:t>
      </w:r>
    </w:p>
    <w:p>
      <w:pPr>
        <w:spacing w:after="160" w:line="300"/>
      </w:pPr>
      <w:r>
        <w:rPr>
          <w:b/>
          <w:bCs/>
        </w:rPr>
        <w:t xml:space="preserve">Sale.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07_event_study/</w:t>
      </w:r>
      <w:r>
        <w:t xml:space="preserve">: CAR por evento, por tipo de shock y por acción.</w:t>
      </w:r>
    </w:p>
    <w:p>
      <w:pPr>
        <w:spacing w:after="160" w:line="300"/>
      </w:pPr>
      <w:r>
        <w:rPr>
          <w:b/>
          <w:bCs/>
        </w:rPr>
        <w:t xml:space="preserve">Está terminado cuando </w:t>
      </w:r>
      <w:r>
        <w:t xml:space="preserve">cada evento tiene su ventana completa o un motivo de exclusión documentado.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A4C93"/>
          <w:sz w:val="25"/>
          <w:szCs w:val="25"/>
        </w:rPr>
        <w:t xml:space="preserve">U8 · Robustez</w:t>
      </w:r>
      <w:r>
        <w:rPr>
          <w:color w:val="5C6B7A"/>
          <w:sz w:val="18"/>
          <w:szCs w:val="18"/>
        </w:rPr>
        <w:t xml:space="preserve">   (Unión · depende de: U6 y U7)</w:t>
      </w:r>
    </w:p>
    <w:p>
      <w:pPr>
        <w:spacing w:after="160" w:line="300"/>
      </w:pPr>
      <w:r>
        <w:rPr>
          <w:b/>
          <w:bCs/>
        </w:rPr>
        <w:t xml:space="preserve">Qué se hace. </w:t>
      </w:r>
      <w:r>
        <w:t xml:space="preserve">Repetir los resultados principales cambiando una cosa por vez: sentimiento ajustado por portal, régimen filtrado, Calmo vs. No calmo, sin las 4 acciones menos líquidas (GCDI, RIGO, GRIM y GARO), sin notas con hora sospechosa, sin abril de 2026 y con fecha calendario en lugar de la regla de las 17:00.</w:t>
      </w:r>
    </w:p>
    <w:p>
      <w:pPr>
        <w:spacing w:after="160" w:line="300"/>
      </w:pPr>
      <w:r>
        <w:rPr>
          <w:b/>
          <w:bCs/>
        </w:rPr>
        <w:t xml:space="preserve">Por qué. </w:t>
      </w:r>
      <w:r>
        <w:t xml:space="preserve">Un resultado que aparece con una sola opción es frágil; uno que aparece con todas se puede defender.</w:t>
      </w:r>
    </w:p>
    <w:p>
      <w:pPr>
        <w:spacing w:after="160" w:line="300"/>
      </w:pPr>
      <w:r>
        <w:rPr>
          <w:b/>
          <w:bCs/>
        </w:rPr>
        <w:t xml:space="preserve">Entra. </w:t>
      </w:r>
      <w:r>
        <w:t xml:space="preserve">U6, U7 y los datasets de U4.</w:t>
      </w:r>
    </w:p>
    <w:p>
      <w:pPr>
        <w:spacing w:after="160" w:line="300"/>
      </w:pPr>
      <w:r>
        <w:rPr>
          <w:b/>
          <w:bCs/>
        </w:rPr>
        <w:t xml:space="preserve">Sale.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08_robustez/</w:t>
      </w:r>
      <w:r>
        <w:t xml:space="preserve">: una tabla que compara cada variante con el resultado base.</w:t>
      </w:r>
    </w:p>
    <w:p>
      <w:pPr>
        <w:spacing w:after="160" w:line="300"/>
      </w:pPr>
      <w:r>
        <w:rPr>
          <w:b/>
          <w:bCs/>
        </w:rPr>
        <w:t xml:space="preserve">Está terminado cuando </w:t>
      </w:r>
      <w:r>
        <w:t xml:space="preserve">cada resultado principal tiene su fila de robustez.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A4C93"/>
          <w:sz w:val="25"/>
          <w:szCs w:val="25"/>
        </w:rPr>
        <w:t xml:space="preserve">U9 · Entrega final</w:t>
      </w:r>
      <w:r>
        <w:rPr>
          <w:color w:val="5C6B7A"/>
          <w:sz w:val="18"/>
          <w:szCs w:val="18"/>
        </w:rPr>
        <w:t xml:space="preserve">   (Nicolás + Gino · depende de: todo lo anterior)</w:t>
      </w:r>
    </w:p>
    <w:p>
      <w:pPr>
        <w:spacing w:after="160" w:line="300"/>
      </w:pPr>
      <w:r>
        <w:rPr>
          <w:b/>
          <w:bCs/>
        </w:rPr>
        <w:t xml:space="preserve">Qué se hace. </w:t>
      </w:r>
      <w:r>
        <w:t xml:space="preserve">Un PDF por paso (mismo formato que los dos lados), el mapa completo de la tesis (lado bursátil, lado de noticias y unión), el diccionario de variables, el plan de trabajo actualizado (objetivos según lo hecho y el apellido corregido), la bibliografía unificada de los dos lados y la presentación con los resultados nuevos.</w:t>
      </w:r>
    </w:p>
    <w:p>
      <w:pPr>
        <w:spacing w:after="160" w:line="300"/>
      </w:pPr>
      <w:r>
        <w:rPr>
          <w:b/>
          <w:bCs/>
        </w:rPr>
        <w:t xml:space="preserve">Por qué. </w:t>
      </w:r>
      <w:r>
        <w:t xml:space="preserve">Es lo que va a la tesina y lo que se defiende frente al jurado.</w:t>
      </w:r>
    </w:p>
    <w:p>
      <w:pPr>
        <w:spacing w:after="160" w:line="300"/>
      </w:pPr>
      <w:r>
        <w:rPr>
          <w:b/>
          <w:bCs/>
        </w:rPr>
        <w:t xml:space="preserve">Entra. </w:t>
      </w:r>
      <w:r>
        <w:t xml:space="preserve">todo lo anterior, los PDF de cada lado y los papers de noticias y bolsa del inventario (grupo K).</w:t>
      </w:r>
    </w:p>
    <w:p>
      <w:pPr>
        <w:spacing w:after="160" w:line="300"/>
      </w:pPr>
      <w:r>
        <w:rPr>
          <w:b/>
          <w:bCs/>
        </w:rPr>
        <w:t xml:space="preserve">Sale.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09_entrega_final/</w:t>
      </w:r>
      <w:r>
        <w:t xml:space="preserve">.</w:t>
      </w:r>
    </w:p>
    <w:p>
      <w:pPr>
        <w:spacing w:after="160" w:line="300"/>
      </w:pPr>
      <w:r>
        <w:rPr>
          <w:b/>
          <w:bCs/>
        </w:rPr>
        <w:t xml:space="preserve">Está terminado cuando </w:t>
      </w:r>
      <w:r>
        <w:t xml:space="preserve">cada archivo final lee sus números de los CSV, sin valores escritos a mano.</w:t>
      </w:r>
    </w:p>
    <w:p>
      <w:pPr>
        <w:pStyle w:val="Heading1"/>
        <w:keepNext/>
        <w:spacing w:after="160" w:before="360"/>
      </w:pPr>
      <w:r>
        <w:t xml:space="preserve">6. Cómo queda la carpeta Unión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pct" w:w="18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pct" w:w="32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00_pipeline_union</w:t>
            </w:r>
          </w:p>
        </w:tc>
        <w:tc>
          <w:tcPr>
            <w:tcW w:type="pct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Este documento, el diagnóstico, el inventario de archivos y los mensajes para Gino</w:t>
            </w:r>
          </w:p>
        </w:tc>
      </w:tr>
      <w:tr>
        <w:trPr>
          <w:cantSplit/>
        </w:trPr>
        <w:tc>
          <w:tcPr>
            <w:tcW w:type="pct" w:w="18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01_alineacion_noticias_ruedas</w:t>
            </w:r>
          </w:p>
        </w:tc>
        <w:tc>
          <w:tcPr>
            <w:tcW w:type="pct" w:w="3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U1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02_sentimiento_por_rueda</w:t>
            </w:r>
          </w:p>
        </w:tc>
        <w:tc>
          <w:tcPr>
            <w:tcW w:type="pct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U2</w:t>
            </w:r>
          </w:p>
        </w:tc>
      </w:tr>
      <w:tr>
        <w:trPr>
          <w:cantSplit/>
        </w:trPr>
        <w:tc>
          <w:tcPr>
            <w:tcW w:type="pct" w:w="18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03_sentimiento_por_empresa</w:t>
            </w:r>
          </w:p>
        </w:tc>
        <w:tc>
          <w:tcPr>
            <w:tcW w:type="pct" w:w="3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U3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04_dataset_unificado</w:t>
            </w:r>
          </w:p>
        </w:tc>
        <w:tc>
          <w:tcPr>
            <w:tcW w:type="pct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U4 y el diccionario de variables</w:t>
            </w:r>
          </w:p>
        </w:tc>
      </w:tr>
      <w:tr>
        <w:trPr>
          <w:cantSplit/>
        </w:trPr>
        <w:tc>
          <w:tcPr>
            <w:tcW w:type="pct" w:w="18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05_adf_union</w:t>
            </w:r>
          </w:p>
        </w:tc>
        <w:tc>
          <w:tcPr>
            <w:tcW w:type="pct" w:w="3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U5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06_var_granger</w:t>
            </w:r>
          </w:p>
        </w:tc>
        <w:tc>
          <w:tcPr>
            <w:tcW w:type="pct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U6</w:t>
            </w:r>
          </w:p>
        </w:tc>
      </w:tr>
      <w:tr>
        <w:trPr>
          <w:cantSplit/>
        </w:trPr>
        <w:tc>
          <w:tcPr>
            <w:tcW w:type="pct" w:w="18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06b_noticias_preapertura</w:t>
            </w:r>
          </w:p>
        </w:tc>
        <w:tc>
          <w:tcPr>
            <w:tcW w:type="pct" w:w="3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U6b: notas publicadas con el mercado cerrado → apertura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07_event_study</w:t>
            </w:r>
          </w:p>
        </w:tc>
        <w:tc>
          <w:tcPr>
            <w:tcW w:type="pct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U7</w:t>
            </w:r>
          </w:p>
        </w:tc>
      </w:tr>
      <w:tr>
        <w:trPr>
          <w:cantSplit/>
        </w:trPr>
        <w:tc>
          <w:tcPr>
            <w:tcW w:type="pct" w:w="18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07b_shock_volumen_noticias</w:t>
            </w:r>
          </w:p>
        </w:tc>
        <w:tc>
          <w:tcPr>
            <w:tcW w:type="pct" w:w="3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U7b: event study del shock de cantidad de noticias (definición del plan)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08_robustez</w:t>
            </w:r>
          </w:p>
        </w:tc>
        <w:tc>
          <w:tcPr>
            <w:tcW w:type="pct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U8</w:t>
            </w:r>
          </w:p>
        </w:tc>
      </w:tr>
      <w:tr>
        <w:trPr>
          <w:cantSplit/>
        </w:trPr>
        <w:tc>
          <w:tcPr>
            <w:tcW w:type="pct" w:w="18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09_entrega_final</w:t>
            </w:r>
          </w:p>
        </w:tc>
        <w:tc>
          <w:tcPr>
            <w:tcW w:type="pct" w:w="3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U9: mapa completo, plan actualizado, bibliografía, presentación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10_papers_union</w:t>
            </w:r>
          </w:p>
        </w:tc>
        <w:tc>
          <w:tcPr>
            <w:tcW w:type="pct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Papers relacionados con cada prueba de la unión</w:t>
            </w:r>
          </w:p>
        </w:tc>
      </w:tr>
      <w:tr>
        <w:trPr>
          <w:cantSplit/>
        </w:trPr>
        <w:tc>
          <w:tcPr>
            <w:tcW w:type="pct" w:w="18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11_papers_lado_noticias</w:t>
            </w:r>
          </w:p>
        </w:tc>
        <w:tc>
          <w:tcPr>
            <w:tcW w:type="pct" w:w="3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Papers relacionados con el lado de noticias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99_generadores_documentacion</w:t>
            </w:r>
          </w:p>
        </w:tc>
        <w:tc>
          <w:tcPr>
            <w:tcW w:type="pct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Los generadores de los PDF de la unión</w:t>
            </w:r>
          </w:p>
        </w:tc>
      </w:tr>
    </w:tbl>
    <w:p>
      <w:pPr>
        <w:spacing w:after="160" w:line="300"/>
      </w:pPr>
      <w:r>
        <w:rPr>
          <w:i/>
          <w:iCs/>
          <w:color w:val="5C6B7A"/>
          <w:sz w:val="18"/>
          <w:szCs w:val="18"/>
        </w:rPr>
        <w:t xml:space="preserve">Para la entrega conviene que la carpeta raíz tenga un solo nombre. El nombre queda pendiente de acordar con Gino.</w:t>
      </w:r>
    </w:p>
    <w:p>
      <w:pPr>
        <w:pStyle w:val="Heading1"/>
        <w:keepNext/>
        <w:spacing w:after="160" w:before="360"/>
      </w:pPr>
      <w:r>
        <w:t xml:space="preserve">7. Orden de trabajo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1735"/>
        <w:gridCol w:w="3855"/>
        <w:gridCol w:w="4048"/>
      </w:tblGrid>
      <w:tr>
        <w:trPr>
          <w:tblHeader/>
        </w:trPr>
        <w:tc>
          <w:tcPr>
            <w:tcW w:type="pct" w:w="9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pct" w:w="20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  <w:tc>
          <w:tcPr>
            <w:tcW w:type="pct" w:w="21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 puede empezar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U1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</w:tr>
      <w:tr>
        <w:trPr>
          <w:cantSplit/>
        </w:trPr>
        <w:tc>
          <w:tcPr>
            <w:tcW w:type="pct" w:w="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U2, U3</w:t>
            </w:r>
          </w:p>
        </w:tc>
        <w:tc>
          <w:tcPr>
            <w:tcW w:type="pct" w:w="2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U1</w:t>
            </w:r>
          </w:p>
        </w:tc>
        <w:tc>
          <w:tcPr>
            <w:tcW w:type="pct" w:w="2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Después de U1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U4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U2 y U3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Después de U2 y U3</w:t>
            </w:r>
          </w:p>
        </w:tc>
      </w:tr>
      <w:tr>
        <w:trPr>
          <w:cantSplit/>
        </w:trPr>
        <w:tc>
          <w:tcPr>
            <w:tcW w:type="pct" w:w="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U5 → U6</w:t>
            </w:r>
          </w:p>
        </w:tc>
        <w:tc>
          <w:tcPr>
            <w:tcW w:type="pct" w:w="2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U4</w:t>
            </w:r>
          </w:p>
        </w:tc>
        <w:tc>
          <w:tcPr>
            <w:tcW w:type="pct" w:w="2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Después de U4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U7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U4 y la regla de U2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Después de U4, en paralelo con U5 y U6</w:t>
            </w:r>
          </w:p>
        </w:tc>
      </w:tr>
      <w:tr>
        <w:trPr>
          <w:cantSplit/>
        </w:trPr>
        <w:tc>
          <w:tcPr>
            <w:tcW w:type="pct" w:w="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U8</w:t>
            </w:r>
          </w:p>
        </w:tc>
        <w:tc>
          <w:tcPr>
            <w:tcW w:type="pct" w:w="20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U6 y U7</w:t>
            </w:r>
          </w:p>
        </w:tc>
        <w:tc>
          <w:tcPr>
            <w:tcW w:type="pct" w:w="2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 final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U9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Todo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 final (el mapa y el plan se pueden ir armando antes)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8. Cuidados que vienen de cada lado</w:t>
      </w:r>
    </w:p>
    <w:p>
      <w:pPr>
        <w:spacing w:after="160" w:line="300"/>
        <w:ind w:left="360" w:hanging="240"/>
      </w:pPr>
      <w:r>
        <w:t xml:space="preserve">•  </w:t>
      </w:r>
      <w:r>
        <w:rPr>
          <w:b/>
          <w:bCs/>
        </w:rPr>
        <w:t xml:space="preserve">Liquidez. </w:t>
      </w:r>
      <w:r>
        <w:t xml:space="preserve">GCDI, RIGO, GRIM y GARO tienen muchos días sin operar: su precio se repite y pueden parecer lentas para reaccionar.</w:t>
      </w:r>
    </w:p>
    <w:p>
      <w:pPr>
        <w:spacing w:after="160" w:line="300"/>
        <w:ind w:left="360" w:hanging="240"/>
      </w:pPr>
      <w:r>
        <w:t xml:space="preserve">•  </w:t>
      </w:r>
      <w:r>
        <w:rPr>
          <w:b/>
          <w:bCs/>
        </w:rPr>
        <w:t xml:space="preserve">Eco de 20 días. </w:t>
      </w:r>
      <w:r>
        <w:t xml:space="preserve">El VIX y el régimen arrastran los saltos del 08/09/2025 y del 27/10/2025 durante 20 ruedas.</w:t>
      </w:r>
    </w:p>
    <w:p>
      <w:pPr>
        <w:spacing w:after="160" w:line="300"/>
        <w:ind w:left="360" w:hanging="240"/>
      </w:pPr>
      <w:r>
        <w:t xml:space="preserve">•  </w:t>
      </w:r>
      <w:r>
        <w:rPr>
          <w:b/>
          <w:bCs/>
        </w:rPr>
        <w:t xml:space="preserve">Elecciones. </w:t>
      </w:r>
      <w:r>
        <w:t xml:space="preserve">Los dos días electorales son a la vez shocks de noticias y los mayores saltos del mercado: se analizan aparte para no atribuírselos al sentimiento.</w:t>
      </w:r>
    </w:p>
    <w:p>
      <w:pPr>
        <w:spacing w:after="160" w:line="300"/>
        <w:ind w:left="360" w:hanging="240"/>
      </w:pPr>
      <w:r>
        <w:t xml:space="preserve">•  </w:t>
      </w:r>
      <w:r>
        <w:rPr>
          <w:b/>
          <w:bCs/>
        </w:rPr>
        <w:t xml:space="preserve">Pesos nominales. </w:t>
      </w:r>
      <w:r>
        <w:t xml:space="preserve">Los retornos incluyen inflación y tipo de cambio; la versión en dólares queda como trabajo futuro.</w:t>
      </w:r>
    </w:p>
    <w:p>
      <w:pPr>
        <w:spacing w:after="160" w:line="300"/>
        <w:ind w:left="360" w:hanging="240"/>
      </w:pPr>
      <w:r>
        <w:t xml:space="preserve">•  </w:t>
      </w:r>
      <w:r>
        <w:rPr>
          <w:b/>
          <w:bCs/>
        </w:rPr>
        <w:t xml:space="preserve">Etiquetas de Gemma. </w:t>
      </w:r>
      <w:r>
        <w:t xml:space="preserve">El sentimiento se apoya en etiquetas de un modelo, sin validación humana: es una limitación que la unión hereda y que la tesis declara.</w:t>
      </w:r>
    </w:p>
    <w:p>
      <w:pPr>
        <w:spacing w:after="160" w:line="300"/>
        <w:ind w:left="360" w:hanging="240"/>
      </w:pPr>
      <w:r>
        <w:t xml:space="preserve">•  </w:t>
      </w:r>
      <w:r>
        <w:rPr>
          <w:b/>
          <w:bCs/>
        </w:rPr>
        <w:t xml:space="preserve">Tono del contexto. </w:t>
      </w:r>
      <w:r>
        <w:t xml:space="preserve">El sentimiento por empresa es el de las oraciones que la mencionan, no una opinión sobre la empresa.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7A"/>
        <w:sz w:val="16"/>
        <w:szCs w:val="16"/>
      </w:rPr>
      <w:t xml:space="preserve">Nicolás Diddi · Gino Frigoni · Página </w:t>
    </w:r>
    <w:r>
      <w:rPr>
        <w:color w:val="5C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6B7A"/>
        <w:sz w:val="16"/>
        <w:szCs w:val="16"/>
      </w:rPr>
      <w:t xml:space="preserve"> de </w:t>
    </w:r>
    <w:r>
      <w:rPr>
        <w:color w:val="5C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B7A"/>
        <w:sz w:val="16"/>
        <w:szCs w:val="16"/>
      </w:rPr>
      <w:t xml:space="preserve">Pipeline de la unión — tesis version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0798C" w:sz="6" w:space="4"/>
      </w:pBdr>
      <w:spacing w:after="160" w:before="360"/>
    </w:pPr>
    <w:rPr>
      <w:rFonts w:ascii="Cambria" w:cs="Cambria" w:eastAsia="Cambria" w:hAnsi="Cambria"/>
      <w:b/>
      <w:bCs/>
      <w:color w:val="12263A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e58742c6b04eccbe8a3247b127f0a2cf66ba2a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2026-10-24T19:50:09.102Z</dcterms:created>
  <dcterms:modified xsi:type="dcterms:W3CDTF">2026-10-24T19:50:09.103Z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