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mbria" w:cs="Cambria" w:eastAsia="Cambria" w:hAnsi="Cambria"/>
          <w:b/>
          <w:bCs/>
          <w:color w:val="12263A"/>
          <w:sz w:val="44"/>
          <w:szCs w:val="44"/>
        </w:rPr>
        <w:t xml:space="preserve">U1 · Cada noticia a su rueda</w:t>
      </w:r>
    </w:p>
    <w:p>
      <w:pPr>
        <w:spacing w:after="200"/>
      </w:pPr>
      <w:r>
        <w:rPr>
          <w:rFonts w:ascii="Cambria" w:cs="Cambria" w:eastAsia="Cambria" w:hAnsi="Cambria"/>
          <w:i/>
          <w:iCs/>
          <w:color w:val="1C3A5C"/>
          <w:sz w:val="24"/>
          <w:szCs w:val="24"/>
        </w:rPr>
        <w:t xml:space="preserve">En qué día de bolsa pudo reaccionar el mercado a cada noticia</w:t>
      </w:r>
    </w:p>
    <w:p>
      <w:pPr>
        <w:pBdr>
          <w:bottom w:val="single" w:color="D9E0E7" w:sz="4" w:space="8"/>
        </w:pBdr>
        <w:spacing w:after="200"/>
      </w:pPr>
      <w:r>
        <w:rPr>
          <w:color w:val="5C6B7A"/>
          <w:sz w:val="19"/>
          <w:szCs w:val="19"/>
        </w:rPr>
        <w:t xml:space="preserve">Tesina — Impacto de shocks informativos en acciones argentinas (BYMA / S&amp;P Merval). Documento de la unión: lee el lado bursátil y el lado de noticias sin modificarlos.</w:t>
      </w:r>
    </w:p>
    <w:p>
      <w:pPr>
        <w:spacing w:after="160" w:line="300"/>
      </w:pPr>
      <w:r>
        <w:rPr>
          <w:b/>
          <w:bCs/>
        </w:rPr>
        <w:t xml:space="preserve">Ubicación.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D:\2.Tesina\tesis version 3.0\Unión\01_alineacion_noticias_ruedas\</w:t>
      </w:r>
      <w:r>
        <w:t xml:space="preserve">. Script: 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alinear_noticias_ruedas.py</w:t>
      </w:r>
      <w:r>
        <w:t xml:space="preserve">.</w:t>
      </w:r>
    </w:p>
    <w:tbl>
      <w:tblPr>
        <w:tblW w:type="pct" w:w="5000"/>
        <w:tblBorders>
          <w:top w:val="single" w:color="D9E0E7" w:sz="4"/>
          <w:left w:val="single" w:color="40798C" w:sz="24"/>
          <w:bottom w:val="single" w:color="D9E0E7" w:sz="4"/>
          <w:right w:val="single" w:color="D9E0E7" w:sz="4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shd w:fill="F5F8FA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/>
            </w:pPr>
            <w:r>
              <w:rPr>
                <w:b/>
                <w:bCs/>
                <w:color w:val="1C3A5C"/>
              </w:rPr>
              <w:t xml:space="preserve">En una frase</w:t>
            </w:r>
          </w:p>
          <w:p>
            <w:pPr>
              <w:spacing w:after="60" w:line="276"/>
            </w:pPr>
            <w:r>
              <w:t xml:space="preserve">Cada una de las 14.012 notas quedó asignada a la rueda en la que el mercado pudo reaccionar a ella. El 40,2% cambia de día respecto de su fecha de publicación, todas las ruedas reciben noticias y los 10 controles automáticos pasan.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1. Qué problema resuelve</w:t>
      </w:r>
    </w:p>
    <w:p>
      <w:pPr>
        <w:spacing w:after="160" w:line="300"/>
      </w:pPr>
      <w:r>
        <w:t xml:space="preserve">Las noticias salen todos los días y a cualquier hora; el precio de una acción se forma solo en las ruedas, de lunes a viernes de 11 a 17 horas. Para medir si una noticia mueve el precio, hay que compararla con el primer precio que pudo verse afectado por ella.</w:t>
      </w:r>
    </w:p>
    <w:p>
      <w:pPr>
        <w:spacing w:after="160" w:line="300"/>
      </w:pPr>
      <w:r>
        <w:rPr>
          <w:b/>
          <w:bCs/>
        </w:rPr>
        <w:t xml:space="preserve">Ejemplo. </w:t>
      </w:r>
      <w:r>
        <w:t xml:space="preserve">Una nota del martes a las 20:00 sale con el mercado cerrado: el precio del martes ya estaba formado. La primera vez que alguien puede comprar o vender con esa información es el miércoles. Una nota del sábado, lo mismo: cuenta para el lunes. Si se uniera "fecha con fecha", la nota de la noche se compararía con un precio anterior a ella, y la del sábado se perdería.</w:t>
      </w:r>
    </w:p>
    <w:p>
      <w:pPr>
        <w:pStyle w:val="Heading1"/>
        <w:keepNext/>
        <w:spacing w:after="160" w:before="360"/>
      </w:pPr>
      <w:r>
        <w:t xml:space="preserve">2. La regla</w:t>
      </w:r>
    </w:p>
    <w:p>
      <w:pPr>
        <w:spacing w:after="160" w:line="300"/>
        <w:ind w:left="360" w:hanging="240"/>
      </w:pPr>
      <w:r>
        <w:t xml:space="preserve">•  </w:t>
      </w:r>
      <w:r>
        <w:rPr>
          <w:b/>
          <w:bCs/>
        </w:rPr>
        <w:t xml:space="preserve">Hora argentina. </w:t>
      </w:r>
      <w:r>
        <w:t xml:space="preserve">Clarín, Infobae y La Nación informan la hora en UTC (tres horas más). Se pasa todo a hora argentina; 95 notas publicadas de noche cambian de fecha con esta conversión.</w:t>
      </w:r>
    </w:p>
    <w:p>
      <w:pPr>
        <w:spacing w:after="160" w:line="300"/>
        <w:ind w:left="360" w:hanging="240"/>
      </w:pPr>
      <w:r>
        <w:t xml:space="preserve">•  </w:t>
      </w:r>
      <w:r>
        <w:rPr>
          <w:b/>
          <w:bCs/>
        </w:rPr>
        <w:t xml:space="preserve">Antes de las 17:00 de un día con rueda: </w:t>
      </w:r>
      <w:r>
        <w:t xml:space="preserve">cuenta para esa rueda.</w:t>
      </w:r>
    </w:p>
    <w:p>
      <w:pPr>
        <w:spacing w:after="160" w:line="300"/>
        <w:ind w:left="360" w:hanging="240"/>
      </w:pPr>
      <w:r>
        <w:t xml:space="preserve">•  </w:t>
      </w:r>
      <w:r>
        <w:rPr>
          <w:b/>
          <w:bCs/>
        </w:rPr>
        <w:t xml:space="preserve">A las 17:00 o después: </w:t>
      </w:r>
      <w:r>
        <w:t xml:space="preserve">cuenta para la rueda siguiente. Las 17:00 en punto ya cuentan como después del cierre.</w:t>
      </w:r>
    </w:p>
    <w:p>
      <w:pPr>
        <w:spacing w:after="160" w:line="300"/>
        <w:ind w:left="360" w:hanging="240"/>
      </w:pPr>
      <w:r>
        <w:t xml:space="preserve">•  </w:t>
      </w:r>
      <w:r>
        <w:rPr>
          <w:b/>
          <w:bCs/>
        </w:rPr>
        <w:t xml:space="preserve">En un día sin rueda (fin de semana o feriado): </w:t>
      </w:r>
      <w:r>
        <w:t xml:space="preserve">cuenta para la primera rueda posterior.</w:t>
      </w:r>
    </w:p>
    <w:p>
      <w:pPr>
        <w:spacing w:after="160" w:line="300"/>
      </w:pPr>
      <w:r>
        <w:t xml:space="preserve">El calendario de ruedas es el del lado bursátil (</w:t>
      </w:r>
      <w:r>
        <w:rPr>
          <w:rFonts w:ascii="Consolas" w:cs="Consolas" w:eastAsia="Consolas" w:hAnsi="Consolas"/>
          <w:color w:val="1C3A5C"/>
          <w:sz w:val="19"/>
          <w:szCs w:val="19"/>
        </w:rPr>
        <w:t xml:space="preserve">03_vix_argentino/vix_arg.csv</w:t>
      </w:r>
      <w:r>
        <w:t xml:space="preserve">), el mismo que usan el VIX y el régimen. La ventana de la unión empieza en la rueda del </w:t>
      </w:r>
      <w:r>
        <w:t xml:space="preserve">05/05/2025</w:t>
      </w:r>
      <w:r>
        <w:t xml:space="preserve"> y termina en la del </w:t>
      </w:r>
      <w:r>
        <w:t xml:space="preserve">30/04/2026</w:t>
      </w:r>
      <w:r>
        <w:t xml:space="preserve">.</w:t>
      </w:r>
    </w:p>
    <w:p>
      <w:pPr>
        <w:pStyle w:val="Heading1"/>
        <w:keepNext/>
        <w:spacing w:after="160" w:before="360"/>
      </w:pPr>
      <w:r>
        <w:t xml:space="preserve">3. Resultado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6168"/>
        <w:gridCol w:w="1735"/>
        <w:gridCol w:w="1735"/>
      </w:tblGrid>
      <w:tr>
        <w:trPr>
          <w:tblHeader/>
        </w:trPr>
        <w:tc>
          <w:tcPr>
            <w:tcW w:type="pct" w:w="32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Dónde quedó cada nota</w:t>
            </w:r>
          </w:p>
        </w:tc>
        <w:tc>
          <w:tcPr>
            <w:tcW w:type="pct" w:w="9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Notas</w:t>
            </w:r>
          </w:p>
        </w:tc>
        <w:tc>
          <w:tcPr>
            <w:tcW w:type="pct" w:w="9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</w:t>
            </w:r>
          </w:p>
        </w:tc>
      </w:tr>
      <w:tr>
        <w:trPr>
          <w:cantSplit/>
        </w:trPr>
        <w:tc>
          <w:tcPr>
            <w:tcW w:type="pct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 su mismo día (antes de las 17:00 de un día con rueda)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8.332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59,8</w:t>
            </w:r>
          </w:p>
        </w:tc>
      </w:tr>
      <w:tr>
        <w:trPr>
          <w:cantSplit/>
        </w:trPr>
        <w:tc>
          <w:tcPr>
            <w:tcW w:type="pct" w:w="3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 la rueda siguiente, por salir después del cierre</w:t>
            </w:r>
          </w:p>
        </w:tc>
        <w:tc>
          <w:tcPr>
            <w:tcW w:type="pct" w:w="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3.451</w:t>
            </w:r>
          </w:p>
        </w:tc>
        <w:tc>
          <w:tcPr>
            <w:tcW w:type="pct" w:w="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24,8</w:t>
            </w:r>
          </w:p>
        </w:tc>
      </w:tr>
      <w:tr>
        <w:trPr>
          <w:cantSplit/>
        </w:trPr>
        <w:tc>
          <w:tcPr>
            <w:tcW w:type="pct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En la rueda siguiente, por salir en un día sin rueda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2.142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15,4</w:t>
            </w:r>
          </w:p>
        </w:tc>
      </w:tr>
      <w:tr>
        <w:trPr>
          <w:cantSplit/>
        </w:trPr>
        <w:tc>
          <w:tcPr>
            <w:tcW w:type="pct" w:w="3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Total dentro de la ventana de la unión</w:t>
            </w:r>
          </w:p>
        </w:tc>
        <w:tc>
          <w:tcPr>
            <w:tcW w:type="pct" w:w="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13.925</w:t>
            </w:r>
          </w:p>
        </w:tc>
        <w:tc>
          <w:tcPr>
            <w:tcW w:type="pct" w:w="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</w:rPr>
              <w:t xml:space="preserve">100</w:t>
            </w:r>
          </w:p>
        </w:tc>
      </w:tr>
      <w:tr>
        <w:trPr>
          <w:cantSplit/>
        </w:trPr>
        <w:tc>
          <w:tcPr>
            <w:tcW w:type="pct" w:w="32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Fuera: van a ruedas de enero a abril de 2025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pct" w:w="32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Fuera: publicadas después del cierre del 30/04/2026</w:t>
            </w:r>
          </w:p>
        </w:tc>
        <w:tc>
          <w:tcPr>
            <w:tcW w:type="pct" w:w="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77</w:t>
            </w:r>
          </w:p>
        </w:tc>
        <w:tc>
          <w:tcPr>
            <w:tcW w:type="pct" w:w="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 w:line="300"/>
      </w:pPr>
      <w:r>
        <w:t xml:space="preserve">Las 10 notas de enero a marzo de 2025 son las que motivaron empezar la unión en mayo: con tan pocas notas no hay serie. Las 77 del final son del 30/04/2026 a la noche y del 1 al 3 de mayo: su rueda caería después del calendario bursátil.</w:t>
      </w:r>
    </w:p>
    <w:p>
      <w:pPr>
        <w:spacing w:after="160"/>
        <w:jc w:val="center"/>
      </w:pPr>
      <w:r>
        <w:drawing>
          <wp:inline distT="0" distB="0" distL="0" distR="0">
            <wp:extent cx="561975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  <w:r>
        <w:rPr>
          <w:i/>
          <w:iCs/>
          <w:color w:val="5C6B7A"/>
          <w:sz w:val="18"/>
          <w:szCs w:val="18"/>
        </w:rPr>
        <w:t xml:space="preserve">Arriba: hora de publicación de las notas, con la rueda abierta sombreada y el cierre de las 17:00. Las barras rojas son horas repetidas que no pueden ser reales (sección 5). Abajo: notas que recibe cada rueda, separadas según de dónde vienen.</w:t>
      </w:r>
    </w:p>
    <w:p>
      <w:pPr>
        <w:pStyle w:val="Heading1"/>
        <w:keepNext/>
        <w:spacing w:after="160" w:before="360"/>
      </w:pPr>
      <w:r>
        <w:t xml:space="preserve">4. Cuántas notas recibe cada rueda</w:t>
      </w:r>
    </w:p>
    <w:p>
      <w:pPr>
        <w:spacing w:after="160" w:line="300"/>
      </w:pPr>
      <w:r>
        <w:t xml:space="preserve">Todas las 244 ruedas de la ventana reciben noticias: mínimo 12, mediana 55 y máximo 145. Esta cantidad es la variable de atención de los medios que pide el plan de tesis (decisión D2) y queda en notas_por_rueda.csv, separada por portal.</w:t>
      </w:r>
    </w:p>
    <w:p>
      <w:pPr>
        <w:spacing w:after="160" w:line="300"/>
        <w:ind w:left="360" w:hanging="240"/>
      </w:pPr>
      <w:r>
        <w:t xml:space="preserve">•  </w:t>
      </w:r>
      <w:r>
        <w:rPr>
          <w:b/>
          <w:bCs/>
        </w:rPr>
        <w:t xml:space="preserve">Los lunes reciben el fin de semana. </w:t>
      </w:r>
      <w:r>
        <w:t xml:space="preserve">Mediana de 85 notas los lunes contra 50 el resto de los días: las barras violetas del gráfico son las notas del sábado y del domingo.</w:t>
      </w:r>
    </w:p>
    <w:p>
      <w:pPr>
        <w:spacing w:after="160" w:line="300"/>
        <w:ind w:left="360" w:hanging="240"/>
      </w:pPr>
      <w:r>
        <w:t xml:space="preserve">•  </w:t>
      </w:r>
      <w:r>
        <w:rPr>
          <w:b/>
          <w:bCs/>
        </w:rPr>
        <w:t xml:space="preserve">La rueda con más notas </w:t>
      </w:r>
      <w:r>
        <w:t xml:space="preserve">es la del 18/08/2025 (145): el viernes 15/08/2025 fue feriado, así que esa rueda junta las notas de cuatro días.</w:t>
      </w:r>
    </w:p>
    <w:p>
      <w:pPr>
        <w:spacing w:after="160" w:line="300"/>
        <w:ind w:left="360" w:hanging="240"/>
      </w:pPr>
      <w:r>
        <w:t xml:space="preserve">•  </w:t>
      </w:r>
      <w:r>
        <w:rPr>
          <w:b/>
          <w:bCs/>
        </w:rPr>
        <w:t xml:space="preserve">La espera más larga </w:t>
      </w:r>
      <w:r>
        <w:t xml:space="preserve">es de 5 días: una nota del viernes 13/02/2026 a la noche cuenta para el miércoles 18/02/2026, porque el lunes 16 y el martes 17 fueron feriados de Carnaval.</w:t>
      </w:r>
    </w:p>
    <w:p>
      <w:pPr>
        <w:spacing w:after="160" w:line="300"/>
        <w:ind w:left="360" w:hanging="240"/>
      </w:pPr>
      <w:r>
        <w:t xml:space="preserve">•  </w:t>
      </w:r>
      <w:r>
        <w:rPr>
          <w:b/>
          <w:bCs/>
        </w:rPr>
        <w:t xml:space="preserve">Abril de 2026 </w:t>
      </w:r>
      <w:r>
        <w:t xml:space="preserve">recibe menos notas porque iProfesional, el portal más grande, casi no tiene notas ese mes (hueco de recolección documentado por Gino).</w:t>
      </w:r>
    </w:p>
    <w:p>
      <w:pPr>
        <w:spacing w:after="160" w:line="300"/>
      </w:pPr>
      <w:r>
        <w:t xml:space="preserve">Como una rueda que viene de un fin de semana o un feriado junta más notas, en los modelos la cantidad de notas se va a usar comparada con lo habitual para ese día de la semana, y no en bruto. Eso se define en U2.</w:t>
      </w:r>
    </w:p>
    <w:p>
      <w:pPr>
        <w:pStyle w:val="Heading1"/>
        <w:keepNext/>
        <w:spacing w:after="160" w:before="360"/>
      </w:pPr>
      <w:r>
        <w:t xml:space="preserve">5. Horas sospechosas</w:t>
      </w:r>
    </w:p>
    <w:p>
      <w:pPr>
        <w:spacing w:after="160" w:line="300"/>
      </w:pPr>
      <w:r>
        <w:t xml:space="preserve">El 13,4% de las notas (1.881) tiene una hora que se repite demasiado dentro de su portal: más del 3% de las notas del portal a un mismo minuto, cuando lo normal sería una fracción mínima. No es la hora real de cada nota, sino una hora por defecto del sitio. Son estas:</w:t>
      </w:r>
    </w:p>
    <w:p>
      <w:pPr>
        <w:spacing w:after="160" w:line="300"/>
      </w:pPr>
      <w:r>
        <w:rPr>
          <w:rFonts w:ascii="Consolas" w:cs="Consolas" w:eastAsia="Consolas" w:hAnsi="Consolas"/>
          <w:color w:val="1C3A5C"/>
          <w:sz w:val="19"/>
          <w:szCs w:val="19"/>
        </w:rPr>
        <w:t xml:space="preserve">ambito 00:00; ambito 07:00; clarin 04:00; clarin 06:01; clarin 07:00; clarin 07:05; clarin 07:08; clarin 09:00; iprofesional 07:00; lanacion 01:05; lanacion 02:00; tn 05:44; tn 05:48; tn 05:55</w:t>
      </w:r>
    </w:p>
    <w:p>
      <w:pPr>
        <w:spacing w:after="160" w:line="300"/>
      </w:pPr>
      <w:r>
        <w:t xml:space="preserve">La mayoría (Clarín a las 07:00 y 07:08, Ámbito a las 00:00, TN a las 05:55) cae de madrugada o temprano, así que la regla las manda a la rueda del mismo día. Si en realidad esas notas salieron la noche anterior, ya estarían en la rueda correcta; si salieron después de las 17:00, deberían ir a la siguiente. No hay forma de saberlo con los datos: se marcan con hora_sospechosa = sí, y en U8 se repiten los resultados sin ellas.</w:t>
      </w:r>
    </w:p>
    <w:p>
      <w:pPr>
        <w:pStyle w:val="Heading1"/>
        <w:keepNext/>
        <w:spacing w:after="160" w:before="360"/>
      </w:pPr>
      <w:r>
        <w:t xml:space="preserve">6. Controles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7903"/>
        <w:gridCol w:w="1735"/>
      </w:tblGrid>
      <w:tr>
        <w:trPr>
          <w:tblHeader/>
        </w:trPr>
        <w:tc>
          <w:tcPr>
            <w:tcW w:type="pct" w:w="41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Control</w:t>
            </w:r>
          </w:p>
        </w:tc>
        <w:tc>
          <w:tcPr>
            <w:tcW w:type="pct" w:w="9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pct" w:w="4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Cada nota tiene una rueda o un motivo para no tenerla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Pasa</w:t>
            </w:r>
          </w:p>
        </w:tc>
      </w:tr>
      <w:tr>
        <w:trPr>
          <w:cantSplit/>
        </w:trPr>
        <w:tc>
          <w:tcPr>
            <w:tcW w:type="pct" w:w="4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Ninguna nota va a una rueda anterior a su publicación</w:t>
            </w:r>
          </w:p>
        </w:tc>
        <w:tc>
          <w:tcPr>
            <w:tcW w:type="pct" w:w="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Pasa</w:t>
            </w:r>
          </w:p>
        </w:tc>
      </w:tr>
      <w:tr>
        <w:trPr>
          <w:cantSplit/>
        </w:trPr>
        <w:tc>
          <w:tcPr>
            <w:tcW w:type="pct" w:w="4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Ninguna nota publicada tras el cierre queda en la rueda del mismo día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Pasa</w:t>
            </w:r>
          </w:p>
        </w:tc>
      </w:tr>
      <w:tr>
        <w:trPr>
          <w:cantSplit/>
        </w:trPr>
        <w:tc>
          <w:tcPr>
            <w:tcW w:type="pct" w:w="4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Las URLs coinciden una a una con finetuned_articulos.csv</w:t>
            </w:r>
          </w:p>
        </w:tc>
        <w:tc>
          <w:tcPr>
            <w:tcW w:type="pct" w:w="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Pasa</w:t>
            </w:r>
          </w:p>
        </w:tc>
      </w:tr>
      <w:tr>
        <w:trPr>
          <w:cantSplit/>
        </w:trPr>
        <w:tc>
          <w:tcPr>
            <w:tcW w:type="pct" w:w="4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El portal coincide con finetuned_articulos.csv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Pasa</w:t>
            </w:r>
          </w:p>
        </w:tc>
      </w:tr>
      <w:tr>
        <w:trPr>
          <w:cantSplit/>
        </w:trPr>
        <w:tc>
          <w:tcPr>
            <w:tcW w:type="pct" w:w="4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 fecha sin convertir reproduce la fecha de Gino</w:t>
            </w:r>
          </w:p>
        </w:tc>
        <w:tc>
          <w:tcPr>
            <w:tcW w:type="pct" w:w="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Pasa</w:t>
            </w:r>
          </w:p>
        </w:tc>
      </w:tr>
      <w:tr>
        <w:trPr>
          <w:cantSplit/>
        </w:trPr>
        <w:tc>
          <w:tcPr>
            <w:tcW w:type="pct" w:w="4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Todas las ruedas de la ventana tienen noticias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Pasa</w:t>
            </w:r>
          </w:p>
        </w:tc>
      </w:tr>
      <w:tr>
        <w:trPr>
          <w:cantSplit/>
        </w:trPr>
        <w:tc>
          <w:tcPr>
            <w:tcW w:type="pct" w:w="4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Cantidad de ruedas igual al diagnóstico</w:t>
            </w:r>
          </w:p>
        </w:tc>
        <w:tc>
          <w:tcPr>
            <w:tcW w:type="pct" w:w="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Pasa</w:t>
            </w:r>
          </w:p>
        </w:tc>
      </w:tr>
      <w:tr>
        <w:trPr>
          <w:cantSplit/>
        </w:trPr>
        <w:tc>
          <w:tcPr>
            <w:tcW w:type="pct" w:w="41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Mínimo y mediana de notas por rueda iguales al diagnóstico</w:t>
            </w:r>
          </w:p>
        </w:tc>
        <w:tc>
          <w:tcPr>
            <w:tcW w:type="pct" w:w="9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Pasa</w:t>
            </w:r>
          </w:p>
        </w:tc>
      </w:tr>
      <w:tr>
        <w:trPr>
          <w:cantSplit/>
        </w:trPr>
        <w:tc>
          <w:tcPr>
            <w:tcW w:type="pct" w:w="41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Notas con hora sospechosa iguales al diagnóstico</w:t>
            </w:r>
          </w:p>
        </w:tc>
        <w:tc>
          <w:tcPr>
            <w:tcW w:type="pct" w:w="9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Pasa</w:t>
            </w:r>
          </w:p>
        </w:tc>
      </w:tr>
    </w:tbl>
    <w:p>
      <w:pPr>
        <w:spacing w:after="160" w:line="300"/>
      </w:pPr>
      <w:r>
        <w:t xml:space="preserve">Los dos controles contra los archivos de Gino importan especialmente: las notas son exactamente las mismas que tienen sentimiento, con el mismo portal, y tomando la fecha sin convertir se reproduce la fecha que usa su serie diaria. La única diferencia con su serie es la regla de la rueda.</w:t>
      </w:r>
    </w:p>
    <w:p>
      <w:pPr>
        <w:pStyle w:val="Heading1"/>
        <w:keepNext/>
        <w:spacing w:after="160" w:before="360"/>
      </w:pPr>
      <w:r>
        <w:t xml:space="preserve">7. Archivos que genera</w:t>
      </w:r>
    </w:p>
    <w:tbl>
      <w:tblPr>
        <w:tblW w:type="pct" w:w="5000"/>
        <w:tblBorders>
          <w:top w:val="single" w:color="D9E0E7" w:sz="4"/>
          <w:left w:val="single" w:color="D9E0E7" w:sz="4"/>
          <w:bottom w:val="single" w:color="D9E0E7" w:sz="4"/>
          <w:right w:val="single" w:color="D9E0E7" w:sz="4"/>
          <w:insideH w:val="single" w:color="D9E0E7" w:sz="4"/>
          <w:insideV w:val="single" w:color="D9E0E7" w:sz="4"/>
        </w:tblBorders>
      </w:tblPr>
      <w:tblGrid>
        <w:gridCol w:w="2891"/>
        <w:gridCol w:w="6747"/>
      </w:tblGrid>
      <w:tr>
        <w:trPr>
          <w:tblHeader/>
        </w:trPr>
        <w:tc>
          <w:tcPr>
            <w:tcW w:type="pct" w:w="15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pct" w:w="3500"/>
            <w:shd w:fill="1C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tiene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nota_a_rueda.csv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Una fila por nota: url, portal, fecha original, hora argentina, si salió después del cierre, si fue en día sin rueda, rueda asignada, días de espera, motivo, si está en la ventana y si la hora es sospechosa</w:t>
            </w:r>
          </w:p>
        </w:tc>
      </w:tr>
      <w:tr>
        <w:trPr>
          <w:cantSplit/>
        </w:trPr>
        <w:tc>
          <w:tcPr>
            <w:tcW w:type="pct" w:w="15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notas_por_rueda.csv</w:t>
            </w:r>
          </w:p>
        </w:tc>
        <w:tc>
          <w:tcPr>
            <w:tcW w:type="pct" w:w="35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Una fila por rueda de la ventana: notas totales, según de dónde vienen (mismo día, tras el cierre, día sin rueda), con hora sospechosa y por portal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resumen_u1.csv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Las cifras de este documento</w:t>
            </w:r>
          </w:p>
        </w:tc>
      </w:tr>
      <w:tr>
        <w:trPr>
          <w:cantSplit/>
        </w:trPr>
        <w:tc>
          <w:tcPr>
            <w:tcW w:type="pct" w:w="15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verificaciones.csv</w:t>
            </w:r>
          </w:p>
        </w:tc>
        <w:tc>
          <w:tcPr>
            <w:tcW w:type="pct" w:w="3500"/>
            <w:shd w:fill="FAFCFD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Los controles de la sección 6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C3A5C"/>
                <w:sz w:val="19"/>
                <w:szCs w:val="19"/>
              </w:rPr>
              <w:t xml:space="preserve">u1_alineacion.png</w:t>
            </w:r>
          </w:p>
        </w:tc>
        <w:tc>
          <w:tcPr>
            <w:tcW w:type="pct" w:w="3500"/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sz w:val="19"/>
                <w:szCs w:val="19"/>
              </w:rPr>
              <w:t xml:space="preserve">La figura de la sección 3</w:t>
            </w:r>
          </w:p>
        </w:tc>
      </w:tr>
    </w:tbl>
    <w:p>
      <w:pPr>
        <w:pStyle w:val="Heading1"/>
        <w:keepNext/>
        <w:spacing w:after="160" w:before="360"/>
      </w:pPr>
      <w:r>
        <w:t xml:space="preserve">8. Limitaciones</w:t>
      </w:r>
    </w:p>
    <w:p>
      <w:pPr>
        <w:spacing w:after="160" w:line="300"/>
        <w:ind w:left="360" w:hanging="240"/>
      </w:pPr>
      <w:r>
        <w:t xml:space="preserve">•  La regla supone que el mercado reacciona en la primera rueda posible. Si una noticia tarda más en difundirse, el efecto aparecerá en rezagos posteriores, y eso lo mide el VAR (U6).</w:t>
      </w:r>
    </w:p>
    <w:p>
      <w:pPr>
        <w:spacing w:after="160" w:line="300"/>
        <w:ind w:left="360" w:hanging="240"/>
      </w:pPr>
      <w:r>
        <w:t xml:space="preserve">•  Se usa la hora de publicación que informa cada portal. Además de las horas sospechosas, una nota puede actualizarse después de publicada; se toma la primera hora informada.</w:t>
      </w:r>
    </w:p>
    <w:p>
      <w:pPr>
        <w:spacing w:after="160" w:line="300"/>
        <w:ind w:left="360" w:hanging="240"/>
      </w:pPr>
      <w:r>
        <w:t xml:space="preserve">•  El cierre se fija a las 17:00 para todo el período. Si en algún día puntual la rueda cerró a otra hora, las notas de ese tramo quedan del lado equivocado.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C6B7A"/>
        <w:sz w:val="16"/>
        <w:szCs w:val="16"/>
      </w:rPr>
      <w:t xml:space="preserve">Nicolás Diddi · Gino Frigoni · Página </w:t>
    </w:r>
    <w:r>
      <w:rPr>
        <w:color w:val="5C6B7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C6B7A"/>
        <w:sz w:val="16"/>
        <w:szCs w:val="16"/>
      </w:rPr>
      <w:t xml:space="preserve"> de </w:t>
    </w:r>
    <w:r>
      <w:rPr>
        <w:color w:val="5C6B7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C6B7A"/>
        <w:sz w:val="16"/>
        <w:szCs w:val="16"/>
      </w:rPr>
      <w:t xml:space="preserve">U1 · Alineación de noticias y ruedas — tesis version 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0798C" w:sz="6" w:space="4"/>
      </w:pBdr>
      <w:spacing w:after="160" w:before="360"/>
    </w:pPr>
    <w:rPr>
      <w:rFonts w:ascii="Cambria" w:cs="Cambria" w:eastAsia="Cambria" w:hAnsi="Cambria"/>
      <w:b/>
      <w:bCs/>
      <w:color w:val="12263A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983c30d1f9675515227558812e41db45d369c18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2026-10-24T04:12:44.613Z</dcterms:created>
  <dcterms:modified xsi:type="dcterms:W3CDTF">2026-10-24T04:12:44.613Z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