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U2 · Sentimiento de mercado por rueda</w:t>
      </w:r>
    </w:p>
    <w:p>
      <w:pPr>
        <w:spacing w:after="200"/>
      </w:pPr>
      <w:r>
        <w:rPr>
          <w:rFonts w:ascii="Cambria" w:cs="Cambria" w:eastAsia="Cambria" w:hAnsi="Cambria"/>
          <w:i/>
          <w:iCs/>
          <w:color w:val="1C3A5C"/>
          <w:sz w:val="24"/>
          <w:szCs w:val="24"/>
        </w:rPr>
        <w:t xml:space="preserve">El tono de las noticias, la atención de los medios y las ruedas de tono extremo</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3.0\Unión\02_sentimiento_por_rueda\</w:t>
      </w:r>
      <w:r>
        <w:t xml:space="preserve">. Script: </w:t>
      </w:r>
      <w:r>
        <w:rPr>
          <w:rFonts w:ascii="Consolas" w:cs="Consolas" w:eastAsia="Consolas" w:hAnsi="Consolas"/>
          <w:color w:val="1C3A5C"/>
          <w:sz w:val="19"/>
          <w:szCs w:val="19"/>
        </w:rPr>
        <w:t xml:space="preserve">sentimiento_por_rueda.py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Para cada una de las 244 ruedas quedan tres variables de noticias: el tono (sentimiento), la atención de los medios (cuántas notas, comparado con lo habitual) y si fue una rueda de tono extremo. Hay 19 ruedas de tono extremo (10 positivas y 9 negativas), elegidas con una regla que tiene en cuenta cuántas notas tiene cada rueda.</w:t>
            </w:r>
          </w:p>
        </w:tc>
      </w:tr>
    </w:tbl>
    <w:p>
      <w:pPr>
        <w:pStyle w:val="Heading1"/>
        <w:keepNext/>
        <w:spacing w:after="160" w:before="360"/>
      </w:pPr>
      <w:r>
        <w:t xml:space="preserve">1. Qué hace este paso</w:t>
      </w:r>
    </w:p>
    <w:p>
      <w:pPr>
        <w:spacing w:after="160" w:line="300"/>
      </w:pPr>
      <w:r>
        <w:t xml:space="preserve">Toma la rueda asignada a cada nota en U1 y el sentimiento de cada nota calculado por Gino (versión congelada, decisión D1), y arma tres series por rueda:</w:t>
      </w:r>
    </w:p>
    <w:p>
      <w:pPr>
        <w:spacing w:after="160" w:line="300"/>
        <w:ind w:left="360" w:hanging="240"/>
      </w:pPr>
      <w:r>
        <w:t xml:space="preserve">•  </w:t>
      </w:r>
      <w:r>
        <w:rPr>
          <w:b/>
          <w:bCs/>
        </w:rPr>
        <w:t xml:space="preserve">Tono: </w:t>
      </w:r>
      <w:r>
        <w:t xml:space="preserve">el promedio del sentimiento neto de las notas de la rueda, con igual peso por nota. Es la misma definición de la serie diaria de Gino; solo cambia la regla de la rueda.</w:t>
      </w:r>
    </w:p>
    <w:p>
      <w:pPr>
        <w:spacing w:after="160" w:line="300"/>
        <w:ind w:left="360" w:hanging="240"/>
      </w:pPr>
      <w:r>
        <w:t xml:space="preserve">•  </w:t>
      </w:r>
      <w:r>
        <w:rPr>
          <w:b/>
          <w:bCs/>
        </w:rPr>
        <w:t xml:space="preserve">Atención: </w:t>
      </w:r>
      <w:r>
        <w:t xml:space="preserve">cuántas notas recibió la rueda, comparado con lo habitual. Es la "volumetría de publicaciones" que pide el plan de tesis (decisión D2).</w:t>
      </w:r>
    </w:p>
    <w:p>
      <w:pPr>
        <w:spacing w:after="160" w:line="300"/>
        <w:ind w:left="360" w:hanging="240"/>
      </w:pPr>
      <w:r>
        <w:t xml:space="preserve">•  </w:t>
      </w:r>
      <w:r>
        <w:rPr>
          <w:b/>
          <w:bCs/>
        </w:rPr>
        <w:t xml:space="preserve">Tono extremo (shock): </w:t>
      </w:r>
      <w:r>
        <w:t xml:space="preserve">si la rueda se aparta mucho del tono habitual. Lo usa el event study (U7).</w:t>
      </w:r>
    </w:p>
    <w:p>
      <w:pPr>
        <w:pStyle w:val="Heading1"/>
        <w:keepNext/>
        <w:spacing w:after="160" w:before="360"/>
      </w:pPr>
      <w:r>
        <w:t xml:space="preserve">2. El tono de las noticias por rueda</w:t>
      </w:r>
    </w:p>
    <w:p>
      <w:pPr>
        <w:spacing w:after="160" w:line="300"/>
      </w:pPr>
      <w:r>
        <w:t xml:space="preserve">El tono medio de las 244 ruedas es 3,9 puntos, con un desvío de 7,0. La rueda más negativa es la del 15/04/2026 (-13,5) y la más positiva, la del 14/11/2025 (+22,1). El tono de una rueda se parece al de la anterior (autocorrelación 0,47): el clima de las noticias cambia de a poco.</w:t>
      </w:r>
    </w:p>
    <w:p>
      <w:pPr>
        <w:spacing w:after="160" w:line="300"/>
      </w:pPr>
      <w:r>
        <w:rPr>
          <w:b/>
          <w:bCs/>
        </w:rPr>
        <w:t xml:space="preserve">Versión ajustada por portal. </w:t>
      </w:r>
      <w:r>
        <w:t xml:space="preserve">Cada portal tiene su propio tono promedio: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4819"/>
        <w:gridCol w:w="2410"/>
        <w:gridCol w:w="2410"/>
      </w:tblGrid>
      <w:tr>
        <w:trPr>
          <w:tblHeader/>
        </w:trPr>
        <w:tc>
          <w:tcPr>
            <w:tcW w:type="pct" w:w="2500"/>
            <w:shd w:fill="1C3A5C" w:val="clear"/>
            <w:tcMar>
              <w:top w:type="dxa" w:w="80"/>
              <w:left w:type="dxa" w:w="120"/>
              <w:bottom w:type="dxa" w:w="80"/>
              <w:right w:type="dxa" w:w="120"/>
            </w:tcMar>
          </w:tcPr>
          <w:p>
            <w:r>
              <w:rPr>
                <w:b/>
                <w:bCs/>
                <w:color w:val="FFFFFF"/>
                <w:sz w:val="19"/>
                <w:szCs w:val="19"/>
              </w:rPr>
              <w:t xml:space="preserve">Portal</w:t>
            </w:r>
          </w:p>
        </w:tc>
        <w:tc>
          <w:tcPr>
            <w:tcW w:type="pct" w:w="1250"/>
            <w:shd w:fill="1C3A5C" w:val="clear"/>
            <w:tcMar>
              <w:top w:type="dxa" w:w="80"/>
              <w:left w:type="dxa" w:w="120"/>
              <w:bottom w:type="dxa" w:w="80"/>
              <w:right w:type="dxa" w:w="120"/>
            </w:tcMar>
          </w:tcPr>
          <w:p>
            <w:r>
              <w:rPr>
                <w:b/>
                <w:bCs/>
                <w:color w:val="FFFFFF"/>
                <w:sz w:val="19"/>
                <w:szCs w:val="19"/>
              </w:rPr>
              <w:t xml:space="preserve">Tono promedio</w:t>
            </w:r>
          </w:p>
        </w:tc>
        <w:tc>
          <w:tcPr>
            <w:tcW w:type="pct" w:w="1250"/>
            <w:shd w:fill="1C3A5C" w:val="clear"/>
            <w:tcMar>
              <w:top w:type="dxa" w:w="80"/>
              <w:left w:type="dxa" w:w="120"/>
              <w:bottom w:type="dxa" w:w="80"/>
              <w:right w:type="dxa" w:w="120"/>
            </w:tcMar>
          </w:tcPr>
          <w:p>
            <w:r>
              <w:rPr>
                <w:b/>
                <w:bCs/>
                <w:color w:val="FFFFFF"/>
                <w:sz w:val="19"/>
                <w:szCs w:val="19"/>
              </w:rPr>
              <w:t xml:space="preserve">Notas</w:t>
            </w:r>
          </w:p>
        </w:tc>
      </w:tr>
      <w:tr>
        <w:trPr>
          <w:cantSplit/>
        </w:trPr>
        <w:tc>
          <w:tcPr>
            <w:tcW w:type="pct" w:w="2500"/>
            <w:shd w:fill="FFFFFF" w:val="clear"/>
            <w:tcMar>
              <w:top w:type="dxa" w:w="70"/>
              <w:left w:type="dxa" w:w="120"/>
              <w:bottom w:type="dxa" w:w="70"/>
              <w:right w:type="dxa" w:w="120"/>
            </w:tcMar>
          </w:tcPr>
          <w:p>
            <w:r>
              <w:rPr>
                <w:sz w:val="19"/>
                <w:szCs w:val="19"/>
              </w:rPr>
              <w:t xml:space="preserve">TN</w:t>
            </w:r>
          </w:p>
        </w:tc>
        <w:tc>
          <w:tcPr>
            <w:tcW w:type="pct" w:w="1250"/>
            <w:shd w:fill="FFFFFF" w:val="clear"/>
            <w:tcMar>
              <w:top w:type="dxa" w:w="70"/>
              <w:left w:type="dxa" w:w="120"/>
              <w:bottom w:type="dxa" w:w="70"/>
              <w:right w:type="dxa" w:w="120"/>
            </w:tcMar>
          </w:tcPr>
          <w:p>
            <w:r>
              <w:rPr>
                <w:sz w:val="19"/>
                <w:szCs w:val="19"/>
              </w:rPr>
              <w:t xml:space="preserve">+30,4</w:t>
            </w:r>
          </w:p>
        </w:tc>
        <w:tc>
          <w:tcPr>
            <w:tcW w:type="pct" w:w="1250"/>
            <w:shd w:fill="FFFFFF" w:val="clear"/>
            <w:tcMar>
              <w:top w:type="dxa" w:w="70"/>
              <w:left w:type="dxa" w:w="120"/>
              <w:bottom w:type="dxa" w:w="70"/>
              <w:right w:type="dxa" w:w="120"/>
            </w:tcMar>
          </w:tcPr>
          <w:p>
            <w:r>
              <w:rPr>
                <w:sz w:val="19"/>
                <w:szCs w:val="19"/>
              </w:rPr>
              <w:t xml:space="preserve">100</w:t>
            </w:r>
          </w:p>
        </w:tc>
      </w:tr>
      <w:tr>
        <w:trPr>
          <w:cantSplit/>
        </w:trPr>
        <w:tc>
          <w:tcPr>
            <w:tcW w:type="pct" w:w="2500"/>
            <w:shd w:fill="FAFCFD" w:val="clear"/>
            <w:tcMar>
              <w:top w:type="dxa" w:w="70"/>
              <w:left w:type="dxa" w:w="120"/>
              <w:bottom w:type="dxa" w:w="70"/>
              <w:right w:type="dxa" w:w="120"/>
            </w:tcMar>
          </w:tcPr>
          <w:p>
            <w:r>
              <w:rPr>
                <w:sz w:val="19"/>
                <w:szCs w:val="19"/>
              </w:rPr>
              <w:t xml:space="preserve">iProfesional</w:t>
            </w:r>
          </w:p>
        </w:tc>
        <w:tc>
          <w:tcPr>
            <w:tcW w:type="pct" w:w="1250"/>
            <w:shd w:fill="FAFCFD" w:val="clear"/>
            <w:tcMar>
              <w:top w:type="dxa" w:w="70"/>
              <w:left w:type="dxa" w:w="120"/>
              <w:bottom w:type="dxa" w:w="70"/>
              <w:right w:type="dxa" w:w="120"/>
            </w:tcMar>
          </w:tcPr>
          <w:p>
            <w:r>
              <w:rPr>
                <w:sz w:val="19"/>
                <w:szCs w:val="19"/>
              </w:rPr>
              <w:t xml:space="preserve">+6,2</w:t>
            </w:r>
          </w:p>
        </w:tc>
        <w:tc>
          <w:tcPr>
            <w:tcW w:type="pct" w:w="1250"/>
            <w:shd w:fill="FAFCFD" w:val="clear"/>
            <w:tcMar>
              <w:top w:type="dxa" w:w="70"/>
              <w:left w:type="dxa" w:w="120"/>
              <w:bottom w:type="dxa" w:w="70"/>
              <w:right w:type="dxa" w:w="120"/>
            </w:tcMar>
          </w:tcPr>
          <w:p>
            <w:r>
              <w:rPr>
                <w:sz w:val="19"/>
                <w:szCs w:val="19"/>
              </w:rPr>
              <w:t xml:space="preserve">5.455</w:t>
            </w:r>
          </w:p>
        </w:tc>
      </w:tr>
      <w:tr>
        <w:trPr>
          <w:cantSplit/>
        </w:trPr>
        <w:tc>
          <w:tcPr>
            <w:tcW w:type="pct" w:w="2500"/>
            <w:shd w:fill="FFFFFF" w:val="clear"/>
            <w:tcMar>
              <w:top w:type="dxa" w:w="70"/>
              <w:left w:type="dxa" w:w="120"/>
              <w:bottom w:type="dxa" w:w="70"/>
              <w:right w:type="dxa" w:w="120"/>
            </w:tcMar>
          </w:tcPr>
          <w:p>
            <w:r>
              <w:rPr>
                <w:sz w:val="19"/>
                <w:szCs w:val="19"/>
              </w:rPr>
              <w:t xml:space="preserve">Ámbito Economía</w:t>
            </w:r>
          </w:p>
        </w:tc>
        <w:tc>
          <w:tcPr>
            <w:tcW w:type="pct" w:w="1250"/>
            <w:shd w:fill="FFFFFF" w:val="clear"/>
            <w:tcMar>
              <w:top w:type="dxa" w:w="70"/>
              <w:left w:type="dxa" w:w="120"/>
              <w:bottom w:type="dxa" w:w="70"/>
              <w:right w:type="dxa" w:w="120"/>
            </w:tcMar>
          </w:tcPr>
          <w:p>
            <w:r>
              <w:rPr>
                <w:sz w:val="19"/>
                <w:szCs w:val="19"/>
              </w:rPr>
              <w:t xml:space="preserve">+5,4</w:t>
            </w:r>
          </w:p>
        </w:tc>
        <w:tc>
          <w:tcPr>
            <w:tcW w:type="pct" w:w="1250"/>
            <w:shd w:fill="FFFFFF" w:val="clear"/>
            <w:tcMar>
              <w:top w:type="dxa" w:w="70"/>
              <w:left w:type="dxa" w:w="120"/>
              <w:bottom w:type="dxa" w:w="70"/>
              <w:right w:type="dxa" w:w="120"/>
            </w:tcMar>
          </w:tcPr>
          <w:p>
            <w:r>
              <w:rPr>
                <w:sz w:val="19"/>
                <w:szCs w:val="19"/>
              </w:rPr>
              <w:t xml:space="preserve">497</w:t>
            </w:r>
          </w:p>
        </w:tc>
      </w:tr>
      <w:tr>
        <w:trPr>
          <w:cantSplit/>
        </w:trPr>
        <w:tc>
          <w:tcPr>
            <w:tcW w:type="pct" w:w="2500"/>
            <w:shd w:fill="FAFCFD" w:val="clear"/>
            <w:tcMar>
              <w:top w:type="dxa" w:w="70"/>
              <w:left w:type="dxa" w:w="120"/>
              <w:bottom w:type="dxa" w:w="70"/>
              <w:right w:type="dxa" w:w="120"/>
            </w:tcMar>
          </w:tcPr>
          <w:p>
            <w:r>
              <w:rPr>
                <w:sz w:val="19"/>
                <w:szCs w:val="19"/>
              </w:rPr>
              <w:t xml:space="preserve">La Nación</w:t>
            </w:r>
          </w:p>
        </w:tc>
        <w:tc>
          <w:tcPr>
            <w:tcW w:type="pct" w:w="1250"/>
            <w:shd w:fill="FAFCFD" w:val="clear"/>
            <w:tcMar>
              <w:top w:type="dxa" w:w="70"/>
              <w:left w:type="dxa" w:w="120"/>
              <w:bottom w:type="dxa" w:w="70"/>
              <w:right w:type="dxa" w:w="120"/>
            </w:tcMar>
          </w:tcPr>
          <w:p>
            <w:r>
              <w:rPr>
                <w:sz w:val="19"/>
                <w:szCs w:val="19"/>
              </w:rPr>
              <w:t xml:space="preserve">+4,9</w:t>
            </w:r>
          </w:p>
        </w:tc>
        <w:tc>
          <w:tcPr>
            <w:tcW w:type="pct" w:w="1250"/>
            <w:shd w:fill="FAFCFD" w:val="clear"/>
            <w:tcMar>
              <w:top w:type="dxa" w:w="70"/>
              <w:left w:type="dxa" w:w="120"/>
              <w:bottom w:type="dxa" w:w="70"/>
              <w:right w:type="dxa" w:w="120"/>
            </w:tcMar>
          </w:tcPr>
          <w:p>
            <w:r>
              <w:rPr>
                <w:sz w:val="19"/>
                <w:szCs w:val="19"/>
              </w:rPr>
              <w:t xml:space="preserve">486</w:t>
            </w:r>
          </w:p>
        </w:tc>
      </w:tr>
      <w:tr>
        <w:trPr>
          <w:cantSplit/>
        </w:trPr>
        <w:tc>
          <w:tcPr>
            <w:tcW w:type="pct" w:w="2500"/>
            <w:shd w:fill="FFFFFF" w:val="clear"/>
            <w:tcMar>
              <w:top w:type="dxa" w:w="70"/>
              <w:left w:type="dxa" w:w="120"/>
              <w:bottom w:type="dxa" w:w="70"/>
              <w:right w:type="dxa" w:w="120"/>
            </w:tcMar>
          </w:tcPr>
          <w:p>
            <w:r>
              <w:rPr>
                <w:sz w:val="19"/>
                <w:szCs w:val="19"/>
              </w:rPr>
              <w:t xml:space="preserve">Infobae</w:t>
            </w:r>
          </w:p>
        </w:tc>
        <w:tc>
          <w:tcPr>
            <w:tcW w:type="pct" w:w="1250"/>
            <w:shd w:fill="FFFFFF" w:val="clear"/>
            <w:tcMar>
              <w:top w:type="dxa" w:w="70"/>
              <w:left w:type="dxa" w:w="120"/>
              <w:bottom w:type="dxa" w:w="70"/>
              <w:right w:type="dxa" w:w="120"/>
            </w:tcMar>
          </w:tcPr>
          <w:p>
            <w:r>
              <w:rPr>
                <w:sz w:val="19"/>
                <w:szCs w:val="19"/>
              </w:rPr>
              <w:t xml:space="preserve">+4,8</w:t>
            </w:r>
          </w:p>
        </w:tc>
        <w:tc>
          <w:tcPr>
            <w:tcW w:type="pct" w:w="1250"/>
            <w:shd w:fill="FFFFFF" w:val="clear"/>
            <w:tcMar>
              <w:top w:type="dxa" w:w="70"/>
              <w:left w:type="dxa" w:w="120"/>
              <w:bottom w:type="dxa" w:w="70"/>
              <w:right w:type="dxa" w:w="120"/>
            </w:tcMar>
          </w:tcPr>
          <w:p>
            <w:r>
              <w:rPr>
                <w:sz w:val="19"/>
                <w:szCs w:val="19"/>
              </w:rPr>
              <w:t xml:space="preserve">497</w:t>
            </w:r>
          </w:p>
        </w:tc>
      </w:tr>
      <w:tr>
        <w:trPr>
          <w:cantSplit/>
        </w:trPr>
        <w:tc>
          <w:tcPr>
            <w:tcW w:type="pct" w:w="2500"/>
            <w:shd w:fill="FAFCFD" w:val="clear"/>
            <w:tcMar>
              <w:top w:type="dxa" w:w="70"/>
              <w:left w:type="dxa" w:w="120"/>
              <w:bottom w:type="dxa" w:w="70"/>
              <w:right w:type="dxa" w:w="120"/>
            </w:tcMar>
          </w:tcPr>
          <w:p>
            <w:r>
              <w:rPr>
                <w:sz w:val="19"/>
                <w:szCs w:val="19"/>
              </w:rPr>
              <w:t xml:space="preserve">Clarín Economía</w:t>
            </w:r>
          </w:p>
        </w:tc>
        <w:tc>
          <w:tcPr>
            <w:tcW w:type="pct" w:w="1250"/>
            <w:shd w:fill="FAFCFD" w:val="clear"/>
            <w:tcMar>
              <w:top w:type="dxa" w:w="70"/>
              <w:left w:type="dxa" w:w="120"/>
              <w:bottom w:type="dxa" w:w="70"/>
              <w:right w:type="dxa" w:w="120"/>
            </w:tcMar>
          </w:tcPr>
          <w:p>
            <w:r>
              <w:rPr>
                <w:sz w:val="19"/>
                <w:szCs w:val="19"/>
              </w:rPr>
              <w:t xml:space="preserve">+3,2</w:t>
            </w:r>
          </w:p>
        </w:tc>
        <w:tc>
          <w:tcPr>
            <w:tcW w:type="pct" w:w="1250"/>
            <w:shd w:fill="FAFCFD" w:val="clear"/>
            <w:tcMar>
              <w:top w:type="dxa" w:w="70"/>
              <w:left w:type="dxa" w:w="120"/>
              <w:bottom w:type="dxa" w:w="70"/>
              <w:right w:type="dxa" w:w="120"/>
            </w:tcMar>
          </w:tcPr>
          <w:p>
            <w:r>
              <w:rPr>
                <w:sz w:val="19"/>
                <w:szCs w:val="19"/>
              </w:rPr>
              <w:t xml:space="preserve">294</w:t>
            </w:r>
          </w:p>
        </w:tc>
      </w:tr>
      <w:tr>
        <w:trPr>
          <w:cantSplit/>
        </w:trPr>
        <w:tc>
          <w:tcPr>
            <w:tcW w:type="pct" w:w="2500"/>
            <w:shd w:fill="FFFFFF" w:val="clear"/>
            <w:tcMar>
              <w:top w:type="dxa" w:w="70"/>
              <w:left w:type="dxa" w:w="120"/>
              <w:bottom w:type="dxa" w:w="70"/>
              <w:right w:type="dxa" w:w="120"/>
            </w:tcMar>
          </w:tcPr>
          <w:p>
            <w:r>
              <w:rPr>
                <w:sz w:val="19"/>
                <w:szCs w:val="19"/>
              </w:rPr>
              <w:t xml:space="preserve">Clarín (sitemap)</w:t>
            </w:r>
          </w:p>
        </w:tc>
        <w:tc>
          <w:tcPr>
            <w:tcW w:type="pct" w:w="1250"/>
            <w:shd w:fill="FFFFFF" w:val="clear"/>
            <w:tcMar>
              <w:top w:type="dxa" w:w="70"/>
              <w:left w:type="dxa" w:w="120"/>
              <w:bottom w:type="dxa" w:w="70"/>
              <w:right w:type="dxa" w:w="120"/>
            </w:tcMar>
          </w:tcPr>
          <w:p>
            <w:r>
              <w:rPr>
                <w:sz w:val="19"/>
                <w:szCs w:val="19"/>
              </w:rPr>
              <w:t xml:space="preserve">+2,3</w:t>
            </w:r>
          </w:p>
        </w:tc>
        <w:tc>
          <w:tcPr>
            <w:tcW w:type="pct" w:w="1250"/>
            <w:shd w:fill="FFFFFF" w:val="clear"/>
            <w:tcMar>
              <w:top w:type="dxa" w:w="70"/>
              <w:left w:type="dxa" w:w="120"/>
              <w:bottom w:type="dxa" w:w="70"/>
              <w:right w:type="dxa" w:w="120"/>
            </w:tcMar>
          </w:tcPr>
          <w:p>
            <w:r>
              <w:rPr>
                <w:sz w:val="19"/>
                <w:szCs w:val="19"/>
              </w:rPr>
              <w:t xml:space="preserve">3.668</w:t>
            </w:r>
          </w:p>
        </w:tc>
      </w:tr>
      <w:tr>
        <w:trPr>
          <w:cantSplit/>
        </w:trPr>
        <w:tc>
          <w:tcPr>
            <w:tcW w:type="pct" w:w="2500"/>
            <w:shd w:fill="FAFCFD" w:val="clear"/>
            <w:tcMar>
              <w:top w:type="dxa" w:w="70"/>
              <w:left w:type="dxa" w:w="120"/>
              <w:bottom w:type="dxa" w:w="70"/>
              <w:right w:type="dxa" w:w="120"/>
            </w:tcMar>
          </w:tcPr>
          <w:p>
            <w:r>
              <w:rPr>
                <w:sz w:val="19"/>
                <w:szCs w:val="19"/>
              </w:rPr>
              <w:t xml:space="preserve">El Economista</w:t>
            </w:r>
          </w:p>
        </w:tc>
        <w:tc>
          <w:tcPr>
            <w:tcW w:type="pct" w:w="1250"/>
            <w:shd w:fill="FAFCFD" w:val="clear"/>
            <w:tcMar>
              <w:top w:type="dxa" w:w="70"/>
              <w:left w:type="dxa" w:w="120"/>
              <w:bottom w:type="dxa" w:w="70"/>
              <w:right w:type="dxa" w:w="120"/>
            </w:tcMar>
          </w:tcPr>
          <w:p>
            <w:r>
              <w:rPr>
                <w:sz w:val="19"/>
                <w:szCs w:val="19"/>
              </w:rPr>
              <w:t xml:space="preserve">+0,6</w:t>
            </w:r>
          </w:p>
        </w:tc>
        <w:tc>
          <w:tcPr>
            <w:tcW w:type="pct" w:w="1250"/>
            <w:shd w:fill="FAFCFD" w:val="clear"/>
            <w:tcMar>
              <w:top w:type="dxa" w:w="70"/>
              <w:left w:type="dxa" w:w="120"/>
              <w:bottom w:type="dxa" w:w="70"/>
              <w:right w:type="dxa" w:w="120"/>
            </w:tcMar>
          </w:tcPr>
          <w:p>
            <w:r>
              <w:rPr>
                <w:sz w:val="19"/>
                <w:szCs w:val="19"/>
              </w:rPr>
              <w:t xml:space="preserve">2.688</w:t>
            </w:r>
          </w:p>
        </w:tc>
      </w:tr>
      <w:tr>
        <w:trPr>
          <w:cantSplit/>
        </w:trPr>
        <w:tc>
          <w:tcPr>
            <w:tcW w:type="pct" w:w="2500"/>
            <w:shd w:fill="FFFFFF" w:val="clear"/>
            <w:tcMar>
              <w:top w:type="dxa" w:w="70"/>
              <w:left w:type="dxa" w:w="120"/>
              <w:bottom w:type="dxa" w:w="70"/>
              <w:right w:type="dxa" w:w="120"/>
            </w:tcMar>
          </w:tcPr>
          <w:p>
            <w:r>
              <w:rPr>
                <w:sz w:val="19"/>
                <w:szCs w:val="19"/>
              </w:rPr>
              <w:t xml:space="preserve">Ámbito Finanzas</w:t>
            </w:r>
          </w:p>
        </w:tc>
        <w:tc>
          <w:tcPr>
            <w:tcW w:type="pct" w:w="1250"/>
            <w:shd w:fill="FFFFFF" w:val="clear"/>
            <w:tcMar>
              <w:top w:type="dxa" w:w="70"/>
              <w:left w:type="dxa" w:w="120"/>
              <w:bottom w:type="dxa" w:w="70"/>
              <w:right w:type="dxa" w:w="120"/>
            </w:tcMar>
          </w:tcPr>
          <w:p>
            <w:r>
              <w:rPr>
                <w:sz w:val="19"/>
                <w:szCs w:val="19"/>
              </w:rPr>
              <w:t xml:space="preserve">0,0</w:t>
            </w:r>
          </w:p>
        </w:tc>
        <w:tc>
          <w:tcPr>
            <w:tcW w:type="pct" w:w="1250"/>
            <w:shd w:fill="FFFFFF" w:val="clear"/>
            <w:tcMar>
              <w:top w:type="dxa" w:w="70"/>
              <w:left w:type="dxa" w:w="120"/>
              <w:bottom w:type="dxa" w:w="70"/>
              <w:right w:type="dxa" w:w="120"/>
            </w:tcMar>
          </w:tcPr>
          <w:p>
            <w:r>
              <w:rPr>
                <w:sz w:val="19"/>
                <w:szCs w:val="19"/>
              </w:rPr>
              <w:t xml:space="preserve">240</w:t>
            </w:r>
          </w:p>
        </w:tc>
      </w:tr>
    </w:tbl>
    <w:p>
      <w:pPr>
        <w:spacing w:after="160" w:line="300"/>
      </w:pPr>
      <w:r>
        <w:t xml:space="preserve">Un día con muchas notas de TN parecería optimista solo por la mezcla de portales, y abril de 2026, casi sin iProfesional, cambia de composición. Para evitarlo, a cada nota se le resta el promedio de su portal antes de promediar. Las dos versiones se parecen mucho (correlación 0,995): la simple va a los modelos y la ajustada se usa para los shocks y como robustez (U8).</w:t>
      </w:r>
    </w:p>
    <w:p>
      <w:pPr>
        <w:pStyle w:val="Heading1"/>
        <w:keepNext/>
        <w:spacing w:after="160" w:before="360"/>
      </w:pPr>
      <w:r>
        <w:t xml:space="preserve">3. La atención de los medios</w:t>
      </w:r>
    </w:p>
    <w:p>
      <w:pPr>
        <w:spacing w:after="160" w:line="300"/>
      </w:pPr>
      <w:r>
        <w:t xml:space="preserve">Una rueda que viene de un fin de semana o un feriado junta más notas. La mediana de notas según cuántos días cubre la rueda es: 1 día(s): 50 · 2 día(s): 60 · 3 día(s): 83 · 4 día(s): 111. Por eso la atención no se mide en bruto, sino en dos pasos:</w:t>
      </w:r>
    </w:p>
    <w:p>
      <w:pPr>
        <w:spacing w:after="160" w:line="300"/>
        <w:ind w:left="360" w:hanging="240"/>
      </w:pPr>
      <w:r>
        <w:t xml:space="preserve">•  se compara la cantidad de notas con la mediana de las ruedas que cubren la misma cantidad de días;</w:t>
      </w:r>
    </w:p>
    <w:p>
      <w:pPr>
        <w:spacing w:after="160" w:line="300"/>
        <w:ind w:left="360" w:hanging="240"/>
      </w:pPr>
      <w:r>
        <w:t xml:space="preserve">•  a eso se le descuenta el nivel de las 20 ruedas previas, para que los cambios lentos (como el hueco de iProfesional) no cuenten como cambios de atención.</w:t>
      </w:r>
    </w:p>
    <w:p>
      <w:pPr>
        <w:spacing w:after="160" w:line="300"/>
      </w:pPr>
      <w:r>
        <w:t xml:space="preserve">El resultado es la atención anormal: 0 es lo habitual, +0,69 es el doble de notas y −0,69 la mitad. La más alta es la del 12/03/2026 (+0,51) y la más baja la del 15/04/2026 (-1,08), en pleno hueco de iProfesional. Las primeras 20 ruedas no tienen valor, porque no tienen 20 ruedas previas de referencia.</w:t>
      </w:r>
    </w:p>
    <w:p>
      <w:pPr>
        <w:spacing w:after="160"/>
        <w:jc w:val="center"/>
      </w:pPr>
      <w:r>
        <w:drawing>
          <wp:inline distT="0" distB="0" distL="0" distR="0">
            <wp:extent cx="5619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86225"/>
                    </a:xfrm>
                    <a:prstGeom prst="rect">
                      <a:avLst/>
                    </a:prstGeom>
                  </pic:spPr>
                </pic:pic>
              </a:graphicData>
            </a:graphic>
          </wp:inline>
        </w:drawing>
      </w:r>
    </w:p>
    <w:p>
      <w:pPr>
        <w:spacing w:after="160" w:line="300"/>
      </w:pPr>
      <w:r>
        <w:rPr>
          <w:i/>
          <w:iCs/>
          <w:color w:val="5C6B7A"/>
          <w:sz w:val="18"/>
          <w:szCs w:val="18"/>
        </w:rPr>
        <w:t xml:space="preserve">Arriba: tono de cada rueda (ajustado por portal), su media de las 20 ruedas previas y las ruedas de tono extremo. Abajo: atención anormal de los medios.</w:t>
      </w:r>
    </w:p>
    <w:p>
      <w:pPr>
        <w:pStyle w:val="Heading1"/>
        <w:keepNext/>
        <w:spacing w:after="160" w:before="360"/>
      </w:pPr>
      <w:r>
        <w:t xml:space="preserve">4. Cómo se eligen las ruedas de tono extremo</w:t>
      </w:r>
    </w:p>
    <w:p>
      <w:pPr>
        <w:spacing w:after="160" w:line="300"/>
      </w:pPr>
      <w:r>
        <w:t xml:space="preserve">Las dos reglas que se compararon responden la misma pregunta, "¿el tono de hoy es raro?", pero miden lo normal de forma distinta. Supongamos que lo habitual es un tono de 4 y que hoy es 13: hoy está 9 puntos arriba.</w:t>
      </w:r>
    </w:p>
    <w:p>
      <w:pPr>
        <w:spacing w:after="160" w:line="300"/>
      </w:pPr>
      <w:r>
        <w:rPr>
          <w:b/>
          <w:bCs/>
        </w:rPr>
        <w:t xml:space="preserve">Regla 1: desvío de los días previos (el estilo de la serie de Gino). </w:t>
      </w:r>
      <w:r>
        <w:t xml:space="preserve">Mira cuánto saltaron los días anteriores. Si de un día a otro el tono suele moverse unos 3 puntos, con un umbral de 2,5 el rango normal va de 4 − 7,5 a 4 + 7,5, es decir, de −3,5 a 11,5. Hoy (13) queda afuera: es shock. Esta regla no mira cuántas notas tiene hoy.</w:t>
      </w:r>
    </w:p>
    <w:p>
      <w:pPr>
        <w:spacing w:after="160" w:line="300"/>
      </w:pPr>
      <w:r>
        <w:rPr>
          <w:b/>
          <w:bCs/>
        </w:rPr>
        <w:t xml:space="preserve">Regla 2: por muestreo. </w:t>
      </w:r>
      <w:r>
        <w:t xml:space="preserve">Pregunta cuánto podría moverse el promedio de hoy solo por casualidad, según cuántas notas tiene. Las notas son muy distintas entre sí (el desvío de una nota es de 31,5 puntos), así que el promedio de pocas notas puede salir cualquier cosa, y el de muchas se estabiliza: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4433"/>
        <w:gridCol w:w="2602"/>
        <w:gridCol w:w="2602"/>
      </w:tblGrid>
      <w:tr>
        <w:trPr>
          <w:tblHeader/>
        </w:trPr>
        <w:tc>
          <w:tcPr>
            <w:tcW w:type="pct" w:w="2300"/>
            <w:shd w:fill="1C3A5C" w:val="clear"/>
            <w:tcMar>
              <w:top w:type="dxa" w:w="80"/>
              <w:left w:type="dxa" w:w="120"/>
              <w:bottom w:type="dxa" w:w="80"/>
              <w:right w:type="dxa" w:w="120"/>
            </w:tcMar>
          </w:tcPr>
          <w:p>
            <w:r>
              <w:rPr>
                <w:b/>
                <w:bCs/>
                <w:color w:val="FFFFFF"/>
                <w:sz w:val="19"/>
                <w:szCs w:val="19"/>
              </w:rPr>
              <w:t xml:space="preserve"/>
            </w:r>
          </w:p>
        </w:tc>
        <w:tc>
          <w:tcPr>
            <w:tcW w:type="pct" w:w="1350"/>
            <w:shd w:fill="1C3A5C" w:val="clear"/>
            <w:tcMar>
              <w:top w:type="dxa" w:w="80"/>
              <w:left w:type="dxa" w:w="120"/>
              <w:bottom w:type="dxa" w:w="80"/>
              <w:right w:type="dxa" w:w="120"/>
            </w:tcMar>
          </w:tcPr>
          <w:p>
            <w:r>
              <w:rPr>
                <w:b/>
                <w:bCs/>
                <w:color w:val="FFFFFF"/>
                <w:sz w:val="19"/>
                <w:szCs w:val="19"/>
              </w:rPr>
              <w:t xml:space="preserve">Hoy con 100 notas</w:t>
            </w:r>
          </w:p>
        </w:tc>
        <w:tc>
          <w:tcPr>
            <w:tcW w:type="pct" w:w="1350"/>
            <w:shd w:fill="1C3A5C" w:val="clear"/>
            <w:tcMar>
              <w:top w:type="dxa" w:w="80"/>
              <w:left w:type="dxa" w:w="120"/>
              <w:bottom w:type="dxa" w:w="80"/>
              <w:right w:type="dxa" w:w="120"/>
            </w:tcMar>
          </w:tcPr>
          <w:p>
            <w:r>
              <w:rPr>
                <w:b/>
                <w:bCs/>
                <w:color w:val="FFFFFF"/>
                <w:sz w:val="19"/>
                <w:szCs w:val="19"/>
              </w:rPr>
              <w:t xml:space="preserve">Hoy con 16 notas</w:t>
            </w:r>
          </w:p>
        </w:tc>
      </w:tr>
      <w:tr>
        <w:trPr>
          <w:cantSplit/>
        </w:trPr>
        <w:tc>
          <w:tcPr>
            <w:tcW w:type="pct" w:w="2300"/>
            <w:shd w:fill="FFFFFF" w:val="clear"/>
            <w:tcMar>
              <w:top w:type="dxa" w:w="70"/>
              <w:left w:type="dxa" w:w="120"/>
              <w:bottom w:type="dxa" w:w="70"/>
              <w:right w:type="dxa" w:w="120"/>
            </w:tcMar>
          </w:tcPr>
          <w:p>
            <w:r>
              <w:rPr>
                <w:sz w:val="19"/>
                <w:szCs w:val="19"/>
              </w:rPr>
              <w:t xml:space="preserve">Diferencia con lo habitual</w:t>
            </w:r>
          </w:p>
        </w:tc>
        <w:tc>
          <w:tcPr>
            <w:tcW w:type="pct" w:w="1350"/>
            <w:shd w:fill="FFFFFF" w:val="clear"/>
            <w:tcMar>
              <w:top w:type="dxa" w:w="70"/>
              <w:left w:type="dxa" w:w="120"/>
              <w:bottom w:type="dxa" w:w="70"/>
              <w:right w:type="dxa" w:w="120"/>
            </w:tcMar>
          </w:tcPr>
          <w:p>
            <w:r>
              <w:rPr>
                <w:sz w:val="19"/>
                <w:szCs w:val="19"/>
              </w:rPr>
              <w:t xml:space="preserve">9 puntos</w:t>
            </w:r>
          </w:p>
        </w:tc>
        <w:tc>
          <w:tcPr>
            <w:tcW w:type="pct" w:w="1350"/>
            <w:shd w:fill="FFFFFF" w:val="clear"/>
            <w:tcMar>
              <w:top w:type="dxa" w:w="70"/>
              <w:left w:type="dxa" w:w="120"/>
              <w:bottom w:type="dxa" w:w="70"/>
              <w:right w:type="dxa" w:w="120"/>
            </w:tcMar>
          </w:tcPr>
          <w:p>
            <w:r>
              <w:rPr>
                <w:sz w:val="19"/>
                <w:szCs w:val="19"/>
              </w:rPr>
              <w:t xml:space="preserve">9 puntos</w:t>
            </w:r>
          </w:p>
        </w:tc>
      </w:tr>
      <w:tr>
        <w:trPr>
          <w:cantSplit/>
        </w:trPr>
        <w:tc>
          <w:tcPr>
            <w:tcW w:type="pct" w:w="2300"/>
            <w:shd w:fill="FAFCFD" w:val="clear"/>
            <w:tcMar>
              <w:top w:type="dxa" w:w="70"/>
              <w:left w:type="dxa" w:w="120"/>
              <w:bottom w:type="dxa" w:w="70"/>
              <w:right w:type="dxa" w:w="120"/>
            </w:tcMar>
          </w:tcPr>
          <w:p>
            <w:r>
              <w:rPr>
                <w:sz w:val="19"/>
                <w:szCs w:val="19"/>
              </w:rPr>
              <w:t xml:space="preserve">Cuánto puede moverse el promedio por casualidad</w:t>
            </w:r>
          </w:p>
        </w:tc>
        <w:tc>
          <w:tcPr>
            <w:tcW w:type="pct" w:w="1350"/>
            <w:shd w:fill="FAFCFD" w:val="clear"/>
            <w:tcMar>
              <w:top w:type="dxa" w:w="70"/>
              <w:left w:type="dxa" w:w="120"/>
              <w:bottom w:type="dxa" w:w="70"/>
              <w:right w:type="dxa" w:w="120"/>
            </w:tcMar>
          </w:tcPr>
          <w:p>
            <w:r>
              <w:rPr>
                <w:sz w:val="19"/>
                <w:szCs w:val="19"/>
              </w:rPr>
              <w:t xml:space="preserve">± 3,1</w:t>
            </w:r>
          </w:p>
        </w:tc>
        <w:tc>
          <w:tcPr>
            <w:tcW w:type="pct" w:w="1350"/>
            <w:shd w:fill="FAFCFD" w:val="clear"/>
            <w:tcMar>
              <w:top w:type="dxa" w:w="70"/>
              <w:left w:type="dxa" w:w="120"/>
              <w:bottom w:type="dxa" w:w="70"/>
              <w:right w:type="dxa" w:w="120"/>
            </w:tcMar>
          </w:tcPr>
          <w:p>
            <w:r>
              <w:rPr>
                <w:sz w:val="19"/>
                <w:szCs w:val="19"/>
              </w:rPr>
              <w:t xml:space="preserve">± 7,9</w:t>
            </w:r>
          </w:p>
        </w:tc>
      </w:tr>
      <w:tr>
        <w:trPr>
          <w:cantSplit/>
        </w:trPr>
        <w:tc>
          <w:tcPr>
            <w:tcW w:type="pct" w:w="2300"/>
            <w:shd w:fill="FFFFFF" w:val="clear"/>
            <w:tcMar>
              <w:top w:type="dxa" w:w="70"/>
              <w:left w:type="dxa" w:w="120"/>
              <w:bottom w:type="dxa" w:w="70"/>
              <w:right w:type="dxa" w:w="120"/>
            </w:tcMar>
          </w:tcPr>
          <w:p>
            <w:r>
              <w:rPr>
                <w:sz w:val="19"/>
                <w:szCs w:val="19"/>
              </w:rPr>
              <w:t xml:space="preserve">Veces que la diferencia supera a la casualidad</w:t>
            </w:r>
          </w:p>
        </w:tc>
        <w:tc>
          <w:tcPr>
            <w:tcW w:type="pct" w:w="1350"/>
            <w:shd w:fill="FFFFFF" w:val="clear"/>
            <w:tcMar>
              <w:top w:type="dxa" w:w="70"/>
              <w:left w:type="dxa" w:w="120"/>
              <w:bottom w:type="dxa" w:w="70"/>
              <w:right w:type="dxa" w:w="120"/>
            </w:tcMar>
          </w:tcPr>
          <w:p>
            <w:r>
              <w:rPr>
                <w:sz w:val="19"/>
                <w:szCs w:val="19"/>
              </w:rPr>
              <w:t xml:space="preserve">2,9</w:t>
            </w:r>
          </w:p>
        </w:tc>
        <w:tc>
          <w:tcPr>
            <w:tcW w:type="pct" w:w="1350"/>
            <w:shd w:fill="FFFFFF" w:val="clear"/>
            <w:tcMar>
              <w:top w:type="dxa" w:w="70"/>
              <w:left w:type="dxa" w:w="120"/>
              <w:bottom w:type="dxa" w:w="70"/>
              <w:right w:type="dxa" w:w="120"/>
            </w:tcMar>
          </w:tcPr>
          <w:p>
            <w:r>
              <w:rPr>
                <w:sz w:val="19"/>
                <w:szCs w:val="19"/>
              </w:rPr>
              <w:t xml:space="preserve">1,1</w:t>
            </w:r>
          </w:p>
        </w:tc>
      </w:tr>
      <w:tr>
        <w:trPr>
          <w:cantSplit/>
        </w:trPr>
        <w:tc>
          <w:tcPr>
            <w:tcW w:type="pct" w:w="2300"/>
            <w:shd w:fill="FAFCFD" w:val="clear"/>
            <w:tcMar>
              <w:top w:type="dxa" w:w="70"/>
              <w:left w:type="dxa" w:w="120"/>
              <w:bottom w:type="dxa" w:w="70"/>
              <w:right w:type="dxa" w:w="120"/>
            </w:tcMar>
          </w:tcPr>
          <w:p>
            <w:r>
              <w:rPr>
                <w:sz w:val="19"/>
                <w:szCs w:val="19"/>
              </w:rPr>
              <w:t xml:space="preserve">¿Supera el umbral de 2,5?</w:t>
            </w:r>
          </w:p>
        </w:tc>
        <w:tc>
          <w:tcPr>
            <w:tcW w:type="pct" w:w="1350"/>
            <w:shd w:fill="FAFCFD" w:val="clear"/>
            <w:tcMar>
              <w:top w:type="dxa" w:w="70"/>
              <w:left w:type="dxa" w:w="120"/>
              <w:bottom w:type="dxa" w:w="70"/>
              <w:right w:type="dxa" w:w="120"/>
            </w:tcMar>
          </w:tcPr>
          <w:p>
            <w:r>
              <w:rPr>
                <w:sz w:val="19"/>
                <w:szCs w:val="19"/>
              </w:rPr>
              <w:t xml:space="preserve">Sí: es shock</w:t>
            </w:r>
          </w:p>
        </w:tc>
        <w:tc>
          <w:tcPr>
            <w:tcW w:type="pct" w:w="1350"/>
            <w:shd w:fill="FAFCFD" w:val="clear"/>
            <w:tcMar>
              <w:top w:type="dxa" w:w="70"/>
              <w:left w:type="dxa" w:w="120"/>
              <w:bottom w:type="dxa" w:w="70"/>
              <w:right w:type="dxa" w:w="120"/>
            </w:tcMar>
          </w:tcPr>
          <w:p>
            <w:r>
              <w:rPr>
                <w:sz w:val="19"/>
                <w:szCs w:val="19"/>
              </w:rPr>
              <w:t xml:space="preserve">No</w:t>
            </w:r>
          </w:p>
        </w:tc>
      </w:tr>
    </w:tbl>
    <w:p>
      <w:pPr>
        <w:spacing w:after="160" w:line="300"/>
      </w:pPr>
      <w:r>
        <w:t xml:space="preserve">Es el mismo razonamiento que el margen de error de una encuesta: una suba de 9 puntos con 100 encuestados es creíble; con 16, puede ser casualidad.</w:t>
      </w:r>
    </w:p>
    <w:p>
      <w:pPr>
        <w:spacing w:after="160" w:line="300"/>
      </w:pPr>
      <w:r>
        <w:rPr>
          <w:b/>
          <w:bCs/>
        </w:rPr>
        <w:t xml:space="preserve">La comparación contra el azar. </w:t>
      </w:r>
      <w:r>
        <w:t xml:space="preserve">Para saber si una regla detecta algo, se mezclaron las notas al azar entre las ruedas, conservando cuántas notas tiene cada una, y se contó cuántos shocks marca cada regla. Si marca lo mismo con las notas mezcladas, no detecta nada. Resultado con 20 ruedas de referencia (serie ajustada por portal, 300 mezclas):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4433"/>
        <w:gridCol w:w="1349"/>
        <w:gridCol w:w="1735"/>
        <w:gridCol w:w="2120"/>
      </w:tblGrid>
      <w:tr>
        <w:trPr>
          <w:tblHeader/>
        </w:trPr>
        <w:tc>
          <w:tcPr>
            <w:tcW w:type="pct" w:w="2300"/>
            <w:shd w:fill="1C3A5C" w:val="clear"/>
            <w:tcMar>
              <w:top w:type="dxa" w:w="80"/>
              <w:left w:type="dxa" w:w="120"/>
              <w:bottom w:type="dxa" w:w="80"/>
              <w:right w:type="dxa" w:w="120"/>
            </w:tcMar>
          </w:tcPr>
          <w:p>
            <w:r>
              <w:rPr>
                <w:b/>
                <w:bCs/>
                <w:color w:val="FFFFFF"/>
                <w:sz w:val="19"/>
                <w:szCs w:val="19"/>
              </w:rPr>
              <w:t xml:space="preserve">Regla</w:t>
            </w:r>
          </w:p>
        </w:tc>
        <w:tc>
          <w:tcPr>
            <w:tcW w:type="pct" w:w="700"/>
            <w:shd w:fill="1C3A5C" w:val="clear"/>
            <w:tcMar>
              <w:top w:type="dxa" w:w="80"/>
              <w:left w:type="dxa" w:w="120"/>
              <w:bottom w:type="dxa" w:w="80"/>
              <w:right w:type="dxa" w:w="120"/>
            </w:tcMar>
          </w:tcPr>
          <w:p>
            <w:r>
              <w:rPr>
                <w:b/>
                <w:bCs/>
                <w:color w:val="FFFFFF"/>
                <w:sz w:val="19"/>
                <w:szCs w:val="19"/>
              </w:rPr>
              <w:t xml:space="preserve">Umbral</w:t>
            </w:r>
          </w:p>
        </w:tc>
        <w:tc>
          <w:tcPr>
            <w:tcW w:type="pct" w:w="900"/>
            <w:shd w:fill="1C3A5C" w:val="clear"/>
            <w:tcMar>
              <w:top w:type="dxa" w:w="80"/>
              <w:left w:type="dxa" w:w="120"/>
              <w:bottom w:type="dxa" w:w="80"/>
              <w:right w:type="dxa" w:w="120"/>
            </w:tcMar>
          </w:tcPr>
          <w:p>
            <w:r>
              <w:rPr>
                <w:b/>
                <w:bCs/>
                <w:color w:val="FFFFFF"/>
                <w:sz w:val="19"/>
                <w:szCs w:val="19"/>
              </w:rPr>
              <w:t xml:space="preserve">Noticias reales</w:t>
            </w:r>
          </w:p>
        </w:tc>
        <w:tc>
          <w:tcPr>
            <w:tcW w:type="pct" w:w="1100"/>
            <w:shd w:fill="1C3A5C" w:val="clear"/>
            <w:tcMar>
              <w:top w:type="dxa" w:w="80"/>
              <w:left w:type="dxa" w:w="120"/>
              <w:bottom w:type="dxa" w:w="80"/>
              <w:right w:type="dxa" w:w="120"/>
            </w:tcMar>
          </w:tcPr>
          <w:p>
            <w:r>
              <w:rPr>
                <w:b/>
                <w:bCs/>
                <w:color w:val="FFFFFF"/>
                <w:sz w:val="19"/>
                <w:szCs w:val="19"/>
              </w:rPr>
              <w:t xml:space="preserve">Notas mezcladas al azar</w:t>
            </w:r>
          </w:p>
        </w:tc>
      </w:tr>
      <w:tr>
        <w:trPr>
          <w:cantSplit/>
        </w:trPr>
        <w:tc>
          <w:tcPr>
            <w:tcW w:type="pct" w:w="2300"/>
            <w:shd w:fill="FFFFFF" w:val="clear"/>
            <w:tcMar>
              <w:top w:type="dxa" w:w="70"/>
              <w:left w:type="dxa" w:w="120"/>
              <w:bottom w:type="dxa" w:w="70"/>
              <w:right w:type="dxa" w:w="120"/>
            </w:tcMar>
          </w:tcPr>
          <w:p>
            <w:r>
              <w:rPr>
                <w:sz w:val="19"/>
                <w:szCs w:val="19"/>
              </w:rPr>
              <w:t xml:space="preserve">Desvío de los días previos</w:t>
            </w:r>
          </w:p>
        </w:tc>
        <w:tc>
          <w:tcPr>
            <w:tcW w:type="pct" w:w="700"/>
            <w:shd w:fill="FFFFFF" w:val="clear"/>
            <w:tcMar>
              <w:top w:type="dxa" w:w="70"/>
              <w:left w:type="dxa" w:w="120"/>
              <w:bottom w:type="dxa" w:w="70"/>
              <w:right w:type="dxa" w:w="120"/>
            </w:tcMar>
          </w:tcPr>
          <w:p>
            <w:r>
              <w:rPr>
                <w:sz w:val="19"/>
                <w:szCs w:val="19"/>
              </w:rPr>
              <w:t xml:space="preserve">1,5</w:t>
            </w:r>
          </w:p>
        </w:tc>
        <w:tc>
          <w:tcPr>
            <w:tcW w:type="pct" w:w="900"/>
            <w:shd w:fill="FFFFFF" w:val="clear"/>
            <w:tcMar>
              <w:top w:type="dxa" w:w="70"/>
              <w:left w:type="dxa" w:w="120"/>
              <w:bottom w:type="dxa" w:w="70"/>
              <w:right w:type="dxa" w:w="120"/>
            </w:tcMar>
          </w:tcPr>
          <w:p>
            <w:r>
              <w:rPr>
                <w:sz w:val="19"/>
                <w:szCs w:val="19"/>
              </w:rPr>
              <w:t xml:space="preserve">50</w:t>
            </w:r>
          </w:p>
        </w:tc>
        <w:tc>
          <w:tcPr>
            <w:tcW w:type="pct" w:w="1100"/>
            <w:shd w:fill="FFFFFF" w:val="clear"/>
            <w:tcMar>
              <w:top w:type="dxa" w:w="70"/>
              <w:left w:type="dxa" w:w="120"/>
              <w:bottom w:type="dxa" w:w="70"/>
              <w:right w:type="dxa" w:w="120"/>
            </w:tcMar>
          </w:tcPr>
          <w:p>
            <w:r>
              <w:rPr>
                <w:sz w:val="19"/>
                <w:szCs w:val="19"/>
              </w:rPr>
              <w:t xml:space="preserve">35,4</w:t>
            </w:r>
          </w:p>
        </w:tc>
      </w:tr>
      <w:tr>
        <w:trPr>
          <w:cantSplit/>
        </w:trPr>
        <w:tc>
          <w:tcPr>
            <w:tcW w:type="pct" w:w="2300"/>
            <w:shd w:fill="FAFCFD" w:val="clear"/>
            <w:tcMar>
              <w:top w:type="dxa" w:w="70"/>
              <w:left w:type="dxa" w:w="120"/>
              <w:bottom w:type="dxa" w:w="70"/>
              <w:right w:type="dxa" w:w="120"/>
            </w:tcMar>
          </w:tcPr>
          <w:p>
            <w:r>
              <w:rPr>
                <w:sz w:val="19"/>
                <w:szCs w:val="19"/>
              </w:rPr>
              <w:t xml:space="preserve">Desvío de los días previos</w:t>
            </w:r>
          </w:p>
        </w:tc>
        <w:tc>
          <w:tcPr>
            <w:tcW w:type="pct" w:w="700"/>
            <w:shd w:fill="FAFCFD" w:val="clear"/>
            <w:tcMar>
              <w:top w:type="dxa" w:w="70"/>
              <w:left w:type="dxa" w:w="120"/>
              <w:bottom w:type="dxa" w:w="70"/>
              <w:right w:type="dxa" w:w="120"/>
            </w:tcMar>
          </w:tcPr>
          <w:p>
            <w:r>
              <w:rPr>
                <w:sz w:val="19"/>
                <w:szCs w:val="19"/>
              </w:rPr>
              <w:t xml:space="preserve">2,0</w:t>
            </w:r>
          </w:p>
        </w:tc>
        <w:tc>
          <w:tcPr>
            <w:tcW w:type="pct" w:w="900"/>
            <w:shd w:fill="FAFCFD" w:val="clear"/>
            <w:tcMar>
              <w:top w:type="dxa" w:w="70"/>
              <w:left w:type="dxa" w:w="120"/>
              <w:bottom w:type="dxa" w:w="70"/>
              <w:right w:type="dxa" w:w="120"/>
            </w:tcMar>
          </w:tcPr>
          <w:p>
            <w:r>
              <w:rPr>
                <w:sz w:val="19"/>
                <w:szCs w:val="19"/>
              </w:rPr>
              <w:t xml:space="preserve">15</w:t>
            </w:r>
          </w:p>
        </w:tc>
        <w:tc>
          <w:tcPr>
            <w:tcW w:type="pct" w:w="1100"/>
            <w:shd w:fill="FAFCFD" w:val="clear"/>
            <w:tcMar>
              <w:top w:type="dxa" w:w="70"/>
              <w:left w:type="dxa" w:w="120"/>
              <w:bottom w:type="dxa" w:w="70"/>
              <w:right w:type="dxa" w:w="120"/>
            </w:tcMar>
          </w:tcPr>
          <w:p>
            <w:r>
              <w:rPr>
                <w:sz w:val="19"/>
                <w:szCs w:val="19"/>
              </w:rPr>
              <w:t xml:space="preserve">16,1</w:t>
            </w:r>
          </w:p>
        </w:tc>
      </w:tr>
      <w:tr>
        <w:trPr>
          <w:cantSplit/>
        </w:trPr>
        <w:tc>
          <w:tcPr>
            <w:tcW w:type="pct" w:w="2300"/>
            <w:shd w:fill="FFFFFF" w:val="clear"/>
            <w:tcMar>
              <w:top w:type="dxa" w:w="70"/>
              <w:left w:type="dxa" w:w="120"/>
              <w:bottom w:type="dxa" w:w="70"/>
              <w:right w:type="dxa" w:w="120"/>
            </w:tcMar>
          </w:tcPr>
          <w:p>
            <w:r>
              <w:rPr>
                <w:sz w:val="19"/>
                <w:szCs w:val="19"/>
              </w:rPr>
              <w:t xml:space="preserve">Desvío de los días previos</w:t>
            </w:r>
          </w:p>
        </w:tc>
        <w:tc>
          <w:tcPr>
            <w:tcW w:type="pct" w:w="700"/>
            <w:shd w:fill="FFFFFF" w:val="clear"/>
            <w:tcMar>
              <w:top w:type="dxa" w:w="70"/>
              <w:left w:type="dxa" w:w="120"/>
              <w:bottom w:type="dxa" w:w="70"/>
              <w:right w:type="dxa" w:w="120"/>
            </w:tcMar>
          </w:tcPr>
          <w:p>
            <w:r>
              <w:rPr>
                <w:sz w:val="19"/>
                <w:szCs w:val="19"/>
              </w:rPr>
              <w:t xml:space="preserve">2,5</w:t>
            </w:r>
          </w:p>
        </w:tc>
        <w:tc>
          <w:tcPr>
            <w:tcW w:type="pct" w:w="900"/>
            <w:shd w:fill="FFFFFF" w:val="clear"/>
            <w:tcMar>
              <w:top w:type="dxa" w:w="70"/>
              <w:left w:type="dxa" w:w="120"/>
              <w:bottom w:type="dxa" w:w="70"/>
              <w:right w:type="dxa" w:w="120"/>
            </w:tcMar>
          </w:tcPr>
          <w:p>
            <w:r>
              <w:rPr>
                <w:sz w:val="19"/>
                <w:szCs w:val="19"/>
              </w:rPr>
              <w:t xml:space="preserve">4</w:t>
            </w:r>
          </w:p>
        </w:tc>
        <w:tc>
          <w:tcPr>
            <w:tcW w:type="pct" w:w="1100"/>
            <w:shd w:fill="FFFFFF" w:val="clear"/>
            <w:tcMar>
              <w:top w:type="dxa" w:w="70"/>
              <w:left w:type="dxa" w:w="120"/>
              <w:bottom w:type="dxa" w:w="70"/>
              <w:right w:type="dxa" w:w="120"/>
            </w:tcMar>
          </w:tcPr>
          <w:p>
            <w:r>
              <w:rPr>
                <w:sz w:val="19"/>
                <w:szCs w:val="19"/>
              </w:rPr>
              <w:t xml:space="preserve">7,1</w:t>
            </w:r>
          </w:p>
        </w:tc>
      </w:tr>
      <w:tr>
        <w:trPr>
          <w:cantSplit/>
        </w:trPr>
        <w:tc>
          <w:tcPr>
            <w:tcW w:type="pct" w:w="2300"/>
            <w:shd w:fill="FAFCFD" w:val="clear"/>
            <w:tcMar>
              <w:top w:type="dxa" w:w="70"/>
              <w:left w:type="dxa" w:w="120"/>
              <w:bottom w:type="dxa" w:w="70"/>
              <w:right w:type="dxa" w:w="120"/>
            </w:tcMar>
          </w:tcPr>
          <w:p>
            <w:r>
              <w:rPr>
                <w:sz w:val="19"/>
                <w:szCs w:val="19"/>
              </w:rPr>
              <w:t xml:space="preserve">Desvío de los días previos</w:t>
            </w:r>
          </w:p>
        </w:tc>
        <w:tc>
          <w:tcPr>
            <w:tcW w:type="pct" w:w="700"/>
            <w:shd w:fill="FAFCFD" w:val="clear"/>
            <w:tcMar>
              <w:top w:type="dxa" w:w="70"/>
              <w:left w:type="dxa" w:w="120"/>
              <w:bottom w:type="dxa" w:w="70"/>
              <w:right w:type="dxa" w:w="120"/>
            </w:tcMar>
          </w:tcPr>
          <w:p>
            <w:r>
              <w:rPr>
                <w:sz w:val="19"/>
                <w:szCs w:val="19"/>
              </w:rPr>
              <w:t xml:space="preserve">3,0</w:t>
            </w:r>
          </w:p>
        </w:tc>
        <w:tc>
          <w:tcPr>
            <w:tcW w:type="pct" w:w="900"/>
            <w:shd w:fill="FAFCFD" w:val="clear"/>
            <w:tcMar>
              <w:top w:type="dxa" w:w="70"/>
              <w:left w:type="dxa" w:w="120"/>
              <w:bottom w:type="dxa" w:w="70"/>
              <w:right w:type="dxa" w:w="120"/>
            </w:tcMar>
          </w:tcPr>
          <w:p>
            <w:r>
              <w:rPr>
                <w:sz w:val="19"/>
                <w:szCs w:val="19"/>
              </w:rPr>
              <w:t xml:space="preserve">2</w:t>
            </w:r>
          </w:p>
        </w:tc>
        <w:tc>
          <w:tcPr>
            <w:tcW w:type="pct" w:w="1100"/>
            <w:shd w:fill="FAFCFD" w:val="clear"/>
            <w:tcMar>
              <w:top w:type="dxa" w:w="70"/>
              <w:left w:type="dxa" w:w="120"/>
              <w:bottom w:type="dxa" w:w="70"/>
              <w:right w:type="dxa" w:w="120"/>
            </w:tcMar>
          </w:tcPr>
          <w:p>
            <w:r>
              <w:rPr>
                <w:sz w:val="19"/>
                <w:szCs w:val="19"/>
              </w:rPr>
              <w:t xml:space="preserve">2,9</w:t>
            </w:r>
          </w:p>
        </w:tc>
      </w:tr>
      <w:tr>
        <w:trPr>
          <w:cantSplit/>
        </w:trPr>
        <w:tc>
          <w:tcPr>
            <w:tcW w:type="pct" w:w="2300"/>
            <w:shd w:fill="FFFFFF" w:val="clear"/>
            <w:tcMar>
              <w:top w:type="dxa" w:w="70"/>
              <w:left w:type="dxa" w:w="120"/>
              <w:bottom w:type="dxa" w:w="70"/>
              <w:right w:type="dxa" w:w="120"/>
            </w:tcMar>
          </w:tcPr>
          <w:p>
            <w:r>
              <w:rPr>
                <w:sz w:val="19"/>
                <w:szCs w:val="19"/>
              </w:rPr>
              <w:t xml:space="preserve">Por muestreo</w:t>
            </w:r>
          </w:p>
        </w:tc>
        <w:tc>
          <w:tcPr>
            <w:tcW w:type="pct" w:w="700"/>
            <w:shd w:fill="FFFFFF" w:val="clear"/>
            <w:tcMar>
              <w:top w:type="dxa" w:w="70"/>
              <w:left w:type="dxa" w:w="120"/>
              <w:bottom w:type="dxa" w:w="70"/>
              <w:right w:type="dxa" w:w="120"/>
            </w:tcMar>
          </w:tcPr>
          <w:p>
            <w:r>
              <w:rPr>
                <w:sz w:val="19"/>
                <w:szCs w:val="19"/>
              </w:rPr>
              <w:t xml:space="preserve">2,0</w:t>
            </w:r>
          </w:p>
        </w:tc>
        <w:tc>
          <w:tcPr>
            <w:tcW w:type="pct" w:w="900"/>
            <w:shd w:fill="FFFFFF" w:val="clear"/>
            <w:tcMar>
              <w:top w:type="dxa" w:w="70"/>
              <w:left w:type="dxa" w:w="120"/>
              <w:bottom w:type="dxa" w:w="70"/>
              <w:right w:type="dxa" w:w="120"/>
            </w:tcMar>
          </w:tcPr>
          <w:p>
            <w:r>
              <w:rPr>
                <w:sz w:val="19"/>
                <w:szCs w:val="19"/>
              </w:rPr>
              <w:t xml:space="preserve">35</w:t>
            </w:r>
          </w:p>
        </w:tc>
        <w:tc>
          <w:tcPr>
            <w:tcW w:type="pct" w:w="1100"/>
            <w:shd w:fill="FFFFFF" w:val="clear"/>
            <w:tcMar>
              <w:top w:type="dxa" w:w="70"/>
              <w:left w:type="dxa" w:w="120"/>
              <w:bottom w:type="dxa" w:w="70"/>
              <w:right w:type="dxa" w:w="120"/>
            </w:tcMar>
          </w:tcPr>
          <w:p>
            <w:r>
              <w:rPr>
                <w:sz w:val="19"/>
                <w:szCs w:val="19"/>
              </w:rPr>
              <w:t xml:space="preserve">11,6</w:t>
            </w:r>
          </w:p>
        </w:tc>
      </w:tr>
      <w:tr>
        <w:trPr>
          <w:cantSplit/>
        </w:trPr>
        <w:tc>
          <w:tcPr>
            <w:tcW w:type="pct" w:w="2300"/>
            <w:shd w:fill="FAFCFD" w:val="clear"/>
            <w:tcMar>
              <w:top w:type="dxa" w:w="70"/>
              <w:left w:type="dxa" w:w="120"/>
              <w:bottom w:type="dxa" w:w="70"/>
              <w:right w:type="dxa" w:w="120"/>
            </w:tcMar>
          </w:tcPr>
          <w:p>
            <w:r>
              <w:rPr>
                <w:b/>
                <w:bCs/>
              </w:rPr>
              <w:t xml:space="preserve">Por muestreo (elegida)</w:t>
            </w:r>
          </w:p>
        </w:tc>
        <w:tc>
          <w:tcPr>
            <w:tcW w:type="pct" w:w="700"/>
            <w:shd w:fill="FAFCFD" w:val="clear"/>
            <w:tcMar>
              <w:top w:type="dxa" w:w="70"/>
              <w:left w:type="dxa" w:w="120"/>
              <w:bottom w:type="dxa" w:w="70"/>
              <w:right w:type="dxa" w:w="120"/>
            </w:tcMar>
          </w:tcPr>
          <w:p>
            <w:r>
              <w:rPr>
                <w:sz w:val="19"/>
                <w:szCs w:val="19"/>
              </w:rPr>
              <w:t xml:space="preserve">2,5</w:t>
            </w:r>
          </w:p>
        </w:tc>
        <w:tc>
          <w:tcPr>
            <w:tcW w:type="pct" w:w="900"/>
            <w:shd w:fill="FAFCFD" w:val="clear"/>
            <w:tcMar>
              <w:top w:type="dxa" w:w="70"/>
              <w:left w:type="dxa" w:w="120"/>
              <w:bottom w:type="dxa" w:w="70"/>
              <w:right w:type="dxa" w:w="120"/>
            </w:tcMar>
          </w:tcPr>
          <w:p>
            <w:r>
              <w:rPr>
                <w:sz w:val="19"/>
                <w:szCs w:val="19"/>
              </w:rPr>
              <w:t xml:space="preserve">19</w:t>
            </w:r>
          </w:p>
        </w:tc>
        <w:tc>
          <w:tcPr>
            <w:tcW w:type="pct" w:w="1100"/>
            <w:shd w:fill="FAFCFD" w:val="clear"/>
            <w:tcMar>
              <w:top w:type="dxa" w:w="70"/>
              <w:left w:type="dxa" w:w="120"/>
              <w:bottom w:type="dxa" w:w="70"/>
              <w:right w:type="dxa" w:w="120"/>
            </w:tcMar>
          </w:tcPr>
          <w:p>
            <w:r>
              <w:rPr>
                <w:sz w:val="19"/>
                <w:szCs w:val="19"/>
              </w:rPr>
              <w:t xml:space="preserve">3,5</w:t>
            </w:r>
          </w:p>
        </w:tc>
      </w:tr>
      <w:tr>
        <w:trPr>
          <w:cantSplit/>
        </w:trPr>
        <w:tc>
          <w:tcPr>
            <w:tcW w:type="pct" w:w="2300"/>
            <w:shd w:fill="FFFFFF" w:val="clear"/>
            <w:tcMar>
              <w:top w:type="dxa" w:w="70"/>
              <w:left w:type="dxa" w:w="120"/>
              <w:bottom w:type="dxa" w:w="70"/>
              <w:right w:type="dxa" w:w="120"/>
            </w:tcMar>
          </w:tcPr>
          <w:p>
            <w:r>
              <w:rPr>
                <w:sz w:val="19"/>
                <w:szCs w:val="19"/>
              </w:rPr>
              <w:t xml:space="preserve">Por muestreo</w:t>
            </w:r>
          </w:p>
        </w:tc>
        <w:tc>
          <w:tcPr>
            <w:tcW w:type="pct" w:w="700"/>
            <w:shd w:fill="FFFFFF" w:val="clear"/>
            <w:tcMar>
              <w:top w:type="dxa" w:w="70"/>
              <w:left w:type="dxa" w:w="120"/>
              <w:bottom w:type="dxa" w:w="70"/>
              <w:right w:type="dxa" w:w="120"/>
            </w:tcMar>
          </w:tcPr>
          <w:p>
            <w:r>
              <w:rPr>
                <w:sz w:val="19"/>
                <w:szCs w:val="19"/>
              </w:rPr>
              <w:t xml:space="preserve">3,0</w:t>
            </w:r>
          </w:p>
        </w:tc>
        <w:tc>
          <w:tcPr>
            <w:tcW w:type="pct" w:w="900"/>
            <w:shd w:fill="FFFFFF" w:val="clear"/>
            <w:tcMar>
              <w:top w:type="dxa" w:w="70"/>
              <w:left w:type="dxa" w:w="120"/>
              <w:bottom w:type="dxa" w:w="70"/>
              <w:right w:type="dxa" w:w="120"/>
            </w:tcMar>
          </w:tcPr>
          <w:p>
            <w:r>
              <w:rPr>
                <w:sz w:val="19"/>
                <w:szCs w:val="19"/>
              </w:rPr>
              <w:t xml:space="preserve">8</w:t>
            </w:r>
          </w:p>
        </w:tc>
        <w:tc>
          <w:tcPr>
            <w:tcW w:type="pct" w:w="1100"/>
            <w:shd w:fill="FFFFFF" w:val="clear"/>
            <w:tcMar>
              <w:top w:type="dxa" w:w="70"/>
              <w:left w:type="dxa" w:w="120"/>
              <w:bottom w:type="dxa" w:w="70"/>
              <w:right w:type="dxa" w:w="120"/>
            </w:tcMar>
          </w:tcPr>
          <w:p>
            <w:r>
              <w:rPr>
                <w:sz w:val="19"/>
                <w:szCs w:val="19"/>
              </w:rPr>
              <w:t xml:space="preserve">0,8</w:t>
            </w:r>
          </w:p>
        </w:tc>
      </w:tr>
      <w:tr>
        <w:trPr>
          <w:cantSplit/>
        </w:trPr>
        <w:tc>
          <w:tcPr>
            <w:tcW w:type="pct" w:w="2300"/>
            <w:shd w:fill="FAFCFD" w:val="clear"/>
            <w:tcMar>
              <w:top w:type="dxa" w:w="70"/>
              <w:left w:type="dxa" w:w="120"/>
              <w:bottom w:type="dxa" w:w="70"/>
              <w:right w:type="dxa" w:w="120"/>
            </w:tcMar>
          </w:tcPr>
          <w:p>
            <w:r>
              <w:rPr>
                <w:sz w:val="19"/>
                <w:szCs w:val="19"/>
              </w:rPr>
              <w:t xml:space="preserve">Por muestreo</w:t>
            </w:r>
          </w:p>
        </w:tc>
        <w:tc>
          <w:tcPr>
            <w:tcW w:type="pct" w:w="700"/>
            <w:shd w:fill="FAFCFD" w:val="clear"/>
            <w:tcMar>
              <w:top w:type="dxa" w:w="70"/>
              <w:left w:type="dxa" w:w="120"/>
              <w:bottom w:type="dxa" w:w="70"/>
              <w:right w:type="dxa" w:w="120"/>
            </w:tcMar>
          </w:tcPr>
          <w:p>
            <w:r>
              <w:rPr>
                <w:sz w:val="19"/>
                <w:szCs w:val="19"/>
              </w:rPr>
              <w:t xml:space="preserve">3,5</w:t>
            </w:r>
          </w:p>
        </w:tc>
        <w:tc>
          <w:tcPr>
            <w:tcW w:type="pct" w:w="900"/>
            <w:shd w:fill="FAFCFD" w:val="clear"/>
            <w:tcMar>
              <w:top w:type="dxa" w:w="70"/>
              <w:left w:type="dxa" w:w="120"/>
              <w:bottom w:type="dxa" w:w="70"/>
              <w:right w:type="dxa" w:w="120"/>
            </w:tcMar>
          </w:tcPr>
          <w:p>
            <w:r>
              <w:rPr>
                <w:sz w:val="19"/>
                <w:szCs w:val="19"/>
              </w:rPr>
              <w:t xml:space="preserve">5</w:t>
            </w:r>
          </w:p>
        </w:tc>
        <w:tc>
          <w:tcPr>
            <w:tcW w:type="pct" w:w="1100"/>
            <w:shd w:fill="FAFCFD" w:val="clear"/>
            <w:tcMar>
              <w:top w:type="dxa" w:w="70"/>
              <w:left w:type="dxa" w:w="120"/>
              <w:bottom w:type="dxa" w:w="70"/>
              <w:right w:type="dxa" w:w="120"/>
            </w:tcMar>
          </w:tcPr>
          <w:p>
            <w:r>
              <w:rPr>
                <w:sz w:val="19"/>
                <w:szCs w:val="19"/>
              </w:rPr>
              <w:t xml:space="preserve">0,2</w:t>
            </w:r>
          </w:p>
        </w:tc>
      </w:tr>
      <w:tr>
        <w:trPr>
          <w:cantSplit/>
        </w:trPr>
        <w:tc>
          <w:tcPr>
            <w:tcW w:type="pct" w:w="2300"/>
            <w:shd w:fill="FFFFFF" w:val="clear"/>
            <w:tcMar>
              <w:top w:type="dxa" w:w="70"/>
              <w:left w:type="dxa" w:w="120"/>
              <w:bottom w:type="dxa" w:w="70"/>
              <w:right w:type="dxa" w:w="120"/>
            </w:tcMar>
          </w:tcPr>
          <w:p>
            <w:r>
              <w:rPr>
                <w:sz w:val="19"/>
                <w:szCs w:val="19"/>
              </w:rPr>
              <w:t xml:space="preserve">Regla original de Gino (7 días, incluye el día)</w:t>
            </w:r>
          </w:p>
        </w:tc>
        <w:tc>
          <w:tcPr>
            <w:tcW w:type="pct" w:w="700"/>
            <w:shd w:fill="FFFFFF" w:val="clear"/>
            <w:tcMar>
              <w:top w:type="dxa" w:w="70"/>
              <w:left w:type="dxa" w:w="120"/>
              <w:bottom w:type="dxa" w:w="70"/>
              <w:right w:type="dxa" w:w="120"/>
            </w:tcMar>
          </w:tcPr>
          <w:p>
            <w:r>
              <w:rPr>
                <w:sz w:val="19"/>
                <w:szCs w:val="19"/>
              </w:rPr>
              <w:t xml:space="preserve">1,5</w:t>
            </w:r>
          </w:p>
        </w:tc>
        <w:tc>
          <w:tcPr>
            <w:tcW w:type="pct" w:w="900"/>
            <w:shd w:fill="FFFFFF" w:val="clear"/>
            <w:tcMar>
              <w:top w:type="dxa" w:w="70"/>
              <w:left w:type="dxa" w:w="120"/>
              <w:bottom w:type="dxa" w:w="70"/>
              <w:right w:type="dxa" w:w="120"/>
            </w:tcMar>
          </w:tcPr>
          <w:p>
            <w:r>
              <w:rPr>
                <w:sz w:val="19"/>
                <w:szCs w:val="19"/>
              </w:rPr>
              <w:t xml:space="preserve">33</w:t>
            </w:r>
          </w:p>
        </w:tc>
        <w:tc>
          <w:tcPr>
            <w:tcW w:type="pct" w:w="1100"/>
            <w:shd w:fill="FFFFFF" w:val="clear"/>
            <w:tcMar>
              <w:top w:type="dxa" w:w="70"/>
              <w:left w:type="dxa" w:w="120"/>
              <w:bottom w:type="dxa" w:w="70"/>
              <w:right w:type="dxa" w:w="120"/>
            </w:tcMar>
          </w:tcPr>
          <w:p>
            <w:r>
              <w:rPr>
                <w:sz w:val="19"/>
                <w:szCs w:val="19"/>
              </w:rPr>
              <w:t xml:space="preserve">25,8</w:t>
            </w:r>
          </w:p>
        </w:tc>
      </w:tr>
    </w:tbl>
    <w:p>
      <w:pPr>
        <w:spacing w:after="160"/>
        <w:jc w:val="center"/>
      </w:pPr>
      <w:r>
        <w:drawing>
          <wp:inline distT="0" distB="0" distL="0" distR="0">
            <wp:extent cx="5334000" cy="2038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38350"/>
                    </a:xfrm>
                    <a:prstGeom prst="rect">
                      <a:avLst/>
                    </a:prstGeom>
                  </pic:spPr>
                </pic:pic>
              </a:graphicData>
            </a:graphic>
          </wp:inline>
        </w:drawing>
      </w:r>
    </w:p>
    <w:p>
      <w:pPr>
        <w:spacing w:after="160" w:line="300"/>
      </w:pPr>
      <w:r>
        <w:t xml:space="preserve">La regla 1, en todas sus variantes, marca casi lo mismo que el azar. La regla 2 marca bastante más. El criterio, fijado antes de mirar el resultado, fue: ventana de 20 ruedas (la del VIX y la volatilidad del lado bursátil) y el umbral que más shocks detecta con a lo sumo 20% de falsos esperados. Quedó el umbral 2,5: 19 shocks, contra 3,5 esperables por azar (18,2%).</w:t>
      </w:r>
    </w:p>
    <w:p>
      <w:pPr>
        <w:pStyle w:val="Heading1"/>
        <w:keepNext/>
        <w:spacing w:after="160" w:before="360"/>
      </w:pPr>
      <w:r>
        <w:t xml:space="preserve">5. Qué significan esos shocks (decisión A)</w:t>
      </w:r>
    </w:p>
    <w:p>
      <w:pPr>
        <w:spacing w:after="160" w:line="300"/>
      </w:pPr>
      <w:r>
        <w:t xml:space="preserve">La mezcla al azar supone que las notas de un mismo día son independientes, como personas encuestadas al azar. No lo son: un mismo día todos los medios hablan de los mismos temas, como si en una encuesta se preguntara a varios integrantes de una misma familia. Por eso todos los días varían más de lo que predice su cantidad de notas.</w:t>
      </w:r>
    </w:p>
    <w:p>
      <w:pPr>
        <w:spacing w:after="160" w:line="300"/>
      </w:pPr>
      <w:r>
        <w:t xml:space="preserve">Medido: la distancia de cada rueda a lo habitual, en "veces la casualidad", tiene un desvío de 1,46 en lugar de 1, y es parejo en casi todas las ruedas (curtosis 0,95, cerca de 0, el valor de una normal). Teniendo eso en cuenta, se esperarían 19,2 shocks, prácticamente los 19 que hay.</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Decisión del 24/10/2026</w:t>
            </w:r>
          </w:p>
          <w:p>
            <w:pPr>
              <w:spacing w:after="60" w:line="276"/>
            </w:pPr>
            <w:r>
              <w:t xml:space="preserve">Los 19 shocks se usan como las ruedas de tono más extremo del período (el 8% más alejado de lo habitual), no como días estadísticamente excepcionales. El event study (U7) pregunta si en esas ruedas se mueve el mercado. En U8 se repite con umbral 3, que deja solo las 8 más extremas.</w:t>
            </w:r>
          </w:p>
        </w:tc>
      </w:tr>
    </w:tbl>
    <w:p>
      <w:pPr>
        <w:spacing w:after="160" w:line="300"/>
      </w:pPr>
      <w:r>
        <w:t xml:space="preserve">Esto no afecta al análisis principal: el VAR y Granger (U6) usan la serie completa de tono de las 244 ruedas, no los shocks.</w:t>
      </w:r>
    </w:p>
    <w:p>
      <w:pPr>
        <w:pStyle w:val="Heading1"/>
        <w:keepNext/>
        <w:spacing w:after="160" w:before="360"/>
      </w:pPr>
      <w:r>
        <w:t xml:space="preserve">6. Las ruedas de tono extremo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964"/>
        <w:gridCol w:w="1446"/>
        <w:gridCol w:w="1253"/>
        <w:gridCol w:w="1928"/>
        <w:gridCol w:w="964"/>
        <w:gridCol w:w="1349"/>
        <w:gridCol w:w="1735"/>
      </w:tblGrid>
      <w:tr>
        <w:trPr>
          <w:tblHeader/>
        </w:trPr>
        <w:tc>
          <w:tcPr>
            <w:tcW w:type="pct" w:w="500"/>
            <w:shd w:fill="1C3A5C" w:val="clear"/>
            <w:tcMar>
              <w:top w:type="dxa" w:w="80"/>
              <w:left w:type="dxa" w:w="120"/>
              <w:bottom w:type="dxa" w:w="80"/>
              <w:right w:type="dxa" w:w="120"/>
            </w:tcMar>
          </w:tcPr>
          <w:p>
            <w:r>
              <w:rPr>
                <w:b/>
                <w:bCs/>
                <w:color w:val="FFFFFF"/>
                <w:sz w:val="19"/>
                <w:szCs w:val="19"/>
              </w:rPr>
              <w:t xml:space="preserve">Evento</w:t>
            </w:r>
          </w:p>
        </w:tc>
        <w:tc>
          <w:tcPr>
            <w:tcW w:type="pct" w:w="750"/>
            <w:shd w:fill="1C3A5C" w:val="clear"/>
            <w:tcMar>
              <w:top w:type="dxa" w:w="80"/>
              <w:left w:type="dxa" w:w="120"/>
              <w:bottom w:type="dxa" w:w="80"/>
              <w:right w:type="dxa" w:w="120"/>
            </w:tcMar>
          </w:tcPr>
          <w:p>
            <w:r>
              <w:rPr>
                <w:b/>
                <w:bCs/>
                <w:color w:val="FFFFFF"/>
                <w:sz w:val="19"/>
                <w:szCs w:val="19"/>
              </w:rPr>
              <w:t xml:space="preserve">Rueda</w:t>
            </w:r>
          </w:p>
        </w:tc>
        <w:tc>
          <w:tcPr>
            <w:tcW w:type="pct" w:w="650"/>
            <w:shd w:fill="1C3A5C" w:val="clear"/>
            <w:tcMar>
              <w:top w:type="dxa" w:w="80"/>
              <w:left w:type="dxa" w:w="120"/>
              <w:bottom w:type="dxa" w:w="80"/>
              <w:right w:type="dxa" w:w="120"/>
            </w:tcMar>
          </w:tcPr>
          <w:p>
            <w:r>
              <w:rPr>
                <w:b/>
                <w:bCs/>
                <w:color w:val="FFFFFF"/>
                <w:sz w:val="19"/>
                <w:szCs w:val="19"/>
              </w:rPr>
              <w:t xml:space="preserve">Tipo</w:t>
            </w:r>
          </w:p>
        </w:tc>
        <w:tc>
          <w:tcPr>
            <w:tcW w:type="pct" w:w="1000"/>
            <w:shd w:fill="1C3A5C" w:val="clear"/>
            <w:tcMar>
              <w:top w:type="dxa" w:w="80"/>
              <w:left w:type="dxa" w:w="120"/>
              <w:bottom w:type="dxa" w:w="80"/>
              <w:right w:type="dxa" w:w="120"/>
            </w:tcMar>
          </w:tcPr>
          <w:p>
            <w:r>
              <w:rPr>
                <w:b/>
                <w:bCs/>
                <w:color w:val="FFFFFF"/>
                <w:sz w:val="19"/>
                <w:szCs w:val="19"/>
              </w:rPr>
              <w:t xml:space="preserve">Distancia (veces la casualidad)</w:t>
            </w:r>
          </w:p>
        </w:tc>
        <w:tc>
          <w:tcPr>
            <w:tcW w:type="pct" w:w="500"/>
            <w:shd w:fill="1C3A5C" w:val="clear"/>
            <w:tcMar>
              <w:top w:type="dxa" w:w="80"/>
              <w:left w:type="dxa" w:w="120"/>
              <w:bottom w:type="dxa" w:w="80"/>
              <w:right w:type="dxa" w:w="120"/>
            </w:tcMar>
          </w:tcPr>
          <w:p>
            <w:r>
              <w:rPr>
                <w:b/>
                <w:bCs/>
                <w:color w:val="FFFFFF"/>
                <w:sz w:val="19"/>
                <w:szCs w:val="19"/>
              </w:rPr>
              <w:t xml:space="preserve">Notas</w:t>
            </w:r>
          </w:p>
        </w:tc>
        <w:tc>
          <w:tcPr>
            <w:tcW w:type="pct" w:w="700"/>
            <w:shd w:fill="1C3A5C" w:val="clear"/>
            <w:tcMar>
              <w:top w:type="dxa" w:w="80"/>
              <w:left w:type="dxa" w:w="120"/>
              <w:bottom w:type="dxa" w:w="80"/>
              <w:right w:type="dxa" w:w="120"/>
            </w:tcMar>
          </w:tcPr>
          <w:p>
            <w:r>
              <w:rPr>
                <w:b/>
                <w:bCs/>
                <w:color w:val="FFFFFF"/>
                <w:sz w:val="19"/>
                <w:szCs w:val="19"/>
              </w:rPr>
              <w:t xml:space="preserve">Día electoral</w:t>
            </w:r>
          </w:p>
        </w:tc>
        <w:tc>
          <w:tcPr>
            <w:tcW w:type="pct" w:w="900"/>
            <w:shd w:fill="1C3A5C" w:val="clear"/>
            <w:tcMar>
              <w:top w:type="dxa" w:w="80"/>
              <w:left w:type="dxa" w:w="120"/>
              <w:bottom w:type="dxa" w:w="80"/>
              <w:right w:type="dxa" w:w="120"/>
            </w:tcMar>
          </w:tcPr>
          <w:p>
            <w:r>
              <w:rPr>
                <w:b/>
                <w:bCs/>
                <w:color w:val="FFFFFF"/>
                <w:sz w:val="19"/>
                <w:szCs w:val="19"/>
              </w:rPr>
              <w:t xml:space="preserve">También shock en la serie de Gino</w:t>
            </w:r>
          </w:p>
        </w:tc>
      </w:tr>
      <w:tr>
        <w:trPr>
          <w:cantSplit/>
        </w:trPr>
        <w:tc>
          <w:tcPr>
            <w:tcW w:type="pct" w:w="500"/>
            <w:shd w:fill="FFFFFF" w:val="clear"/>
            <w:tcMar>
              <w:top w:type="dxa" w:w="70"/>
              <w:left w:type="dxa" w:w="120"/>
              <w:bottom w:type="dxa" w:w="70"/>
              <w:right w:type="dxa" w:w="120"/>
            </w:tcMar>
          </w:tcPr>
          <w:p>
            <w:r>
              <w:rPr>
                <w:sz w:val="19"/>
                <w:szCs w:val="19"/>
              </w:rPr>
              <w:t xml:space="preserve">1</w:t>
            </w:r>
          </w:p>
        </w:tc>
        <w:tc>
          <w:tcPr>
            <w:tcW w:type="pct" w:w="750"/>
            <w:shd w:fill="FFFFFF" w:val="clear"/>
            <w:tcMar>
              <w:top w:type="dxa" w:w="70"/>
              <w:left w:type="dxa" w:w="120"/>
              <w:bottom w:type="dxa" w:w="70"/>
              <w:right w:type="dxa" w:w="120"/>
            </w:tcMar>
          </w:tcPr>
          <w:p>
            <w:r>
              <w:rPr>
                <w:sz w:val="19"/>
                <w:szCs w:val="19"/>
              </w:rPr>
              <w:t xml:space="preserve">18/06/2025</w:t>
            </w:r>
          </w:p>
        </w:tc>
        <w:tc>
          <w:tcPr>
            <w:tcW w:type="pct" w:w="650"/>
            <w:shd w:fill="FFFFFF" w:val="clear"/>
            <w:tcMar>
              <w:top w:type="dxa" w:w="70"/>
              <w:left w:type="dxa" w:w="120"/>
              <w:bottom w:type="dxa" w:w="70"/>
              <w:right w:type="dxa" w:w="120"/>
            </w:tcMar>
          </w:tcPr>
          <w:p>
            <w:r>
              <w:rPr>
                <w:sz w:val="19"/>
                <w:szCs w:val="19"/>
              </w:rPr>
              <w:t xml:space="preserve">negativo</w:t>
            </w:r>
          </w:p>
        </w:tc>
        <w:tc>
          <w:tcPr>
            <w:tcW w:type="pct" w:w="1000"/>
            <w:shd w:fill="FFFFFF" w:val="clear"/>
            <w:tcMar>
              <w:top w:type="dxa" w:w="70"/>
              <w:left w:type="dxa" w:w="120"/>
              <w:bottom w:type="dxa" w:w="70"/>
              <w:right w:type="dxa" w:w="120"/>
            </w:tcMar>
          </w:tcPr>
          <w:p>
            <w:r>
              <w:rPr>
                <w:sz w:val="19"/>
                <w:szCs w:val="19"/>
              </w:rPr>
              <w:t xml:space="preserve">-3,12</w:t>
            </w:r>
          </w:p>
        </w:tc>
        <w:tc>
          <w:tcPr>
            <w:tcW w:type="pct" w:w="500"/>
            <w:shd w:fill="FFFFFF" w:val="clear"/>
            <w:tcMar>
              <w:top w:type="dxa" w:w="70"/>
              <w:left w:type="dxa" w:w="120"/>
              <w:bottom w:type="dxa" w:w="70"/>
              <w:right w:type="dxa" w:w="120"/>
            </w:tcMar>
          </w:tcPr>
          <w:p>
            <w:r>
              <w:rPr>
                <w:sz w:val="19"/>
                <w:szCs w:val="19"/>
              </w:rPr>
              <w:t xml:space="preserve">62</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
            </w:r>
          </w:p>
        </w:tc>
      </w:tr>
      <w:tr>
        <w:trPr>
          <w:cantSplit/>
        </w:trPr>
        <w:tc>
          <w:tcPr>
            <w:tcW w:type="pct" w:w="500"/>
            <w:shd w:fill="FAFCFD" w:val="clear"/>
            <w:tcMar>
              <w:top w:type="dxa" w:w="70"/>
              <w:left w:type="dxa" w:w="120"/>
              <w:bottom w:type="dxa" w:w="70"/>
              <w:right w:type="dxa" w:w="120"/>
            </w:tcMar>
          </w:tcPr>
          <w:p>
            <w:r>
              <w:rPr>
                <w:sz w:val="19"/>
                <w:szCs w:val="19"/>
              </w:rPr>
              <w:t xml:space="preserve">2</w:t>
            </w:r>
          </w:p>
        </w:tc>
        <w:tc>
          <w:tcPr>
            <w:tcW w:type="pct" w:w="750"/>
            <w:shd w:fill="FAFCFD" w:val="clear"/>
            <w:tcMar>
              <w:top w:type="dxa" w:w="70"/>
              <w:left w:type="dxa" w:w="120"/>
              <w:bottom w:type="dxa" w:w="70"/>
              <w:right w:type="dxa" w:w="120"/>
            </w:tcMar>
          </w:tcPr>
          <w:p>
            <w:r>
              <w:rPr>
                <w:sz w:val="19"/>
                <w:szCs w:val="19"/>
              </w:rPr>
              <w:t xml:space="preserve">15/09/2025</w:t>
            </w:r>
          </w:p>
        </w:tc>
        <w:tc>
          <w:tcPr>
            <w:tcW w:type="pct" w:w="650"/>
            <w:shd w:fill="FAFCFD" w:val="clear"/>
            <w:tcMar>
              <w:top w:type="dxa" w:w="70"/>
              <w:left w:type="dxa" w:w="120"/>
              <w:bottom w:type="dxa" w:w="70"/>
              <w:right w:type="dxa" w:w="120"/>
            </w:tcMar>
          </w:tcPr>
          <w:p>
            <w:r>
              <w:rPr>
                <w:sz w:val="19"/>
                <w:szCs w:val="19"/>
              </w:rPr>
              <w:t xml:space="preserve">negativo</w:t>
            </w:r>
          </w:p>
        </w:tc>
        <w:tc>
          <w:tcPr>
            <w:tcW w:type="pct" w:w="1000"/>
            <w:shd w:fill="FAFCFD" w:val="clear"/>
            <w:tcMar>
              <w:top w:type="dxa" w:w="70"/>
              <w:left w:type="dxa" w:w="120"/>
              <w:bottom w:type="dxa" w:w="70"/>
              <w:right w:type="dxa" w:w="120"/>
            </w:tcMar>
          </w:tcPr>
          <w:p>
            <w:r>
              <w:rPr>
                <w:sz w:val="19"/>
                <w:szCs w:val="19"/>
              </w:rPr>
              <w:t xml:space="preserve">-2,54</w:t>
            </w:r>
          </w:p>
        </w:tc>
        <w:tc>
          <w:tcPr>
            <w:tcW w:type="pct" w:w="500"/>
            <w:shd w:fill="FAFCFD" w:val="clear"/>
            <w:tcMar>
              <w:top w:type="dxa" w:w="70"/>
              <w:left w:type="dxa" w:w="120"/>
              <w:bottom w:type="dxa" w:w="70"/>
              <w:right w:type="dxa" w:w="120"/>
            </w:tcMar>
          </w:tcPr>
          <w:p>
            <w:r>
              <w:rPr>
                <w:sz w:val="19"/>
                <w:szCs w:val="19"/>
              </w:rPr>
              <w:t xml:space="preserve">74</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3</w:t>
            </w:r>
          </w:p>
        </w:tc>
        <w:tc>
          <w:tcPr>
            <w:tcW w:type="pct" w:w="750"/>
            <w:shd w:fill="FFFFFF" w:val="clear"/>
            <w:tcMar>
              <w:top w:type="dxa" w:w="70"/>
              <w:left w:type="dxa" w:w="120"/>
              <w:bottom w:type="dxa" w:w="70"/>
              <w:right w:type="dxa" w:w="120"/>
            </w:tcMar>
          </w:tcPr>
          <w:p>
            <w:r>
              <w:rPr>
                <w:sz w:val="19"/>
                <w:szCs w:val="19"/>
              </w:rPr>
              <w:t xml:space="preserve">24/09/2025</w:t>
            </w:r>
          </w:p>
        </w:tc>
        <w:tc>
          <w:tcPr>
            <w:tcW w:type="pct" w:w="650"/>
            <w:shd w:fill="FFFFFF" w:val="clear"/>
            <w:tcMar>
              <w:top w:type="dxa" w:w="70"/>
              <w:left w:type="dxa" w:w="120"/>
              <w:bottom w:type="dxa" w:w="70"/>
              <w:right w:type="dxa" w:w="120"/>
            </w:tcMar>
          </w:tcPr>
          <w:p>
            <w:r>
              <w:rPr>
                <w:sz w:val="19"/>
                <w:szCs w:val="19"/>
              </w:rPr>
              <w:t xml:space="preserve">positivo</w:t>
            </w:r>
          </w:p>
        </w:tc>
        <w:tc>
          <w:tcPr>
            <w:tcW w:type="pct" w:w="1000"/>
            <w:shd w:fill="FFFFFF" w:val="clear"/>
            <w:tcMar>
              <w:top w:type="dxa" w:w="70"/>
              <w:left w:type="dxa" w:w="120"/>
              <w:bottom w:type="dxa" w:w="70"/>
              <w:right w:type="dxa" w:w="120"/>
            </w:tcMar>
          </w:tcPr>
          <w:p>
            <w:r>
              <w:rPr>
                <w:sz w:val="19"/>
                <w:szCs w:val="19"/>
              </w:rPr>
              <w:t xml:space="preserve">5,99</w:t>
            </w:r>
          </w:p>
        </w:tc>
        <w:tc>
          <w:tcPr>
            <w:tcW w:type="pct" w:w="500"/>
            <w:shd w:fill="FFFFFF" w:val="clear"/>
            <w:tcMar>
              <w:top w:type="dxa" w:w="70"/>
              <w:left w:type="dxa" w:w="120"/>
              <w:bottom w:type="dxa" w:w="70"/>
              <w:right w:type="dxa" w:w="120"/>
            </w:tcMar>
          </w:tcPr>
          <w:p>
            <w:r>
              <w:rPr>
                <w:sz w:val="19"/>
                <w:szCs w:val="19"/>
              </w:rPr>
              <w:t xml:space="preserve">82</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Sí</w:t>
            </w:r>
          </w:p>
        </w:tc>
      </w:tr>
      <w:tr>
        <w:trPr>
          <w:cantSplit/>
        </w:trPr>
        <w:tc>
          <w:tcPr>
            <w:tcW w:type="pct" w:w="500"/>
            <w:shd w:fill="FAFCFD" w:val="clear"/>
            <w:tcMar>
              <w:top w:type="dxa" w:w="70"/>
              <w:left w:type="dxa" w:w="120"/>
              <w:bottom w:type="dxa" w:w="70"/>
              <w:right w:type="dxa" w:w="120"/>
            </w:tcMar>
          </w:tcPr>
          <w:p>
            <w:r>
              <w:rPr>
                <w:sz w:val="19"/>
                <w:szCs w:val="19"/>
              </w:rPr>
              <w:t xml:space="preserve">3</w:t>
            </w:r>
          </w:p>
        </w:tc>
        <w:tc>
          <w:tcPr>
            <w:tcW w:type="pct" w:w="750"/>
            <w:shd w:fill="FAFCFD" w:val="clear"/>
            <w:tcMar>
              <w:top w:type="dxa" w:w="70"/>
              <w:left w:type="dxa" w:w="120"/>
              <w:bottom w:type="dxa" w:w="70"/>
              <w:right w:type="dxa" w:w="120"/>
            </w:tcMar>
          </w:tcPr>
          <w:p>
            <w:r>
              <w:rPr>
                <w:sz w:val="19"/>
                <w:szCs w:val="19"/>
              </w:rPr>
              <w:t xml:space="preserve">25/09/2025</w:t>
            </w:r>
          </w:p>
        </w:tc>
        <w:tc>
          <w:tcPr>
            <w:tcW w:type="pct" w:w="650"/>
            <w:shd w:fill="FAFCFD" w:val="clear"/>
            <w:tcMar>
              <w:top w:type="dxa" w:w="70"/>
              <w:left w:type="dxa" w:w="120"/>
              <w:bottom w:type="dxa" w:w="70"/>
              <w:right w:type="dxa" w:w="120"/>
            </w:tcMar>
          </w:tcPr>
          <w:p>
            <w:r>
              <w:rPr>
                <w:sz w:val="19"/>
                <w:szCs w:val="19"/>
              </w:rPr>
              <w:t xml:space="preserve">positivo</w:t>
            </w:r>
          </w:p>
        </w:tc>
        <w:tc>
          <w:tcPr>
            <w:tcW w:type="pct" w:w="1000"/>
            <w:shd w:fill="FAFCFD" w:val="clear"/>
            <w:tcMar>
              <w:top w:type="dxa" w:w="70"/>
              <w:left w:type="dxa" w:w="120"/>
              <w:bottom w:type="dxa" w:w="70"/>
              <w:right w:type="dxa" w:w="120"/>
            </w:tcMar>
          </w:tcPr>
          <w:p>
            <w:r>
              <w:rPr>
                <w:sz w:val="19"/>
                <w:szCs w:val="19"/>
              </w:rPr>
              <w:t xml:space="preserve">2,93</w:t>
            </w:r>
          </w:p>
        </w:tc>
        <w:tc>
          <w:tcPr>
            <w:tcW w:type="pct" w:w="500"/>
            <w:shd w:fill="FAFCFD" w:val="clear"/>
            <w:tcMar>
              <w:top w:type="dxa" w:w="70"/>
              <w:left w:type="dxa" w:w="120"/>
              <w:bottom w:type="dxa" w:w="70"/>
              <w:right w:type="dxa" w:w="120"/>
            </w:tcMar>
          </w:tcPr>
          <w:p>
            <w:r>
              <w:rPr>
                <w:sz w:val="19"/>
                <w:szCs w:val="19"/>
              </w:rPr>
              <w:t xml:space="preserve">47</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Sí</w:t>
            </w:r>
          </w:p>
        </w:tc>
      </w:tr>
      <w:tr>
        <w:trPr>
          <w:cantSplit/>
        </w:trPr>
        <w:tc>
          <w:tcPr>
            <w:tcW w:type="pct" w:w="500"/>
            <w:shd w:fill="FFFFFF" w:val="clear"/>
            <w:tcMar>
              <w:top w:type="dxa" w:w="70"/>
              <w:left w:type="dxa" w:w="120"/>
              <w:bottom w:type="dxa" w:w="70"/>
              <w:right w:type="dxa" w:w="120"/>
            </w:tcMar>
          </w:tcPr>
          <w:p>
            <w:r>
              <w:rPr>
                <w:sz w:val="19"/>
                <w:szCs w:val="19"/>
              </w:rPr>
              <w:t xml:space="preserve">4</w:t>
            </w:r>
          </w:p>
        </w:tc>
        <w:tc>
          <w:tcPr>
            <w:tcW w:type="pct" w:w="750"/>
            <w:shd w:fill="FFFFFF" w:val="clear"/>
            <w:tcMar>
              <w:top w:type="dxa" w:w="70"/>
              <w:left w:type="dxa" w:w="120"/>
              <w:bottom w:type="dxa" w:w="70"/>
              <w:right w:type="dxa" w:w="120"/>
            </w:tcMar>
          </w:tcPr>
          <w:p>
            <w:r>
              <w:rPr>
                <w:sz w:val="19"/>
                <w:szCs w:val="19"/>
              </w:rPr>
              <w:t xml:space="preserve">13/10/2025</w:t>
            </w:r>
          </w:p>
        </w:tc>
        <w:tc>
          <w:tcPr>
            <w:tcW w:type="pct" w:w="650"/>
            <w:shd w:fill="FFFFFF" w:val="clear"/>
            <w:tcMar>
              <w:top w:type="dxa" w:w="70"/>
              <w:left w:type="dxa" w:w="120"/>
              <w:bottom w:type="dxa" w:w="70"/>
              <w:right w:type="dxa" w:w="120"/>
            </w:tcMar>
          </w:tcPr>
          <w:p>
            <w:r>
              <w:rPr>
                <w:sz w:val="19"/>
                <w:szCs w:val="19"/>
              </w:rPr>
              <w:t xml:space="preserve">positivo</w:t>
            </w:r>
          </w:p>
        </w:tc>
        <w:tc>
          <w:tcPr>
            <w:tcW w:type="pct" w:w="1000"/>
            <w:shd w:fill="FFFFFF" w:val="clear"/>
            <w:tcMar>
              <w:top w:type="dxa" w:w="70"/>
              <w:left w:type="dxa" w:w="120"/>
              <w:bottom w:type="dxa" w:w="70"/>
              <w:right w:type="dxa" w:w="120"/>
            </w:tcMar>
          </w:tcPr>
          <w:p>
            <w:r>
              <w:rPr>
                <w:sz w:val="19"/>
                <w:szCs w:val="19"/>
              </w:rPr>
              <w:t xml:space="preserve">3,84</w:t>
            </w:r>
          </w:p>
        </w:tc>
        <w:tc>
          <w:tcPr>
            <w:tcW w:type="pct" w:w="500"/>
            <w:shd w:fill="FFFFFF" w:val="clear"/>
            <w:tcMar>
              <w:top w:type="dxa" w:w="70"/>
              <w:left w:type="dxa" w:w="120"/>
              <w:bottom w:type="dxa" w:w="70"/>
              <w:right w:type="dxa" w:w="120"/>
            </w:tcMar>
          </w:tcPr>
          <w:p>
            <w:r>
              <w:rPr>
                <w:sz w:val="19"/>
                <w:szCs w:val="19"/>
              </w:rPr>
              <w:t xml:space="preserve">113</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Sí</w:t>
            </w:r>
          </w:p>
        </w:tc>
      </w:tr>
      <w:tr>
        <w:trPr>
          <w:cantSplit/>
        </w:trPr>
        <w:tc>
          <w:tcPr>
            <w:tcW w:type="pct" w:w="500"/>
            <w:shd w:fill="FAFCFD" w:val="clear"/>
            <w:tcMar>
              <w:top w:type="dxa" w:w="70"/>
              <w:left w:type="dxa" w:w="120"/>
              <w:bottom w:type="dxa" w:w="70"/>
              <w:right w:type="dxa" w:w="120"/>
            </w:tcMar>
          </w:tcPr>
          <w:p>
            <w:r>
              <w:rPr>
                <w:sz w:val="19"/>
                <w:szCs w:val="19"/>
              </w:rPr>
              <w:t xml:space="preserve">5</w:t>
            </w:r>
          </w:p>
        </w:tc>
        <w:tc>
          <w:tcPr>
            <w:tcW w:type="pct" w:w="750"/>
            <w:shd w:fill="FAFCFD" w:val="clear"/>
            <w:tcMar>
              <w:top w:type="dxa" w:w="70"/>
              <w:left w:type="dxa" w:w="120"/>
              <w:bottom w:type="dxa" w:w="70"/>
              <w:right w:type="dxa" w:w="120"/>
            </w:tcMar>
          </w:tcPr>
          <w:p>
            <w:r>
              <w:rPr>
                <w:sz w:val="19"/>
                <w:szCs w:val="19"/>
              </w:rPr>
              <w:t xml:space="preserve">16/10/2025</w:t>
            </w:r>
          </w:p>
        </w:tc>
        <w:tc>
          <w:tcPr>
            <w:tcW w:type="pct" w:w="650"/>
            <w:shd w:fill="FAFCFD" w:val="clear"/>
            <w:tcMar>
              <w:top w:type="dxa" w:w="70"/>
              <w:left w:type="dxa" w:w="120"/>
              <w:bottom w:type="dxa" w:w="70"/>
              <w:right w:type="dxa" w:w="120"/>
            </w:tcMar>
          </w:tcPr>
          <w:p>
            <w:r>
              <w:rPr>
                <w:sz w:val="19"/>
                <w:szCs w:val="19"/>
              </w:rPr>
              <w:t xml:space="preserve">positivo</w:t>
            </w:r>
          </w:p>
        </w:tc>
        <w:tc>
          <w:tcPr>
            <w:tcW w:type="pct" w:w="1000"/>
            <w:shd w:fill="FAFCFD" w:val="clear"/>
            <w:tcMar>
              <w:top w:type="dxa" w:w="70"/>
              <w:left w:type="dxa" w:w="120"/>
              <w:bottom w:type="dxa" w:w="70"/>
              <w:right w:type="dxa" w:w="120"/>
            </w:tcMar>
          </w:tcPr>
          <w:p>
            <w:r>
              <w:rPr>
                <w:sz w:val="19"/>
                <w:szCs w:val="19"/>
              </w:rPr>
              <w:t xml:space="preserve">3,15</w:t>
            </w:r>
          </w:p>
        </w:tc>
        <w:tc>
          <w:tcPr>
            <w:tcW w:type="pct" w:w="500"/>
            <w:shd w:fill="FAFCFD" w:val="clear"/>
            <w:tcMar>
              <w:top w:type="dxa" w:w="70"/>
              <w:left w:type="dxa" w:w="120"/>
              <w:bottom w:type="dxa" w:w="70"/>
              <w:right w:type="dxa" w:w="120"/>
            </w:tcMar>
          </w:tcPr>
          <w:p>
            <w:r>
              <w:rPr>
                <w:sz w:val="19"/>
                <w:szCs w:val="19"/>
              </w:rPr>
              <w:t xml:space="preserve">58</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6</w:t>
            </w:r>
          </w:p>
        </w:tc>
        <w:tc>
          <w:tcPr>
            <w:tcW w:type="pct" w:w="750"/>
            <w:shd w:fill="FFFFFF" w:val="clear"/>
            <w:tcMar>
              <w:top w:type="dxa" w:w="70"/>
              <w:left w:type="dxa" w:w="120"/>
              <w:bottom w:type="dxa" w:w="70"/>
              <w:right w:type="dxa" w:w="120"/>
            </w:tcMar>
          </w:tcPr>
          <w:p>
            <w:r>
              <w:rPr>
                <w:sz w:val="19"/>
                <w:szCs w:val="19"/>
              </w:rPr>
              <w:t xml:space="preserve">27/10/2025</w:t>
            </w:r>
          </w:p>
        </w:tc>
        <w:tc>
          <w:tcPr>
            <w:tcW w:type="pct" w:w="650"/>
            <w:shd w:fill="FFFFFF" w:val="clear"/>
            <w:tcMar>
              <w:top w:type="dxa" w:w="70"/>
              <w:left w:type="dxa" w:w="120"/>
              <w:bottom w:type="dxa" w:w="70"/>
              <w:right w:type="dxa" w:w="120"/>
            </w:tcMar>
          </w:tcPr>
          <w:p>
            <w:r>
              <w:rPr>
                <w:sz w:val="19"/>
                <w:szCs w:val="19"/>
              </w:rPr>
              <w:t xml:space="preserve">positivo</w:t>
            </w:r>
          </w:p>
        </w:tc>
        <w:tc>
          <w:tcPr>
            <w:tcW w:type="pct" w:w="1000"/>
            <w:shd w:fill="FFFFFF" w:val="clear"/>
            <w:tcMar>
              <w:top w:type="dxa" w:w="70"/>
              <w:left w:type="dxa" w:w="120"/>
              <w:bottom w:type="dxa" w:w="70"/>
              <w:right w:type="dxa" w:w="120"/>
            </w:tcMar>
          </w:tcPr>
          <w:p>
            <w:r>
              <w:rPr>
                <w:sz w:val="19"/>
                <w:szCs w:val="19"/>
              </w:rPr>
              <w:t xml:space="preserve">3,44</w:t>
            </w:r>
          </w:p>
        </w:tc>
        <w:tc>
          <w:tcPr>
            <w:tcW w:type="pct" w:w="500"/>
            <w:shd w:fill="FFFFFF" w:val="clear"/>
            <w:tcMar>
              <w:top w:type="dxa" w:w="70"/>
              <w:left w:type="dxa" w:w="120"/>
              <w:bottom w:type="dxa" w:w="70"/>
              <w:right w:type="dxa" w:w="120"/>
            </w:tcMar>
          </w:tcPr>
          <w:p>
            <w:r>
              <w:rPr>
                <w:sz w:val="19"/>
                <w:szCs w:val="19"/>
              </w:rPr>
              <w:t xml:space="preserve">108</w:t>
            </w:r>
          </w:p>
        </w:tc>
        <w:tc>
          <w:tcPr>
            <w:tcW w:type="pct" w:w="700"/>
            <w:shd w:fill="FFFFFF" w:val="clear"/>
            <w:tcMar>
              <w:top w:type="dxa" w:w="70"/>
              <w:left w:type="dxa" w:w="120"/>
              <w:bottom w:type="dxa" w:w="70"/>
              <w:right w:type="dxa" w:w="120"/>
            </w:tcMar>
          </w:tcPr>
          <w:p>
            <w:r>
              <w:rPr>
                <w:sz w:val="19"/>
                <w:szCs w:val="19"/>
              </w:rPr>
              <w:t xml:space="preserve">Sí</w:t>
            </w:r>
          </w:p>
        </w:tc>
        <w:tc>
          <w:tcPr>
            <w:tcW w:type="pct" w:w="900"/>
            <w:shd w:fill="FFFFFF" w:val="clear"/>
            <w:tcMar>
              <w:top w:type="dxa" w:w="70"/>
              <w:left w:type="dxa" w:w="120"/>
              <w:bottom w:type="dxa" w:w="70"/>
              <w:right w:type="dxa" w:w="120"/>
            </w:tcMar>
          </w:tcPr>
          <w:p>
            <w:r>
              <w:rPr>
                <w:sz w:val="19"/>
                <w:szCs w:val="19"/>
              </w:rPr>
              <w:t xml:space="preserve">Sí</w:t>
            </w:r>
          </w:p>
        </w:tc>
      </w:tr>
      <w:tr>
        <w:trPr>
          <w:cantSplit/>
        </w:trPr>
        <w:tc>
          <w:tcPr>
            <w:tcW w:type="pct" w:w="500"/>
            <w:shd w:fill="FAFCFD" w:val="clear"/>
            <w:tcMar>
              <w:top w:type="dxa" w:w="70"/>
              <w:left w:type="dxa" w:w="120"/>
              <w:bottom w:type="dxa" w:w="70"/>
              <w:right w:type="dxa" w:w="120"/>
            </w:tcMar>
          </w:tcPr>
          <w:p>
            <w:r>
              <w:rPr>
                <w:sz w:val="19"/>
                <w:szCs w:val="19"/>
              </w:rPr>
              <w:t xml:space="preserve">7</w:t>
            </w:r>
          </w:p>
        </w:tc>
        <w:tc>
          <w:tcPr>
            <w:tcW w:type="pct" w:w="750"/>
            <w:shd w:fill="FAFCFD" w:val="clear"/>
            <w:tcMar>
              <w:top w:type="dxa" w:w="70"/>
              <w:left w:type="dxa" w:w="120"/>
              <w:bottom w:type="dxa" w:w="70"/>
              <w:right w:type="dxa" w:w="120"/>
            </w:tcMar>
          </w:tcPr>
          <w:p>
            <w:r>
              <w:rPr>
                <w:sz w:val="19"/>
                <w:szCs w:val="19"/>
              </w:rPr>
              <w:t xml:space="preserve">30/10/2025</w:t>
            </w:r>
          </w:p>
        </w:tc>
        <w:tc>
          <w:tcPr>
            <w:tcW w:type="pct" w:w="650"/>
            <w:shd w:fill="FAFCFD" w:val="clear"/>
            <w:tcMar>
              <w:top w:type="dxa" w:w="70"/>
              <w:left w:type="dxa" w:w="120"/>
              <w:bottom w:type="dxa" w:w="70"/>
              <w:right w:type="dxa" w:w="120"/>
            </w:tcMar>
          </w:tcPr>
          <w:p>
            <w:r>
              <w:rPr>
                <w:sz w:val="19"/>
                <w:szCs w:val="19"/>
              </w:rPr>
              <w:t xml:space="preserve">positivo</w:t>
            </w:r>
          </w:p>
        </w:tc>
        <w:tc>
          <w:tcPr>
            <w:tcW w:type="pct" w:w="1000"/>
            <w:shd w:fill="FAFCFD" w:val="clear"/>
            <w:tcMar>
              <w:top w:type="dxa" w:w="70"/>
              <w:left w:type="dxa" w:w="120"/>
              <w:bottom w:type="dxa" w:w="70"/>
              <w:right w:type="dxa" w:w="120"/>
            </w:tcMar>
          </w:tcPr>
          <w:p>
            <w:r>
              <w:rPr>
                <w:sz w:val="19"/>
                <w:szCs w:val="19"/>
              </w:rPr>
              <w:t xml:space="preserve">2,90</w:t>
            </w:r>
          </w:p>
        </w:tc>
        <w:tc>
          <w:tcPr>
            <w:tcW w:type="pct" w:w="500"/>
            <w:shd w:fill="FAFCFD" w:val="clear"/>
            <w:tcMar>
              <w:top w:type="dxa" w:w="70"/>
              <w:left w:type="dxa" w:w="120"/>
              <w:bottom w:type="dxa" w:w="70"/>
              <w:right w:type="dxa" w:w="120"/>
            </w:tcMar>
          </w:tcPr>
          <w:p>
            <w:r>
              <w:rPr>
                <w:sz w:val="19"/>
                <w:szCs w:val="19"/>
              </w:rPr>
              <w:t xml:space="preserve">58</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8</w:t>
            </w:r>
          </w:p>
        </w:tc>
        <w:tc>
          <w:tcPr>
            <w:tcW w:type="pct" w:w="750"/>
            <w:shd w:fill="FFFFFF" w:val="clear"/>
            <w:tcMar>
              <w:top w:type="dxa" w:w="70"/>
              <w:left w:type="dxa" w:w="120"/>
              <w:bottom w:type="dxa" w:w="70"/>
              <w:right w:type="dxa" w:w="120"/>
            </w:tcMar>
          </w:tcPr>
          <w:p>
            <w:r>
              <w:rPr>
                <w:sz w:val="19"/>
                <w:szCs w:val="19"/>
              </w:rPr>
              <w:t xml:space="preserve">03/11/2025</w:t>
            </w:r>
          </w:p>
        </w:tc>
        <w:tc>
          <w:tcPr>
            <w:tcW w:type="pct" w:w="650"/>
            <w:shd w:fill="FFFFFF" w:val="clear"/>
            <w:tcMar>
              <w:top w:type="dxa" w:w="70"/>
              <w:left w:type="dxa" w:w="120"/>
              <w:bottom w:type="dxa" w:w="70"/>
              <w:right w:type="dxa" w:w="120"/>
            </w:tcMar>
          </w:tcPr>
          <w:p>
            <w:r>
              <w:rPr>
                <w:sz w:val="19"/>
                <w:szCs w:val="19"/>
              </w:rPr>
              <w:t xml:space="preserve">positivo</w:t>
            </w:r>
          </w:p>
        </w:tc>
        <w:tc>
          <w:tcPr>
            <w:tcW w:type="pct" w:w="1000"/>
            <w:shd w:fill="FFFFFF" w:val="clear"/>
            <w:tcMar>
              <w:top w:type="dxa" w:w="70"/>
              <w:left w:type="dxa" w:w="120"/>
              <w:bottom w:type="dxa" w:w="70"/>
              <w:right w:type="dxa" w:w="120"/>
            </w:tcMar>
          </w:tcPr>
          <w:p>
            <w:r>
              <w:rPr>
                <w:sz w:val="19"/>
                <w:szCs w:val="19"/>
              </w:rPr>
              <w:t xml:space="preserve">3,61</w:t>
            </w:r>
          </w:p>
        </w:tc>
        <w:tc>
          <w:tcPr>
            <w:tcW w:type="pct" w:w="500"/>
            <w:shd w:fill="FFFFFF" w:val="clear"/>
            <w:tcMar>
              <w:top w:type="dxa" w:w="70"/>
              <w:left w:type="dxa" w:w="120"/>
              <w:bottom w:type="dxa" w:w="70"/>
              <w:right w:type="dxa" w:w="120"/>
            </w:tcMar>
          </w:tcPr>
          <w:p>
            <w:r>
              <w:rPr>
                <w:sz w:val="19"/>
                <w:szCs w:val="19"/>
              </w:rPr>
              <w:t xml:space="preserve">108</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
            </w:r>
          </w:p>
        </w:tc>
      </w:tr>
      <w:tr>
        <w:trPr>
          <w:cantSplit/>
        </w:trPr>
        <w:tc>
          <w:tcPr>
            <w:tcW w:type="pct" w:w="500"/>
            <w:shd w:fill="FAFCFD" w:val="clear"/>
            <w:tcMar>
              <w:top w:type="dxa" w:w="70"/>
              <w:left w:type="dxa" w:w="120"/>
              <w:bottom w:type="dxa" w:w="70"/>
              <w:right w:type="dxa" w:w="120"/>
            </w:tcMar>
          </w:tcPr>
          <w:p>
            <w:r>
              <w:rPr>
                <w:sz w:val="19"/>
                <w:szCs w:val="19"/>
              </w:rPr>
              <w:t xml:space="preserve">9</w:t>
            </w:r>
          </w:p>
        </w:tc>
        <w:tc>
          <w:tcPr>
            <w:tcW w:type="pct" w:w="750"/>
            <w:shd w:fill="FAFCFD" w:val="clear"/>
            <w:tcMar>
              <w:top w:type="dxa" w:w="70"/>
              <w:left w:type="dxa" w:w="120"/>
              <w:bottom w:type="dxa" w:w="70"/>
              <w:right w:type="dxa" w:w="120"/>
            </w:tcMar>
          </w:tcPr>
          <w:p>
            <w:r>
              <w:rPr>
                <w:sz w:val="19"/>
                <w:szCs w:val="19"/>
              </w:rPr>
              <w:t xml:space="preserve">14/11/2025</w:t>
            </w:r>
          </w:p>
        </w:tc>
        <w:tc>
          <w:tcPr>
            <w:tcW w:type="pct" w:w="650"/>
            <w:shd w:fill="FAFCFD" w:val="clear"/>
            <w:tcMar>
              <w:top w:type="dxa" w:w="70"/>
              <w:left w:type="dxa" w:w="120"/>
              <w:bottom w:type="dxa" w:w="70"/>
              <w:right w:type="dxa" w:w="120"/>
            </w:tcMar>
          </w:tcPr>
          <w:p>
            <w:r>
              <w:rPr>
                <w:sz w:val="19"/>
                <w:szCs w:val="19"/>
              </w:rPr>
              <w:t xml:space="preserve">positivo</w:t>
            </w:r>
          </w:p>
        </w:tc>
        <w:tc>
          <w:tcPr>
            <w:tcW w:type="pct" w:w="1000"/>
            <w:shd w:fill="FAFCFD" w:val="clear"/>
            <w:tcMar>
              <w:top w:type="dxa" w:w="70"/>
              <w:left w:type="dxa" w:w="120"/>
              <w:bottom w:type="dxa" w:w="70"/>
              <w:right w:type="dxa" w:w="120"/>
            </w:tcMar>
          </w:tcPr>
          <w:p>
            <w:r>
              <w:rPr>
                <w:sz w:val="19"/>
                <w:szCs w:val="19"/>
              </w:rPr>
              <w:t xml:space="preserve">2,63</w:t>
            </w:r>
          </w:p>
        </w:tc>
        <w:tc>
          <w:tcPr>
            <w:tcW w:type="pct" w:w="500"/>
            <w:shd w:fill="FAFCFD" w:val="clear"/>
            <w:tcMar>
              <w:top w:type="dxa" w:w="70"/>
              <w:left w:type="dxa" w:w="120"/>
              <w:bottom w:type="dxa" w:w="70"/>
              <w:right w:type="dxa" w:w="120"/>
            </w:tcMar>
          </w:tcPr>
          <w:p>
            <w:r>
              <w:rPr>
                <w:sz w:val="19"/>
                <w:szCs w:val="19"/>
              </w:rPr>
              <w:t xml:space="preserve">56</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10</w:t>
            </w:r>
          </w:p>
        </w:tc>
        <w:tc>
          <w:tcPr>
            <w:tcW w:type="pct" w:w="750"/>
            <w:shd w:fill="FFFFFF" w:val="clear"/>
            <w:tcMar>
              <w:top w:type="dxa" w:w="70"/>
              <w:left w:type="dxa" w:w="120"/>
              <w:bottom w:type="dxa" w:w="70"/>
              <w:right w:type="dxa" w:w="120"/>
            </w:tcMar>
          </w:tcPr>
          <w:p>
            <w:r>
              <w:rPr>
                <w:sz w:val="19"/>
                <w:szCs w:val="19"/>
              </w:rPr>
              <w:t xml:space="preserve">25/11/2025</w:t>
            </w:r>
          </w:p>
        </w:tc>
        <w:tc>
          <w:tcPr>
            <w:tcW w:type="pct" w:w="650"/>
            <w:shd w:fill="FFFFFF" w:val="clear"/>
            <w:tcMar>
              <w:top w:type="dxa" w:w="70"/>
              <w:left w:type="dxa" w:w="120"/>
              <w:bottom w:type="dxa" w:w="70"/>
              <w:right w:type="dxa" w:w="120"/>
            </w:tcMar>
          </w:tcPr>
          <w:p>
            <w:r>
              <w:rPr>
                <w:sz w:val="19"/>
                <w:szCs w:val="19"/>
              </w:rPr>
              <w:t xml:space="preserve">negativo</w:t>
            </w:r>
          </w:p>
        </w:tc>
        <w:tc>
          <w:tcPr>
            <w:tcW w:type="pct" w:w="1000"/>
            <w:shd w:fill="FFFFFF" w:val="clear"/>
            <w:tcMar>
              <w:top w:type="dxa" w:w="70"/>
              <w:left w:type="dxa" w:w="120"/>
              <w:bottom w:type="dxa" w:w="70"/>
              <w:right w:type="dxa" w:w="120"/>
            </w:tcMar>
          </w:tcPr>
          <w:p>
            <w:r>
              <w:rPr>
                <w:sz w:val="19"/>
                <w:szCs w:val="19"/>
              </w:rPr>
              <w:t xml:space="preserve">-3,57</w:t>
            </w:r>
          </w:p>
        </w:tc>
        <w:tc>
          <w:tcPr>
            <w:tcW w:type="pct" w:w="500"/>
            <w:shd w:fill="FFFFFF" w:val="clear"/>
            <w:tcMar>
              <w:top w:type="dxa" w:w="70"/>
              <w:left w:type="dxa" w:w="120"/>
              <w:bottom w:type="dxa" w:w="70"/>
              <w:right w:type="dxa" w:w="120"/>
            </w:tcMar>
          </w:tcPr>
          <w:p>
            <w:r>
              <w:rPr>
                <w:sz w:val="19"/>
                <w:szCs w:val="19"/>
              </w:rPr>
              <w:t xml:space="preserve">111</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Sí</w:t>
            </w:r>
          </w:p>
        </w:tc>
      </w:tr>
      <w:tr>
        <w:trPr>
          <w:cantSplit/>
        </w:trPr>
        <w:tc>
          <w:tcPr>
            <w:tcW w:type="pct" w:w="500"/>
            <w:shd w:fill="FAFCFD" w:val="clear"/>
            <w:tcMar>
              <w:top w:type="dxa" w:w="70"/>
              <w:left w:type="dxa" w:w="120"/>
              <w:bottom w:type="dxa" w:w="70"/>
              <w:right w:type="dxa" w:w="120"/>
            </w:tcMar>
          </w:tcPr>
          <w:p>
            <w:r>
              <w:rPr>
                <w:sz w:val="19"/>
                <w:szCs w:val="19"/>
              </w:rPr>
              <w:t xml:space="preserve">11</w:t>
            </w:r>
          </w:p>
        </w:tc>
        <w:tc>
          <w:tcPr>
            <w:tcW w:type="pct" w:w="750"/>
            <w:shd w:fill="FAFCFD" w:val="clear"/>
            <w:tcMar>
              <w:top w:type="dxa" w:w="70"/>
              <w:left w:type="dxa" w:w="120"/>
              <w:bottom w:type="dxa" w:w="70"/>
              <w:right w:type="dxa" w:w="120"/>
            </w:tcMar>
          </w:tcPr>
          <w:p>
            <w:r>
              <w:rPr>
                <w:sz w:val="19"/>
                <w:szCs w:val="19"/>
              </w:rPr>
              <w:t xml:space="preserve">01/12/2025</w:t>
            </w:r>
          </w:p>
        </w:tc>
        <w:tc>
          <w:tcPr>
            <w:tcW w:type="pct" w:w="650"/>
            <w:shd w:fill="FAFCFD" w:val="clear"/>
            <w:tcMar>
              <w:top w:type="dxa" w:w="70"/>
              <w:left w:type="dxa" w:w="120"/>
              <w:bottom w:type="dxa" w:w="70"/>
              <w:right w:type="dxa" w:w="120"/>
            </w:tcMar>
          </w:tcPr>
          <w:p>
            <w:r>
              <w:rPr>
                <w:sz w:val="19"/>
                <w:szCs w:val="19"/>
              </w:rPr>
              <w:t xml:space="preserve">negativo</w:t>
            </w:r>
          </w:p>
        </w:tc>
        <w:tc>
          <w:tcPr>
            <w:tcW w:type="pct" w:w="1000"/>
            <w:shd w:fill="FAFCFD" w:val="clear"/>
            <w:tcMar>
              <w:top w:type="dxa" w:w="70"/>
              <w:left w:type="dxa" w:w="120"/>
              <w:bottom w:type="dxa" w:w="70"/>
              <w:right w:type="dxa" w:w="120"/>
            </w:tcMar>
          </w:tcPr>
          <w:p>
            <w:r>
              <w:rPr>
                <w:sz w:val="19"/>
                <w:szCs w:val="19"/>
              </w:rPr>
              <w:t xml:space="preserve">-2,61</w:t>
            </w:r>
          </w:p>
        </w:tc>
        <w:tc>
          <w:tcPr>
            <w:tcW w:type="pct" w:w="500"/>
            <w:shd w:fill="FAFCFD" w:val="clear"/>
            <w:tcMar>
              <w:top w:type="dxa" w:w="70"/>
              <w:left w:type="dxa" w:w="120"/>
              <w:bottom w:type="dxa" w:w="70"/>
              <w:right w:type="dxa" w:w="120"/>
            </w:tcMar>
          </w:tcPr>
          <w:p>
            <w:r>
              <w:rPr>
                <w:sz w:val="19"/>
                <w:szCs w:val="19"/>
              </w:rPr>
              <w:t xml:space="preserve">102</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12</w:t>
            </w:r>
          </w:p>
        </w:tc>
        <w:tc>
          <w:tcPr>
            <w:tcW w:type="pct" w:w="750"/>
            <w:shd w:fill="FFFFFF" w:val="clear"/>
            <w:tcMar>
              <w:top w:type="dxa" w:w="70"/>
              <w:left w:type="dxa" w:w="120"/>
              <w:bottom w:type="dxa" w:w="70"/>
              <w:right w:type="dxa" w:w="120"/>
            </w:tcMar>
          </w:tcPr>
          <w:p>
            <w:r>
              <w:rPr>
                <w:sz w:val="19"/>
                <w:szCs w:val="19"/>
              </w:rPr>
              <w:t xml:space="preserve">23/12/2025</w:t>
            </w:r>
          </w:p>
        </w:tc>
        <w:tc>
          <w:tcPr>
            <w:tcW w:type="pct" w:w="650"/>
            <w:shd w:fill="FFFFFF" w:val="clear"/>
            <w:tcMar>
              <w:top w:type="dxa" w:w="70"/>
              <w:left w:type="dxa" w:w="120"/>
              <w:bottom w:type="dxa" w:w="70"/>
              <w:right w:type="dxa" w:w="120"/>
            </w:tcMar>
          </w:tcPr>
          <w:p>
            <w:r>
              <w:rPr>
                <w:sz w:val="19"/>
                <w:szCs w:val="19"/>
              </w:rPr>
              <w:t xml:space="preserve">negativo</w:t>
            </w:r>
          </w:p>
        </w:tc>
        <w:tc>
          <w:tcPr>
            <w:tcW w:type="pct" w:w="1000"/>
            <w:shd w:fill="FFFFFF" w:val="clear"/>
            <w:tcMar>
              <w:top w:type="dxa" w:w="70"/>
              <w:left w:type="dxa" w:w="120"/>
              <w:bottom w:type="dxa" w:w="70"/>
              <w:right w:type="dxa" w:w="120"/>
            </w:tcMar>
          </w:tcPr>
          <w:p>
            <w:r>
              <w:rPr>
                <w:sz w:val="19"/>
                <w:szCs w:val="19"/>
              </w:rPr>
              <w:t xml:space="preserve">-2,62</w:t>
            </w:r>
          </w:p>
        </w:tc>
        <w:tc>
          <w:tcPr>
            <w:tcW w:type="pct" w:w="500"/>
            <w:shd w:fill="FFFFFF" w:val="clear"/>
            <w:tcMar>
              <w:top w:type="dxa" w:w="70"/>
              <w:left w:type="dxa" w:w="120"/>
              <w:bottom w:type="dxa" w:w="70"/>
              <w:right w:type="dxa" w:w="120"/>
            </w:tcMar>
          </w:tcPr>
          <w:p>
            <w:r>
              <w:rPr>
                <w:sz w:val="19"/>
                <w:szCs w:val="19"/>
              </w:rPr>
              <w:t xml:space="preserve">62</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
            </w:r>
          </w:p>
        </w:tc>
      </w:tr>
      <w:tr>
        <w:trPr>
          <w:cantSplit/>
        </w:trPr>
        <w:tc>
          <w:tcPr>
            <w:tcW w:type="pct" w:w="500"/>
            <w:shd w:fill="FAFCFD" w:val="clear"/>
            <w:tcMar>
              <w:top w:type="dxa" w:w="70"/>
              <w:left w:type="dxa" w:w="120"/>
              <w:bottom w:type="dxa" w:w="70"/>
              <w:right w:type="dxa" w:w="120"/>
            </w:tcMar>
          </w:tcPr>
          <w:p>
            <w:r>
              <w:rPr>
                <w:sz w:val="19"/>
                <w:szCs w:val="19"/>
              </w:rPr>
              <w:t xml:space="preserve">13</w:t>
            </w:r>
          </w:p>
        </w:tc>
        <w:tc>
          <w:tcPr>
            <w:tcW w:type="pct" w:w="750"/>
            <w:shd w:fill="FAFCFD" w:val="clear"/>
            <w:tcMar>
              <w:top w:type="dxa" w:w="70"/>
              <w:left w:type="dxa" w:w="120"/>
              <w:bottom w:type="dxa" w:w="70"/>
              <w:right w:type="dxa" w:w="120"/>
            </w:tcMar>
          </w:tcPr>
          <w:p>
            <w:r>
              <w:rPr>
                <w:sz w:val="19"/>
                <w:szCs w:val="19"/>
              </w:rPr>
              <w:t xml:space="preserve">23/01/2026</w:t>
            </w:r>
          </w:p>
        </w:tc>
        <w:tc>
          <w:tcPr>
            <w:tcW w:type="pct" w:w="650"/>
            <w:shd w:fill="FAFCFD" w:val="clear"/>
            <w:tcMar>
              <w:top w:type="dxa" w:w="70"/>
              <w:left w:type="dxa" w:w="120"/>
              <w:bottom w:type="dxa" w:w="70"/>
              <w:right w:type="dxa" w:w="120"/>
            </w:tcMar>
          </w:tcPr>
          <w:p>
            <w:r>
              <w:rPr>
                <w:sz w:val="19"/>
                <w:szCs w:val="19"/>
              </w:rPr>
              <w:t xml:space="preserve">positivo</w:t>
            </w:r>
          </w:p>
        </w:tc>
        <w:tc>
          <w:tcPr>
            <w:tcW w:type="pct" w:w="1000"/>
            <w:shd w:fill="FAFCFD" w:val="clear"/>
            <w:tcMar>
              <w:top w:type="dxa" w:w="70"/>
              <w:left w:type="dxa" w:w="120"/>
              <w:bottom w:type="dxa" w:w="70"/>
              <w:right w:type="dxa" w:w="120"/>
            </w:tcMar>
          </w:tcPr>
          <w:p>
            <w:r>
              <w:rPr>
                <w:sz w:val="19"/>
                <w:szCs w:val="19"/>
              </w:rPr>
              <w:t xml:space="preserve">2,59</w:t>
            </w:r>
          </w:p>
        </w:tc>
        <w:tc>
          <w:tcPr>
            <w:tcW w:type="pct" w:w="500"/>
            <w:shd w:fill="FAFCFD" w:val="clear"/>
            <w:tcMar>
              <w:top w:type="dxa" w:w="70"/>
              <w:left w:type="dxa" w:w="120"/>
              <w:bottom w:type="dxa" w:w="70"/>
              <w:right w:type="dxa" w:w="120"/>
            </w:tcMar>
          </w:tcPr>
          <w:p>
            <w:r>
              <w:rPr>
                <w:sz w:val="19"/>
                <w:szCs w:val="19"/>
              </w:rPr>
              <w:t xml:space="preserve">53</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Sí</w:t>
            </w:r>
          </w:p>
        </w:tc>
      </w:tr>
      <w:tr>
        <w:trPr>
          <w:cantSplit/>
        </w:trPr>
        <w:tc>
          <w:tcPr>
            <w:tcW w:type="pct" w:w="500"/>
            <w:shd w:fill="FFFFFF" w:val="clear"/>
            <w:tcMar>
              <w:top w:type="dxa" w:w="70"/>
              <w:left w:type="dxa" w:w="120"/>
              <w:bottom w:type="dxa" w:w="70"/>
              <w:right w:type="dxa" w:w="120"/>
            </w:tcMar>
          </w:tcPr>
          <w:p>
            <w:r>
              <w:rPr>
                <w:sz w:val="19"/>
                <w:szCs w:val="19"/>
              </w:rPr>
              <w:t xml:space="preserve">14</w:t>
            </w:r>
          </w:p>
        </w:tc>
        <w:tc>
          <w:tcPr>
            <w:tcW w:type="pct" w:w="750"/>
            <w:shd w:fill="FFFFFF" w:val="clear"/>
            <w:tcMar>
              <w:top w:type="dxa" w:w="70"/>
              <w:left w:type="dxa" w:w="120"/>
              <w:bottom w:type="dxa" w:w="70"/>
              <w:right w:type="dxa" w:w="120"/>
            </w:tcMar>
          </w:tcPr>
          <w:p>
            <w:r>
              <w:rPr>
                <w:sz w:val="19"/>
                <w:szCs w:val="19"/>
              </w:rPr>
              <w:t xml:space="preserve">26/01/2026</w:t>
            </w:r>
          </w:p>
        </w:tc>
        <w:tc>
          <w:tcPr>
            <w:tcW w:type="pct" w:w="650"/>
            <w:shd w:fill="FFFFFF" w:val="clear"/>
            <w:tcMar>
              <w:top w:type="dxa" w:w="70"/>
              <w:left w:type="dxa" w:w="120"/>
              <w:bottom w:type="dxa" w:w="70"/>
              <w:right w:type="dxa" w:w="120"/>
            </w:tcMar>
          </w:tcPr>
          <w:p>
            <w:r>
              <w:rPr>
                <w:sz w:val="19"/>
                <w:szCs w:val="19"/>
              </w:rPr>
              <w:t xml:space="preserve">negativo</w:t>
            </w:r>
          </w:p>
        </w:tc>
        <w:tc>
          <w:tcPr>
            <w:tcW w:type="pct" w:w="1000"/>
            <w:shd w:fill="FFFFFF" w:val="clear"/>
            <w:tcMar>
              <w:top w:type="dxa" w:w="70"/>
              <w:left w:type="dxa" w:w="120"/>
              <w:bottom w:type="dxa" w:w="70"/>
              <w:right w:type="dxa" w:w="120"/>
            </w:tcMar>
          </w:tcPr>
          <w:p>
            <w:r>
              <w:rPr>
                <w:sz w:val="19"/>
                <w:szCs w:val="19"/>
              </w:rPr>
              <w:t xml:space="preserve">-4,22</w:t>
            </w:r>
          </w:p>
        </w:tc>
        <w:tc>
          <w:tcPr>
            <w:tcW w:type="pct" w:w="500"/>
            <w:shd w:fill="FFFFFF" w:val="clear"/>
            <w:tcMar>
              <w:top w:type="dxa" w:w="70"/>
              <w:left w:type="dxa" w:w="120"/>
              <w:bottom w:type="dxa" w:w="70"/>
              <w:right w:type="dxa" w:w="120"/>
            </w:tcMar>
          </w:tcPr>
          <w:p>
            <w:r>
              <w:rPr>
                <w:sz w:val="19"/>
                <w:szCs w:val="19"/>
              </w:rPr>
              <w:t xml:space="preserve">68</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Sí</w:t>
            </w:r>
          </w:p>
        </w:tc>
      </w:tr>
      <w:tr>
        <w:trPr>
          <w:cantSplit/>
        </w:trPr>
        <w:tc>
          <w:tcPr>
            <w:tcW w:type="pct" w:w="500"/>
            <w:shd w:fill="FAFCFD" w:val="clear"/>
            <w:tcMar>
              <w:top w:type="dxa" w:w="70"/>
              <w:left w:type="dxa" w:w="120"/>
              <w:bottom w:type="dxa" w:w="70"/>
              <w:right w:type="dxa" w:w="120"/>
            </w:tcMar>
          </w:tcPr>
          <w:p>
            <w:r>
              <w:rPr>
                <w:sz w:val="19"/>
                <w:szCs w:val="19"/>
              </w:rPr>
              <w:t xml:space="preserve">15</w:t>
            </w:r>
          </w:p>
        </w:tc>
        <w:tc>
          <w:tcPr>
            <w:tcW w:type="pct" w:w="750"/>
            <w:shd w:fill="FAFCFD" w:val="clear"/>
            <w:tcMar>
              <w:top w:type="dxa" w:w="70"/>
              <w:left w:type="dxa" w:w="120"/>
              <w:bottom w:type="dxa" w:w="70"/>
              <w:right w:type="dxa" w:w="120"/>
            </w:tcMar>
          </w:tcPr>
          <w:p>
            <w:r>
              <w:rPr>
                <w:sz w:val="19"/>
                <w:szCs w:val="19"/>
              </w:rPr>
              <w:t xml:space="preserve">04/02/2026</w:t>
            </w:r>
          </w:p>
        </w:tc>
        <w:tc>
          <w:tcPr>
            <w:tcW w:type="pct" w:w="650"/>
            <w:shd w:fill="FAFCFD" w:val="clear"/>
            <w:tcMar>
              <w:top w:type="dxa" w:w="70"/>
              <w:left w:type="dxa" w:w="120"/>
              <w:bottom w:type="dxa" w:w="70"/>
              <w:right w:type="dxa" w:w="120"/>
            </w:tcMar>
          </w:tcPr>
          <w:p>
            <w:r>
              <w:rPr>
                <w:sz w:val="19"/>
                <w:szCs w:val="19"/>
              </w:rPr>
              <w:t xml:space="preserve">negativo</w:t>
            </w:r>
          </w:p>
        </w:tc>
        <w:tc>
          <w:tcPr>
            <w:tcW w:type="pct" w:w="1000"/>
            <w:shd w:fill="FAFCFD" w:val="clear"/>
            <w:tcMar>
              <w:top w:type="dxa" w:w="70"/>
              <w:left w:type="dxa" w:w="120"/>
              <w:bottom w:type="dxa" w:w="70"/>
              <w:right w:type="dxa" w:w="120"/>
            </w:tcMar>
          </w:tcPr>
          <w:p>
            <w:r>
              <w:rPr>
                <w:sz w:val="19"/>
                <w:szCs w:val="19"/>
              </w:rPr>
              <w:t xml:space="preserve">-2,78</w:t>
            </w:r>
          </w:p>
        </w:tc>
        <w:tc>
          <w:tcPr>
            <w:tcW w:type="pct" w:w="500"/>
            <w:shd w:fill="FAFCFD" w:val="clear"/>
            <w:tcMar>
              <w:top w:type="dxa" w:w="70"/>
              <w:left w:type="dxa" w:w="120"/>
              <w:bottom w:type="dxa" w:w="70"/>
              <w:right w:type="dxa" w:w="120"/>
            </w:tcMar>
          </w:tcPr>
          <w:p>
            <w:r>
              <w:rPr>
                <w:sz w:val="19"/>
                <w:szCs w:val="19"/>
              </w:rPr>
              <w:t xml:space="preserve">66</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16</w:t>
            </w:r>
          </w:p>
        </w:tc>
        <w:tc>
          <w:tcPr>
            <w:tcW w:type="pct" w:w="750"/>
            <w:shd w:fill="FFFFFF" w:val="clear"/>
            <w:tcMar>
              <w:top w:type="dxa" w:w="70"/>
              <w:left w:type="dxa" w:w="120"/>
              <w:bottom w:type="dxa" w:w="70"/>
              <w:right w:type="dxa" w:w="120"/>
            </w:tcMar>
          </w:tcPr>
          <w:p>
            <w:r>
              <w:rPr>
                <w:sz w:val="19"/>
                <w:szCs w:val="19"/>
              </w:rPr>
              <w:t xml:space="preserve">13/02/2026</w:t>
            </w:r>
          </w:p>
        </w:tc>
        <w:tc>
          <w:tcPr>
            <w:tcW w:type="pct" w:w="650"/>
            <w:shd w:fill="FFFFFF" w:val="clear"/>
            <w:tcMar>
              <w:top w:type="dxa" w:w="70"/>
              <w:left w:type="dxa" w:w="120"/>
              <w:bottom w:type="dxa" w:w="70"/>
              <w:right w:type="dxa" w:w="120"/>
            </w:tcMar>
          </w:tcPr>
          <w:p>
            <w:r>
              <w:rPr>
                <w:sz w:val="19"/>
                <w:szCs w:val="19"/>
              </w:rPr>
              <w:t xml:space="preserve">negativo</w:t>
            </w:r>
          </w:p>
        </w:tc>
        <w:tc>
          <w:tcPr>
            <w:tcW w:type="pct" w:w="1000"/>
            <w:shd w:fill="FFFFFF" w:val="clear"/>
            <w:tcMar>
              <w:top w:type="dxa" w:w="70"/>
              <w:left w:type="dxa" w:w="120"/>
              <w:bottom w:type="dxa" w:w="70"/>
              <w:right w:type="dxa" w:w="120"/>
            </w:tcMar>
          </w:tcPr>
          <w:p>
            <w:r>
              <w:rPr>
                <w:sz w:val="19"/>
                <w:szCs w:val="19"/>
              </w:rPr>
              <w:t xml:space="preserve">-2,64</w:t>
            </w:r>
          </w:p>
        </w:tc>
        <w:tc>
          <w:tcPr>
            <w:tcW w:type="pct" w:w="500"/>
            <w:shd w:fill="FFFFFF" w:val="clear"/>
            <w:tcMar>
              <w:top w:type="dxa" w:w="70"/>
              <w:left w:type="dxa" w:w="120"/>
              <w:bottom w:type="dxa" w:w="70"/>
              <w:right w:type="dxa" w:w="120"/>
            </w:tcMar>
          </w:tcPr>
          <w:p>
            <w:r>
              <w:rPr>
                <w:sz w:val="19"/>
                <w:szCs w:val="19"/>
              </w:rPr>
              <w:t xml:space="preserve">54</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
            </w:r>
          </w:p>
        </w:tc>
      </w:tr>
      <w:tr>
        <w:trPr>
          <w:cantSplit/>
        </w:trPr>
        <w:tc>
          <w:tcPr>
            <w:tcW w:type="pct" w:w="500"/>
            <w:shd w:fill="FAFCFD" w:val="clear"/>
            <w:tcMar>
              <w:top w:type="dxa" w:w="70"/>
              <w:left w:type="dxa" w:w="120"/>
              <w:bottom w:type="dxa" w:w="70"/>
              <w:right w:type="dxa" w:w="120"/>
            </w:tcMar>
          </w:tcPr>
          <w:p>
            <w:r>
              <w:rPr>
                <w:sz w:val="19"/>
                <w:szCs w:val="19"/>
              </w:rPr>
              <w:t xml:space="preserve">17</w:t>
            </w:r>
          </w:p>
        </w:tc>
        <w:tc>
          <w:tcPr>
            <w:tcW w:type="pct" w:w="750"/>
            <w:shd w:fill="FAFCFD" w:val="clear"/>
            <w:tcMar>
              <w:top w:type="dxa" w:w="70"/>
              <w:left w:type="dxa" w:w="120"/>
              <w:bottom w:type="dxa" w:w="70"/>
              <w:right w:type="dxa" w:w="120"/>
            </w:tcMar>
          </w:tcPr>
          <w:p>
            <w:r>
              <w:rPr>
                <w:sz w:val="19"/>
                <w:szCs w:val="19"/>
              </w:rPr>
              <w:t xml:space="preserve">16/03/2026</w:t>
            </w:r>
          </w:p>
        </w:tc>
        <w:tc>
          <w:tcPr>
            <w:tcW w:type="pct" w:w="650"/>
            <w:shd w:fill="FAFCFD" w:val="clear"/>
            <w:tcMar>
              <w:top w:type="dxa" w:w="70"/>
              <w:left w:type="dxa" w:w="120"/>
              <w:bottom w:type="dxa" w:w="70"/>
              <w:right w:type="dxa" w:w="120"/>
            </w:tcMar>
          </w:tcPr>
          <w:p>
            <w:r>
              <w:rPr>
                <w:sz w:val="19"/>
                <w:szCs w:val="19"/>
              </w:rPr>
              <w:t xml:space="preserve">negativo</w:t>
            </w:r>
          </w:p>
        </w:tc>
        <w:tc>
          <w:tcPr>
            <w:tcW w:type="pct" w:w="1000"/>
            <w:shd w:fill="FAFCFD" w:val="clear"/>
            <w:tcMar>
              <w:top w:type="dxa" w:w="70"/>
              <w:left w:type="dxa" w:w="120"/>
              <w:bottom w:type="dxa" w:w="70"/>
              <w:right w:type="dxa" w:w="120"/>
            </w:tcMar>
          </w:tcPr>
          <w:p>
            <w:r>
              <w:rPr>
                <w:sz w:val="19"/>
                <w:szCs w:val="19"/>
              </w:rPr>
              <w:t xml:space="preserve">-2,93</w:t>
            </w:r>
          </w:p>
        </w:tc>
        <w:tc>
          <w:tcPr>
            <w:tcW w:type="pct" w:w="500"/>
            <w:shd w:fill="FAFCFD" w:val="clear"/>
            <w:tcMar>
              <w:top w:type="dxa" w:w="70"/>
              <w:left w:type="dxa" w:w="120"/>
              <w:bottom w:type="dxa" w:w="70"/>
              <w:right w:type="dxa" w:w="120"/>
            </w:tcMar>
          </w:tcPr>
          <w:p>
            <w:r>
              <w:rPr>
                <w:sz w:val="19"/>
                <w:szCs w:val="19"/>
              </w:rPr>
              <w:t xml:space="preserve">89</w:t>
            </w:r>
          </w:p>
        </w:tc>
        <w:tc>
          <w:tcPr>
            <w:tcW w:type="pct" w:w="700"/>
            <w:shd w:fill="FAFCFD" w:val="clear"/>
            <w:tcMar>
              <w:top w:type="dxa" w:w="70"/>
              <w:left w:type="dxa" w:w="120"/>
              <w:bottom w:type="dxa" w:w="70"/>
              <w:right w:type="dxa" w:w="120"/>
            </w:tcMar>
          </w:tcPr>
          <w:p>
            <w:r>
              <w:rPr>
                <w:sz w:val="19"/>
                <w:szCs w:val="19"/>
              </w:rPr>
              <w:t xml:space="preserve"/>
            </w:r>
          </w:p>
        </w:tc>
        <w:tc>
          <w:tcPr>
            <w:tcW w:type="pct" w:w="900"/>
            <w:shd w:fill="FAFCFD" w:val="clear"/>
            <w:tcMar>
              <w:top w:type="dxa" w:w="70"/>
              <w:left w:type="dxa" w:w="120"/>
              <w:bottom w:type="dxa" w:w="70"/>
              <w:right w:type="dxa" w:w="120"/>
            </w:tcMar>
          </w:tcPr>
          <w:p>
            <w:r>
              <w:rPr>
                <w:sz w:val="19"/>
                <w:szCs w:val="19"/>
              </w:rPr>
              <w:t xml:space="preserve"/>
            </w:r>
          </w:p>
        </w:tc>
      </w:tr>
      <w:tr>
        <w:trPr>
          <w:cantSplit/>
        </w:trPr>
        <w:tc>
          <w:tcPr>
            <w:tcW w:type="pct" w:w="500"/>
            <w:shd w:fill="FFFFFF" w:val="clear"/>
            <w:tcMar>
              <w:top w:type="dxa" w:w="70"/>
              <w:left w:type="dxa" w:w="120"/>
              <w:bottom w:type="dxa" w:w="70"/>
              <w:right w:type="dxa" w:w="120"/>
            </w:tcMar>
          </w:tcPr>
          <w:p>
            <w:r>
              <w:rPr>
                <w:sz w:val="19"/>
                <w:szCs w:val="19"/>
              </w:rPr>
              <w:t xml:space="preserve">18</w:t>
            </w:r>
          </w:p>
        </w:tc>
        <w:tc>
          <w:tcPr>
            <w:tcW w:type="pct" w:w="750"/>
            <w:shd w:fill="FFFFFF" w:val="clear"/>
            <w:tcMar>
              <w:top w:type="dxa" w:w="70"/>
              <w:left w:type="dxa" w:w="120"/>
              <w:bottom w:type="dxa" w:w="70"/>
              <w:right w:type="dxa" w:w="120"/>
            </w:tcMar>
          </w:tcPr>
          <w:p>
            <w:r>
              <w:rPr>
                <w:sz w:val="19"/>
                <w:szCs w:val="19"/>
              </w:rPr>
              <w:t xml:space="preserve">31/03/2026</w:t>
            </w:r>
          </w:p>
        </w:tc>
        <w:tc>
          <w:tcPr>
            <w:tcW w:type="pct" w:w="650"/>
            <w:shd w:fill="FFFFFF" w:val="clear"/>
            <w:tcMar>
              <w:top w:type="dxa" w:w="70"/>
              <w:left w:type="dxa" w:w="120"/>
              <w:bottom w:type="dxa" w:w="70"/>
              <w:right w:type="dxa" w:w="120"/>
            </w:tcMar>
          </w:tcPr>
          <w:p>
            <w:r>
              <w:rPr>
                <w:sz w:val="19"/>
                <w:szCs w:val="19"/>
              </w:rPr>
              <w:t xml:space="preserve">positivo</w:t>
            </w:r>
          </w:p>
        </w:tc>
        <w:tc>
          <w:tcPr>
            <w:tcW w:type="pct" w:w="1000"/>
            <w:shd w:fill="FFFFFF" w:val="clear"/>
            <w:tcMar>
              <w:top w:type="dxa" w:w="70"/>
              <w:left w:type="dxa" w:w="120"/>
              <w:bottom w:type="dxa" w:w="70"/>
              <w:right w:type="dxa" w:w="120"/>
            </w:tcMar>
          </w:tcPr>
          <w:p>
            <w:r>
              <w:rPr>
                <w:sz w:val="19"/>
                <w:szCs w:val="19"/>
              </w:rPr>
              <w:t xml:space="preserve">2,91</w:t>
            </w:r>
          </w:p>
        </w:tc>
        <w:tc>
          <w:tcPr>
            <w:tcW w:type="pct" w:w="500"/>
            <w:shd w:fill="FFFFFF" w:val="clear"/>
            <w:tcMar>
              <w:top w:type="dxa" w:w="70"/>
              <w:left w:type="dxa" w:w="120"/>
              <w:bottom w:type="dxa" w:w="70"/>
              <w:right w:type="dxa" w:w="120"/>
            </w:tcMar>
          </w:tcPr>
          <w:p>
            <w:r>
              <w:rPr>
                <w:sz w:val="19"/>
                <w:szCs w:val="19"/>
              </w:rPr>
              <w:t xml:space="preserve">55</w:t>
            </w:r>
          </w:p>
        </w:tc>
        <w:tc>
          <w:tcPr>
            <w:tcW w:type="pct" w:w="700"/>
            <w:shd w:fill="FFFFFF" w:val="clear"/>
            <w:tcMar>
              <w:top w:type="dxa" w:w="70"/>
              <w:left w:type="dxa" w:w="120"/>
              <w:bottom w:type="dxa" w:w="70"/>
              <w:right w:type="dxa" w:w="120"/>
            </w:tcMar>
          </w:tcPr>
          <w:p>
            <w:r>
              <w:rPr>
                <w:sz w:val="19"/>
                <w:szCs w:val="19"/>
              </w:rPr>
              <w:t xml:space="preserve"/>
            </w:r>
          </w:p>
        </w:tc>
        <w:tc>
          <w:tcPr>
            <w:tcW w:type="pct" w:w="900"/>
            <w:shd w:fill="FFFFFF" w:val="clear"/>
            <w:tcMar>
              <w:top w:type="dxa" w:w="70"/>
              <w:left w:type="dxa" w:w="120"/>
              <w:bottom w:type="dxa" w:w="70"/>
              <w:right w:type="dxa" w:w="120"/>
            </w:tcMar>
          </w:tcPr>
          <w:p>
            <w:r>
              <w:rPr>
                <w:sz w:val="19"/>
                <w:szCs w:val="19"/>
              </w:rPr>
              <w:t xml:space="preserve"/>
            </w:r>
          </w:p>
        </w:tc>
      </w:tr>
    </w:tbl>
    <w:p>
      <w:pPr>
        <w:spacing w:after="160" w:line="300"/>
      </w:pPr>
      <w:r>
        <w:t xml:space="preserve">7 de los 19 coinciden con un shock de la serie diaria de Gino. Las diferencias se deben a la regla de la rueda, al ajuste por portal y, sobre todo, a que la regla nueva no marca días con pocas notas: 18 shocks de la serie de Gino caían en días sin mercado, 13 de ellos con menos de 15 notas (entre 6 y 37).</w:t>
      </w:r>
    </w:p>
    <w:p>
      <w:pPr>
        <w:spacing w:after="160" w:line="300"/>
      </w:pPr>
      <w:r>
        <w:rPr>
          <w:b/>
          <w:bCs/>
        </w:rPr>
        <w:t xml:space="preserve">Los días electorales. </w:t>
      </w:r>
      <w:r>
        <w:t xml:space="preserve">La rueda del 27/10/2025, después de las legislativas, es una rueda de tono extremo positivo. La del 08/09/2025, después de las elecciones bonaerenses, tiene tono negativo pero no extremo, aunque el mercado cayó fuerte ese día. Los dos días se analizan aparte en U7, para no atribuirle al tono lo que fue un hecho político.</w:t>
      </w:r>
    </w:p>
    <w:p>
      <w:pPr>
        <w:pStyle w:val="Heading1"/>
        <w:keepNext/>
        <w:spacing w:after="160" w:before="360"/>
      </w:pPr>
      <w:r>
        <w:t xml:space="preserve">7.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La serie tiene las 244 ruedas, sin huecos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Las notas por rueda coinciden con U1</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Promediando por fecha calendario se reproduce la serie diaria de Gino</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El ajuste por portal deja en 0 el promedio de cada portal</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Solo hay shocks en ruedas con 20 ruedas previas de referencia</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 regla elegida tiene a lo sumo 20% de falsos esperados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La regla elegida marca más shocks que con las notas mezcladas al azar (p &lt; 0,05)</w:t>
            </w:r>
          </w:p>
        </w:tc>
        <w:tc>
          <w:tcPr>
            <w:tcW w:type="pct" w:w="900"/>
            <w:shd w:fill="FFFFFF"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8.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sentimiento_mercado_rueda.csv</w:t>
            </w:r>
          </w:p>
        </w:tc>
        <w:tc>
          <w:tcPr>
            <w:tcW w:type="pct" w:w="3300"/>
            <w:shd w:fill="FFFFFF" w:val="clear"/>
            <w:tcMar>
              <w:top w:type="dxa" w:w="70"/>
              <w:left w:type="dxa" w:w="120"/>
              <w:bottom w:type="dxa" w:w="70"/>
              <w:right w:type="dxa" w:w="120"/>
            </w:tcMar>
          </w:tcPr>
          <w:p>
            <w:r>
              <w:rPr>
                <w:sz w:val="19"/>
                <w:szCs w:val="19"/>
              </w:rPr>
              <w:t xml:space="preserve">Una fila por rueda: notas, días que cubre, atención anormal, tono simple y ajustado por portal, porcentaje de cada clase, distancia a lo habitual, shock y evento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shocks_rueda.csv</w:t>
            </w:r>
          </w:p>
        </w:tc>
        <w:tc>
          <w:tcPr>
            <w:tcW w:type="pct" w:w="3300"/>
            <w:shd w:fill="FAFCFD" w:val="clear"/>
            <w:tcMar>
              <w:top w:type="dxa" w:w="70"/>
              <w:left w:type="dxa" w:w="120"/>
              <w:bottom w:type="dxa" w:w="70"/>
              <w:right w:type="dxa" w:w="120"/>
            </w:tcMar>
          </w:tcPr>
          <w:p>
            <w:r>
              <w:rPr>
                <w:sz w:val="19"/>
                <w:szCs w:val="19"/>
              </w:rPr>
              <w:t xml:space="preserve">Las ruedas de tono extremo, con su evento, tipo, distancia, si es día electoral, si coincide con la serie de Gino y qué fechas de calendario junta</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reglas_shock.csv</w:t>
            </w:r>
          </w:p>
        </w:tc>
        <w:tc>
          <w:tcPr>
            <w:tcW w:type="pct" w:w="3300"/>
            <w:shd w:fill="FFFFFF" w:val="clear"/>
            <w:tcMar>
              <w:top w:type="dxa" w:w="70"/>
              <w:left w:type="dxa" w:w="120"/>
              <w:bottom w:type="dxa" w:w="70"/>
              <w:right w:type="dxa" w:w="120"/>
            </w:tcMar>
          </w:tcPr>
          <w:p>
            <w:r>
              <w:rPr>
                <w:sz w:val="19"/>
                <w:szCs w:val="19"/>
              </w:rPr>
              <w:t xml:space="preserve">Todas las reglas probadas (2 familias, 4 ventanas, 4 umbrales, 2 versiones del tono) contra el azar</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resumen_u2.csv</w:t>
            </w:r>
          </w:p>
        </w:tc>
        <w:tc>
          <w:tcPr>
            <w:tcW w:type="pct" w:w="3300"/>
            <w:shd w:fill="FAFCFD" w:val="clear"/>
            <w:tcMar>
              <w:top w:type="dxa" w:w="70"/>
              <w:left w:type="dxa" w:w="120"/>
              <w:bottom w:type="dxa" w:w="70"/>
              <w:right w:type="dxa" w:w="120"/>
            </w:tcMar>
          </w:tcPr>
          <w:p>
            <w:r>
              <w:rPr>
                <w:sz w:val="19"/>
                <w:szCs w:val="19"/>
              </w:rPr>
              <w:t xml:space="preserve">Las cifras de este documento</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verificaciones.csv</w:t>
            </w:r>
          </w:p>
        </w:tc>
        <w:tc>
          <w:tcPr>
            <w:tcW w:type="pct" w:w="3300"/>
            <w:shd w:fill="FFFFFF" w:val="clear"/>
            <w:tcMar>
              <w:top w:type="dxa" w:w="70"/>
              <w:left w:type="dxa" w:w="120"/>
              <w:bottom w:type="dxa" w:w="70"/>
              <w:right w:type="dxa" w:w="120"/>
            </w:tcMar>
          </w:tcPr>
          <w:p>
            <w:r>
              <w:rPr>
                <w:sz w:val="19"/>
                <w:szCs w:val="19"/>
              </w:rPr>
              <w:t xml:space="preserve">Los controles de la sección 7</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u2_serie.png</w:t>
            </w:r>
            <w:r>
              <w:t xml:space="preserve">, </w:t>
            </w:r>
            <w:r>
              <w:rPr>
                <w:rFonts w:ascii="Consolas" w:cs="Consolas" w:eastAsia="Consolas" w:hAnsi="Consolas"/>
                <w:color w:val="1C3A5C"/>
                <w:sz w:val="19"/>
                <w:szCs w:val="19"/>
              </w:rPr>
              <w:t xml:space="preserve">u2_reglas.png</w:t>
            </w:r>
          </w:p>
        </w:tc>
        <w:tc>
          <w:tcPr>
            <w:tcW w:type="pct" w:w="3300"/>
            <w:shd w:fill="FAFCFD" w:val="clear"/>
            <w:tcMar>
              <w:top w:type="dxa" w:w="70"/>
              <w:left w:type="dxa" w:w="120"/>
              <w:bottom w:type="dxa" w:w="70"/>
              <w:right w:type="dxa" w:w="120"/>
            </w:tcMar>
          </w:tcPr>
          <w:p>
            <w:r>
              <w:rPr>
                <w:sz w:val="19"/>
                <w:szCs w:val="19"/>
              </w:rPr>
              <w:t xml:space="preserve">Las figuras</w:t>
            </w:r>
          </w:p>
        </w:tc>
      </w:tr>
    </w:tbl>
    <w:p>
      <w:pPr>
        <w:pStyle w:val="Heading1"/>
        <w:keepNext/>
        <w:spacing w:after="160" w:before="360"/>
      </w:pPr>
      <w:r>
        <w:t xml:space="preserve">9. Limitaciones</w:t>
      </w:r>
    </w:p>
    <w:p>
      <w:pPr>
        <w:spacing w:after="160" w:line="300"/>
        <w:ind w:left="360" w:hanging="240"/>
      </w:pPr>
      <w:r>
        <w:t xml:space="preserve">•  El tono es el promedio de notas con igual peso: una nota corta pesa lo mismo que una larga, como en la serie de Gino.</w:t>
      </w:r>
    </w:p>
    <w:p>
      <w:pPr>
        <w:spacing w:after="160" w:line="300"/>
        <w:ind w:left="360" w:hanging="240"/>
      </w:pPr>
      <w:r>
        <w:t xml:space="preserve">•  Las ruedas de tono extremo son las puntas de la variación normal del tono, no días excepcionales; la tesis lo declara así.</w:t>
      </w:r>
    </w:p>
    <w:p>
      <w:pPr>
        <w:spacing w:after="160" w:line="300"/>
        <w:ind w:left="360" w:hanging="240"/>
      </w:pPr>
      <w:r>
        <w:t xml:space="preserve">•  Las primeras 20 ruedas (mayo de 2025) no tienen shocks ni atención anormal, porque no tienen 20 ruedas previas de referencia.</w:t>
      </w:r>
    </w:p>
    <w:p>
      <w:pPr>
        <w:spacing w:after="160" w:line="300"/>
        <w:ind w:left="360" w:hanging="240"/>
      </w:pPr>
      <w:r>
        <w:t xml:space="preserve">•  El ajuste por portal usa el promedio de cada portal en toda la ventana. Si un portal cambió su tono a lo largo del período, el ajuste no lo capta.</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U2 · Sentimiento por rueda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4e0313815ea993d694c4658c8c4d8276ceaf8.png"/><Relationship Id="rId10" Type="http://schemas.openxmlformats.org/officeDocument/2006/relationships/image" Target="media/bab8835ae99e48b154279ae4b75986d509cde8f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2026-10-24T04:35:02.951Z</dcterms:created>
  <dcterms:modified xsi:type="dcterms:W3CDTF">2026-10-24T04:35:02.951Z</dcterms:modified>
</cp:coreProperties>
</file>

<file path=docProps/custom.xml><?xml version="1.0" encoding="utf-8"?>
<Properties xmlns="http://schemas.openxmlformats.org/officeDocument/2006/custom-properties" xmlns:vt="http://schemas.openxmlformats.org/officeDocument/2006/docPropsVTypes"/>
</file>