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U3 · Sentimiento por empresa por rueda</w:t>
      </w:r>
    </w:p>
    <w:p>
      <w:pPr>
        <w:spacing w:after="200"/>
      </w:pPr>
      <w:r>
        <w:rPr>
          <w:rFonts w:ascii="Cambria" w:cs="Cambria" w:eastAsia="Cambria" w:hAnsi="Cambria"/>
          <w:i/>
          <w:iCs/>
          <w:color w:val="1C3A5C"/>
          <w:sz w:val="24"/>
          <w:szCs w:val="24"/>
        </w:rPr>
        <w:t xml:space="preserve">Qué tono tuvieron las noticias de cada empresa en cada día de bolsa</w:t>
      </w:r>
    </w:p>
    <w:p>
      <w:pPr>
        <w:pBdr>
          <w:bottom w:val="single" w:color="D9E0E7" w:sz="4" w:space="8"/>
        </w:pBdr>
        <w:spacing w:after="200"/>
      </w:pPr>
      <w:r>
        <w:rPr>
          <w:color w:val="5C6B7A"/>
          <w:sz w:val="19"/>
          <w:szCs w:val="19"/>
        </w:rPr>
        <w:t xml:space="preserve">Tesina — Impacto de shocks informativos en acciones argentinas (BYMA / S&amp;P Merval). Documento de la unión: lee el lado bursátil y el lado de noticias sin modificarlos.</w:t>
      </w:r>
    </w:p>
    <w:p>
      <w:pPr>
        <w:spacing w:after="160" w:line="300"/>
      </w:pPr>
      <w:r>
        <w:rPr>
          <w:b/>
          <w:bCs/>
        </w:rPr>
        <w:t xml:space="preserve">Ubicación. </w:t>
      </w:r>
      <w:r>
        <w:rPr>
          <w:rFonts w:ascii="Consolas" w:cs="Consolas" w:eastAsia="Consolas" w:hAnsi="Consolas"/>
          <w:color w:val="1C3A5C"/>
          <w:sz w:val="19"/>
          <w:szCs w:val="19"/>
        </w:rPr>
        <w:t xml:space="preserve">D:\2.Tesina\tesis version 3.0\Unión\03_sentimiento_por_empresa\</w:t>
      </w:r>
      <w:r>
        <w:t xml:space="preserve">. Script: </w:t>
      </w:r>
      <w:r>
        <w:rPr>
          <w:rFonts w:ascii="Consolas" w:cs="Consolas" w:eastAsia="Consolas" w:hAnsi="Consolas"/>
          <w:color w:val="1C3A5C"/>
          <w:sz w:val="19"/>
          <w:szCs w:val="19"/>
        </w:rPr>
        <w:t xml:space="preserve">sentimiento_por_empresa.py</w:t>
      </w:r>
      <w:r>
        <w:t xml:space="preserv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En una frase</w:t>
            </w:r>
          </w:p>
          <w:p>
            <w:pPr>
              <w:spacing w:after="60" w:line="276"/>
            </w:pPr>
            <w:r>
              <w:t xml:space="preserve">Se rehízo el cruce de Gino entre las menciones de empresas y el sentimiento de cada oración, agrupando por rueda en lugar de por fecha. Resultado: un panel de 47 acciones × 244 ruedas que dice, para cada día, si hubo noticias de la empresa y con qué tono. 17 empresas tienen noticias en al menos 90 ruedas y usan su sentimiento propio; las demás usan el sentimiento general del mercado.</w:t>
            </w:r>
          </w:p>
        </w:tc>
      </w:tr>
    </w:tbl>
    <w:p>
      <w:pPr>
        <w:pStyle w:val="Heading1"/>
        <w:keepNext/>
        <w:spacing w:after="160" w:before="360"/>
      </w:pPr>
      <w:r>
        <w:t xml:space="preserve">1. Qué hace este paso</w:t>
      </w:r>
    </w:p>
    <w:p>
      <w:pPr>
        <w:spacing w:after="160" w:line="300"/>
      </w:pPr>
      <w:r>
        <w:t xml:space="preserve">Gino ya había calculado el sentimiento de cada empresa por fecha: buscó en cada oración las menciones de las 47 empresas (NER) y les asignó el tono de esa oración según el modelo de sentimiento. Este paso repite exactamente ese cálculo, con una sola diferencia: cada oración cuenta para la rueda de su nota (U1), no para su fecha de calendario. Así el sentimiento de una empresa se compara con el precio que pudo verse afectado por esas noticias.</w:t>
      </w:r>
    </w:p>
    <w:p>
      <w:pPr>
        <w:spacing w:after="160" w:line="300"/>
      </w:pPr>
      <w:r>
        <w:t xml:space="preserve">Para que el cálculo sea idéntico, el script no copia el código de Gino: importa sus propias funciones (cómo se normaliza el texto, cómo se unifican los indicadores sinónimos y cómo se calcula el sentimiento neto).</w:t>
      </w:r>
    </w:p>
    <w:p>
      <w:pPr>
        <w:pStyle w:val="Heading1"/>
        <w:keepNext/>
        <w:spacing w:after="160" w:before="360"/>
      </w:pPr>
      <w:r>
        <w:t xml:space="preserve">2. Cómo se arma</w:t>
      </w:r>
    </w:p>
    <w:p>
      <w:pPr>
        <w:spacing w:after="160" w:line="300"/>
        <w:ind w:left="360" w:hanging="240"/>
      </w:pPr>
      <w:r>
        <w:t xml:space="preserve">•  </w:t>
      </w:r>
      <w:r>
        <w:rPr>
          <w:b/>
          <w:bCs/>
        </w:rPr>
        <w:t xml:space="preserve">Unión mención–sentimiento. </w:t>
      </w:r>
      <w:r>
        <w:t xml:space="preserve">Cada mención se une con el sentimiento de su oración por nota y número de oración, exigiendo además que el texto coincida. Se unen 240.811 de 242.312 oraciones con entidades (99,38%), igual que en el cruce de Gino.</w:t>
      </w:r>
    </w:p>
    <w:p>
      <w:pPr>
        <w:spacing w:after="160" w:line="300"/>
        <w:ind w:left="360" w:hanging="240"/>
      </w:pPr>
      <w:r>
        <w:t xml:space="preserve">•  </w:t>
      </w:r>
      <w:r>
        <w:rPr>
          <w:b/>
          <w:bCs/>
        </w:rPr>
        <w:t xml:space="preserve">Una oración, un voto. </w:t>
      </w:r>
      <w:r>
        <w:t xml:space="preserve">Si una oración menciona dos veces a la misma empresa, cuenta una sola vez.</w:t>
      </w:r>
    </w:p>
    <w:p>
      <w:pPr>
        <w:spacing w:after="160" w:line="300"/>
        <w:ind w:left="360" w:hanging="240"/>
      </w:pPr>
      <w:r>
        <w:t xml:space="preserve">•  </w:t>
      </w:r>
      <w:r>
        <w:rPr>
          <w:b/>
          <w:bCs/>
        </w:rPr>
        <w:t xml:space="preserve">Sentimiento neto. </w:t>
      </w:r>
      <w:r>
        <w:t xml:space="preserve">Para cada empresa y rueda: (oraciones positivas − oraciones negativas) / oraciones que la mencionan × 100, la misma fórmula del resto del trabajo.</w:t>
      </w:r>
    </w:p>
    <w:p>
      <w:pPr>
        <w:spacing w:after="160" w:line="300"/>
        <w:ind w:left="360" w:hanging="240"/>
      </w:pPr>
      <w:r>
        <w:t xml:space="preserve">•  </w:t>
      </w:r>
      <w:r>
        <w:rPr>
          <w:b/>
          <w:bCs/>
        </w:rPr>
        <w:t xml:space="preserve">Sin noticia no es tono neutro. </w:t>
      </w:r>
      <w:r>
        <w:t xml:space="preserve">Si una empresa no aparece en una rueda, su sentimiento queda vacío y la marca hubo_noticia vale 0. No se completa con 0, porque 0 significa "tono neutro" y haría parecer neutras a las empresas de las que nadie habla.</w:t>
      </w:r>
    </w:p>
    <w:p>
      <w:pPr>
        <w:pStyle w:val="Heading1"/>
        <w:keepNext/>
        <w:spacing w:after="160" w:before="360"/>
      </w:pPr>
      <w:r>
        <w:t xml:space="preserve">3. Cuántas ruedas tienen noticias de cada empresa</w:t>
      </w:r>
    </w:p>
    <w:p>
      <w:pPr>
        <w:spacing w:after="160"/>
        <w:jc w:val="center"/>
      </w:pPr>
      <w:r>
        <w:drawing>
          <wp:inline distT="0" distB="0" distL="0" distR="0">
            <wp:extent cx="561975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857750"/>
                    </a:xfrm>
                    <a:prstGeom prst="rect">
                      <a:avLst/>
                    </a:prstGeom>
                  </pic:spPr>
                </pic:pic>
              </a:graphicData>
            </a:graphic>
          </wp:inline>
        </w:drawing>
      </w:r>
    </w:p>
    <w:p>
      <w:pPr>
        <w:spacing w:after="160" w:line="300"/>
      </w:pPr>
      <w:r>
        <w:rPr>
          <w:i/>
          <w:iCs/>
          <w:color w:val="5C6B7A"/>
          <w:sz w:val="18"/>
          <w:szCs w:val="18"/>
        </w:rPr>
        <w:t xml:space="preserve">Arriba: ruedas con al menos una noticia de cada empresa (azul: las que usan sentimiento propio). Abajo: el sentimiento propio de esas 17 empresas en cada rueda.</w:t>
      </w:r>
    </w:p>
    <w:p>
      <w:pPr>
        <w:spacing w:after="160" w:line="300"/>
      </w:pPr>
      <w:r>
        <w:rPr>
          <w:b/>
          <w:bCs/>
        </w:rPr>
        <w:t xml:space="preserve">El corte de las 90 ruedas. </w:t>
      </w:r>
      <w:r>
        <w:t xml:space="preserve">El corte se había fijado en 95 ruedas para incluir a Aluar (ALUA), que en el diagnóstico previo figuraba con 97. Ese número era una estimación: usaba solo la fecha de cada nota, porque la hora recién se incorpora en U1. Con la regla completa, ALUA tiene 94 ruedas, así que el 24/10 el corte se bajó a 90. Cualquier corte entre 75 y 94 da exactamente las mismas 17 empresas: la siguiente, COME, tiene 74.</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662"/>
        <w:gridCol w:w="1446"/>
        <w:gridCol w:w="1831"/>
        <w:gridCol w:w="1349"/>
        <w:gridCol w:w="1349"/>
      </w:tblGrid>
      <w:tr>
        <w:trPr>
          <w:tblHeader/>
        </w:trPr>
        <w:tc>
          <w:tcPr>
            <w:tcW w:type="pct" w:w="1900"/>
            <w:shd w:fill="1C3A5C" w:val="clear"/>
            <w:tcMar>
              <w:top w:type="dxa" w:w="80"/>
              <w:left w:type="dxa" w:w="120"/>
              <w:bottom w:type="dxa" w:w="80"/>
              <w:right w:type="dxa" w:w="120"/>
            </w:tcMar>
          </w:tcPr>
          <w:p>
            <w:r>
              <w:rPr>
                <w:b/>
                <w:bCs/>
                <w:color w:val="FFFFFF"/>
                <w:sz w:val="19"/>
                <w:szCs w:val="19"/>
              </w:rPr>
              <w:t xml:space="preserve">Empresa</w:t>
            </w:r>
          </w:p>
        </w:tc>
        <w:tc>
          <w:tcPr>
            <w:tcW w:type="pct" w:w="750"/>
            <w:shd w:fill="1C3A5C" w:val="clear"/>
            <w:tcMar>
              <w:top w:type="dxa" w:w="80"/>
              <w:left w:type="dxa" w:w="120"/>
              <w:bottom w:type="dxa" w:w="80"/>
              <w:right w:type="dxa" w:w="120"/>
            </w:tcMar>
          </w:tcPr>
          <w:p>
            <w:r>
              <w:rPr>
                <w:b/>
                <w:bCs/>
                <w:color w:val="FFFFFF"/>
                <w:sz w:val="19"/>
                <w:szCs w:val="19"/>
              </w:rPr>
              <w:t xml:space="preserve">Sector</w:t>
            </w:r>
          </w:p>
        </w:tc>
        <w:tc>
          <w:tcPr>
            <w:tcW w:type="pct" w:w="950"/>
            <w:shd w:fill="1C3A5C" w:val="clear"/>
            <w:tcMar>
              <w:top w:type="dxa" w:w="80"/>
              <w:left w:type="dxa" w:w="120"/>
              <w:bottom w:type="dxa" w:w="80"/>
              <w:right w:type="dxa" w:w="120"/>
            </w:tcMar>
          </w:tcPr>
          <w:p>
            <w:r>
              <w:rPr>
                <w:b/>
                <w:bCs/>
                <w:color w:val="FFFFFF"/>
                <w:sz w:val="19"/>
                <w:szCs w:val="19"/>
              </w:rPr>
              <w:t xml:space="preserve">Ruedas con noticias</w:t>
            </w:r>
          </w:p>
        </w:tc>
        <w:tc>
          <w:tcPr>
            <w:tcW w:type="pct" w:w="700"/>
            <w:shd w:fill="1C3A5C" w:val="clear"/>
            <w:tcMar>
              <w:top w:type="dxa" w:w="80"/>
              <w:left w:type="dxa" w:w="120"/>
              <w:bottom w:type="dxa" w:w="80"/>
              <w:right w:type="dxa" w:w="120"/>
            </w:tcMar>
          </w:tcPr>
          <w:p>
            <w:r>
              <w:rPr>
                <w:b/>
                <w:bCs/>
                <w:color w:val="FFFFFF"/>
                <w:sz w:val="19"/>
                <w:szCs w:val="19"/>
              </w:rPr>
              <w:t xml:space="preserve">Estimación previa</w:t>
            </w:r>
          </w:p>
        </w:tc>
        <w:tc>
          <w:tcPr>
            <w:tcW w:type="pct" w:w="700"/>
            <w:shd w:fill="1C3A5C" w:val="clear"/>
            <w:tcMar>
              <w:top w:type="dxa" w:w="80"/>
              <w:left w:type="dxa" w:w="120"/>
              <w:bottom w:type="dxa" w:w="80"/>
              <w:right w:type="dxa" w:w="120"/>
            </w:tcMar>
          </w:tcPr>
          <w:p>
            <w:r>
              <w:rPr>
                <w:b/>
                <w:bCs/>
                <w:color w:val="FFFFFF"/>
                <w:sz w:val="19"/>
                <w:szCs w:val="19"/>
              </w:rPr>
              <w:t xml:space="preserve">Tono total</w:t>
            </w:r>
          </w:p>
        </w:tc>
      </w:tr>
      <w:tr>
        <w:trPr>
          <w:cantSplit/>
        </w:trPr>
        <w:tc>
          <w:tcPr>
            <w:tcW w:type="pct" w:w="1900"/>
            <w:shd w:fill="FFFFFF" w:val="clear"/>
            <w:tcMar>
              <w:top w:type="dxa" w:w="70"/>
              <w:left w:type="dxa" w:w="120"/>
              <w:bottom w:type="dxa" w:w="70"/>
              <w:right w:type="dxa" w:w="120"/>
            </w:tcMar>
          </w:tcPr>
          <w:p>
            <w:r>
              <w:rPr>
                <w:sz w:val="19"/>
                <w:szCs w:val="19"/>
              </w:rPr>
              <w:t xml:space="preserve">YPFD · YPF SA</w:t>
            </w:r>
          </w:p>
        </w:tc>
        <w:tc>
          <w:tcPr>
            <w:tcW w:type="pct" w:w="750"/>
            <w:shd w:fill="FFFFFF" w:val="clear"/>
            <w:tcMar>
              <w:top w:type="dxa" w:w="70"/>
              <w:left w:type="dxa" w:w="120"/>
              <w:bottom w:type="dxa" w:w="70"/>
              <w:right w:type="dxa" w:w="120"/>
            </w:tcMar>
          </w:tcPr>
          <w:p>
            <w:r>
              <w:rPr>
                <w:sz w:val="19"/>
                <w:szCs w:val="19"/>
              </w:rPr>
              <w:t xml:space="preserve">Energía</w:t>
            </w:r>
          </w:p>
        </w:tc>
        <w:tc>
          <w:tcPr>
            <w:tcW w:type="pct" w:w="950"/>
            <w:shd w:fill="FFFFFF" w:val="clear"/>
            <w:tcMar>
              <w:top w:type="dxa" w:w="70"/>
              <w:left w:type="dxa" w:w="120"/>
              <w:bottom w:type="dxa" w:w="70"/>
              <w:right w:type="dxa" w:w="120"/>
            </w:tcMar>
          </w:tcPr>
          <w:p>
            <w:r>
              <w:rPr>
                <w:sz w:val="19"/>
                <w:szCs w:val="19"/>
              </w:rPr>
              <w:t xml:space="preserve">237 (97,1%)</w:t>
            </w:r>
          </w:p>
        </w:tc>
        <w:tc>
          <w:tcPr>
            <w:tcW w:type="pct" w:w="700"/>
            <w:shd w:fill="FFFFFF" w:val="clear"/>
            <w:tcMar>
              <w:top w:type="dxa" w:w="70"/>
              <w:left w:type="dxa" w:w="120"/>
              <w:bottom w:type="dxa" w:w="70"/>
              <w:right w:type="dxa" w:w="120"/>
            </w:tcMar>
          </w:tcPr>
          <w:p>
            <w:r>
              <w:rPr>
                <w:sz w:val="19"/>
                <w:szCs w:val="19"/>
              </w:rPr>
              <w:t xml:space="preserve">236</w:t>
            </w:r>
          </w:p>
        </w:tc>
        <w:tc>
          <w:tcPr>
            <w:tcW w:type="pct" w:w="700"/>
            <w:shd w:fill="FFFFFF" w:val="clear"/>
            <w:tcMar>
              <w:top w:type="dxa" w:w="70"/>
              <w:left w:type="dxa" w:w="120"/>
              <w:bottom w:type="dxa" w:w="70"/>
              <w:right w:type="dxa" w:w="120"/>
            </w:tcMar>
          </w:tcPr>
          <w:p>
            <w:r>
              <w:rPr>
                <w:sz w:val="19"/>
                <w:szCs w:val="19"/>
              </w:rPr>
              <w:t xml:space="preserve">+17,2</w:t>
            </w:r>
          </w:p>
        </w:tc>
      </w:tr>
      <w:tr>
        <w:trPr>
          <w:cantSplit/>
        </w:trPr>
        <w:tc>
          <w:tcPr>
            <w:tcW w:type="pct" w:w="1900"/>
            <w:shd w:fill="FAFCFD" w:val="clear"/>
            <w:tcMar>
              <w:top w:type="dxa" w:w="70"/>
              <w:left w:type="dxa" w:w="120"/>
              <w:bottom w:type="dxa" w:w="70"/>
              <w:right w:type="dxa" w:w="120"/>
            </w:tcMar>
          </w:tcPr>
          <w:p>
            <w:r>
              <w:rPr>
                <w:sz w:val="19"/>
                <w:szCs w:val="19"/>
              </w:rPr>
              <w:t xml:space="preserve">BBAR · BBVA Banco Francés</w:t>
            </w:r>
          </w:p>
        </w:tc>
        <w:tc>
          <w:tcPr>
            <w:tcW w:type="pct" w:w="750"/>
            <w:shd w:fill="FAFCFD" w:val="clear"/>
            <w:tcMar>
              <w:top w:type="dxa" w:w="70"/>
              <w:left w:type="dxa" w:w="120"/>
              <w:bottom w:type="dxa" w:w="70"/>
              <w:right w:type="dxa" w:w="120"/>
            </w:tcMar>
          </w:tcPr>
          <w:p>
            <w:r>
              <w:rPr>
                <w:sz w:val="19"/>
                <w:szCs w:val="19"/>
              </w:rPr>
              <w:t xml:space="preserve">Financiero</w:t>
            </w:r>
          </w:p>
        </w:tc>
        <w:tc>
          <w:tcPr>
            <w:tcW w:type="pct" w:w="950"/>
            <w:shd w:fill="FAFCFD" w:val="clear"/>
            <w:tcMar>
              <w:top w:type="dxa" w:w="70"/>
              <w:left w:type="dxa" w:w="120"/>
              <w:bottom w:type="dxa" w:w="70"/>
              <w:right w:type="dxa" w:w="120"/>
            </w:tcMar>
          </w:tcPr>
          <w:p>
            <w:r>
              <w:rPr>
                <w:sz w:val="19"/>
                <w:szCs w:val="19"/>
              </w:rPr>
              <w:t xml:space="preserve">229 (93,9%)</w:t>
            </w:r>
          </w:p>
        </w:tc>
        <w:tc>
          <w:tcPr>
            <w:tcW w:type="pct" w:w="700"/>
            <w:shd w:fill="FAFCFD" w:val="clear"/>
            <w:tcMar>
              <w:top w:type="dxa" w:w="70"/>
              <w:left w:type="dxa" w:w="120"/>
              <w:bottom w:type="dxa" w:w="70"/>
              <w:right w:type="dxa" w:w="120"/>
            </w:tcMar>
          </w:tcPr>
          <w:p>
            <w:r>
              <w:rPr>
                <w:sz w:val="19"/>
                <w:szCs w:val="19"/>
              </w:rPr>
              <w:t xml:space="preserve">227</w:t>
            </w:r>
          </w:p>
        </w:tc>
        <w:tc>
          <w:tcPr>
            <w:tcW w:type="pct" w:w="700"/>
            <w:shd w:fill="FAFCFD" w:val="clear"/>
            <w:tcMar>
              <w:top w:type="dxa" w:w="70"/>
              <w:left w:type="dxa" w:w="120"/>
              <w:bottom w:type="dxa" w:w="70"/>
              <w:right w:type="dxa" w:w="120"/>
            </w:tcMar>
          </w:tcPr>
          <w:p>
            <w:r>
              <w:rPr>
                <w:sz w:val="19"/>
                <w:szCs w:val="19"/>
              </w:rPr>
              <w:t xml:space="preserve">+11,4</w:t>
            </w:r>
          </w:p>
        </w:tc>
      </w:tr>
      <w:tr>
        <w:trPr>
          <w:cantSplit/>
        </w:trPr>
        <w:tc>
          <w:tcPr>
            <w:tcW w:type="pct" w:w="1900"/>
            <w:shd w:fill="FFFFFF" w:val="clear"/>
            <w:tcMar>
              <w:top w:type="dxa" w:w="70"/>
              <w:left w:type="dxa" w:w="120"/>
              <w:bottom w:type="dxa" w:w="70"/>
              <w:right w:type="dxa" w:w="120"/>
            </w:tcMar>
          </w:tcPr>
          <w:p>
            <w:r>
              <w:rPr>
                <w:sz w:val="19"/>
                <w:szCs w:val="19"/>
              </w:rPr>
              <w:t xml:space="preserve">SUPV · Supervielle</w:t>
            </w:r>
          </w:p>
        </w:tc>
        <w:tc>
          <w:tcPr>
            <w:tcW w:type="pct" w:w="750"/>
            <w:shd w:fill="FFFFFF" w:val="clear"/>
            <w:tcMar>
              <w:top w:type="dxa" w:w="70"/>
              <w:left w:type="dxa" w:w="120"/>
              <w:bottom w:type="dxa" w:w="70"/>
              <w:right w:type="dxa" w:w="120"/>
            </w:tcMar>
          </w:tcPr>
          <w:p>
            <w:r>
              <w:rPr>
                <w:sz w:val="19"/>
                <w:szCs w:val="19"/>
              </w:rPr>
              <w:t xml:space="preserve">Financiero</w:t>
            </w:r>
          </w:p>
        </w:tc>
        <w:tc>
          <w:tcPr>
            <w:tcW w:type="pct" w:w="950"/>
            <w:shd w:fill="FFFFFF" w:val="clear"/>
            <w:tcMar>
              <w:top w:type="dxa" w:w="70"/>
              <w:left w:type="dxa" w:w="120"/>
              <w:bottom w:type="dxa" w:w="70"/>
              <w:right w:type="dxa" w:w="120"/>
            </w:tcMar>
          </w:tcPr>
          <w:p>
            <w:r>
              <w:rPr>
                <w:sz w:val="19"/>
                <w:szCs w:val="19"/>
              </w:rPr>
              <w:t xml:space="preserve">223 (91,4%)</w:t>
            </w:r>
          </w:p>
        </w:tc>
        <w:tc>
          <w:tcPr>
            <w:tcW w:type="pct" w:w="700"/>
            <w:shd w:fill="FFFFFF" w:val="clear"/>
            <w:tcMar>
              <w:top w:type="dxa" w:w="70"/>
              <w:left w:type="dxa" w:w="120"/>
              <w:bottom w:type="dxa" w:w="70"/>
              <w:right w:type="dxa" w:w="120"/>
            </w:tcMar>
          </w:tcPr>
          <w:p>
            <w:r>
              <w:rPr>
                <w:sz w:val="19"/>
                <w:szCs w:val="19"/>
              </w:rPr>
              <w:t xml:space="preserve">222</w:t>
            </w:r>
          </w:p>
        </w:tc>
        <w:tc>
          <w:tcPr>
            <w:tcW w:type="pct" w:w="700"/>
            <w:shd w:fill="FFFFFF" w:val="clear"/>
            <w:tcMar>
              <w:top w:type="dxa" w:w="70"/>
              <w:left w:type="dxa" w:w="120"/>
              <w:bottom w:type="dxa" w:w="70"/>
              <w:right w:type="dxa" w:w="120"/>
            </w:tcMar>
          </w:tcPr>
          <w:p>
            <w:r>
              <w:rPr>
                <w:sz w:val="19"/>
                <w:szCs w:val="19"/>
              </w:rPr>
              <w:t xml:space="preserve">+1,5</w:t>
            </w:r>
          </w:p>
        </w:tc>
      </w:tr>
      <w:tr>
        <w:trPr>
          <w:cantSplit/>
        </w:trPr>
        <w:tc>
          <w:tcPr>
            <w:tcW w:type="pct" w:w="1900"/>
            <w:shd w:fill="FAFCFD" w:val="clear"/>
            <w:tcMar>
              <w:top w:type="dxa" w:w="70"/>
              <w:left w:type="dxa" w:w="120"/>
              <w:bottom w:type="dxa" w:w="70"/>
              <w:right w:type="dxa" w:w="120"/>
            </w:tcMar>
          </w:tcPr>
          <w:p>
            <w:r>
              <w:rPr>
                <w:sz w:val="19"/>
                <w:szCs w:val="19"/>
              </w:rPr>
              <w:t xml:space="preserve">EDN · Edenor</w:t>
            </w:r>
          </w:p>
        </w:tc>
        <w:tc>
          <w:tcPr>
            <w:tcW w:type="pct" w:w="750"/>
            <w:shd w:fill="FAFCFD" w:val="clear"/>
            <w:tcMar>
              <w:top w:type="dxa" w:w="70"/>
              <w:left w:type="dxa" w:w="120"/>
              <w:bottom w:type="dxa" w:w="70"/>
              <w:right w:type="dxa" w:w="120"/>
            </w:tcMar>
          </w:tcPr>
          <w:p>
            <w:r>
              <w:rPr>
                <w:sz w:val="19"/>
                <w:szCs w:val="19"/>
              </w:rPr>
              <w:t xml:space="preserve">Utilities</w:t>
            </w:r>
          </w:p>
        </w:tc>
        <w:tc>
          <w:tcPr>
            <w:tcW w:type="pct" w:w="950"/>
            <w:shd w:fill="FAFCFD" w:val="clear"/>
            <w:tcMar>
              <w:top w:type="dxa" w:w="70"/>
              <w:left w:type="dxa" w:w="120"/>
              <w:bottom w:type="dxa" w:w="70"/>
              <w:right w:type="dxa" w:w="120"/>
            </w:tcMar>
          </w:tcPr>
          <w:p>
            <w:r>
              <w:rPr>
                <w:sz w:val="19"/>
                <w:szCs w:val="19"/>
              </w:rPr>
              <w:t xml:space="preserve">213 (87,3%)</w:t>
            </w:r>
          </w:p>
        </w:tc>
        <w:tc>
          <w:tcPr>
            <w:tcW w:type="pct" w:w="700"/>
            <w:shd w:fill="FAFCFD" w:val="clear"/>
            <w:tcMar>
              <w:top w:type="dxa" w:w="70"/>
              <w:left w:type="dxa" w:w="120"/>
              <w:bottom w:type="dxa" w:w="70"/>
              <w:right w:type="dxa" w:w="120"/>
            </w:tcMar>
          </w:tcPr>
          <w:p>
            <w:r>
              <w:rPr>
                <w:sz w:val="19"/>
                <w:szCs w:val="19"/>
              </w:rPr>
              <w:t xml:space="preserve">207</w:t>
            </w:r>
          </w:p>
        </w:tc>
        <w:tc>
          <w:tcPr>
            <w:tcW w:type="pct" w:w="700"/>
            <w:shd w:fill="FAFCFD" w:val="clear"/>
            <w:tcMar>
              <w:top w:type="dxa" w:w="70"/>
              <w:left w:type="dxa" w:w="120"/>
              <w:bottom w:type="dxa" w:w="70"/>
              <w:right w:type="dxa" w:w="120"/>
            </w:tcMar>
          </w:tcPr>
          <w:p>
            <w:r>
              <w:rPr>
                <w:sz w:val="19"/>
                <w:szCs w:val="19"/>
              </w:rPr>
              <w:t xml:space="preserve">+1,3</w:t>
            </w:r>
          </w:p>
        </w:tc>
      </w:tr>
      <w:tr>
        <w:trPr>
          <w:cantSplit/>
        </w:trPr>
        <w:tc>
          <w:tcPr>
            <w:tcW w:type="pct" w:w="1900"/>
            <w:shd w:fill="FFFFFF" w:val="clear"/>
            <w:tcMar>
              <w:top w:type="dxa" w:w="70"/>
              <w:left w:type="dxa" w:w="120"/>
              <w:bottom w:type="dxa" w:w="70"/>
              <w:right w:type="dxa" w:w="120"/>
            </w:tcMar>
          </w:tcPr>
          <w:p>
            <w:r>
              <w:rPr>
                <w:sz w:val="19"/>
                <w:szCs w:val="19"/>
              </w:rPr>
              <w:t xml:space="preserve">GGAL · Grupo Financiero Galicia</w:t>
            </w:r>
          </w:p>
        </w:tc>
        <w:tc>
          <w:tcPr>
            <w:tcW w:type="pct" w:w="750"/>
            <w:shd w:fill="FFFFFF" w:val="clear"/>
            <w:tcMar>
              <w:top w:type="dxa" w:w="70"/>
              <w:left w:type="dxa" w:w="120"/>
              <w:bottom w:type="dxa" w:w="70"/>
              <w:right w:type="dxa" w:w="120"/>
            </w:tcMar>
          </w:tcPr>
          <w:p>
            <w:r>
              <w:rPr>
                <w:sz w:val="19"/>
                <w:szCs w:val="19"/>
              </w:rPr>
              <w:t xml:space="preserve">Financiero</w:t>
            </w:r>
          </w:p>
        </w:tc>
        <w:tc>
          <w:tcPr>
            <w:tcW w:type="pct" w:w="950"/>
            <w:shd w:fill="FFFFFF" w:val="clear"/>
            <w:tcMar>
              <w:top w:type="dxa" w:w="70"/>
              <w:left w:type="dxa" w:w="120"/>
              <w:bottom w:type="dxa" w:w="70"/>
              <w:right w:type="dxa" w:w="120"/>
            </w:tcMar>
          </w:tcPr>
          <w:p>
            <w:r>
              <w:rPr>
                <w:sz w:val="19"/>
                <w:szCs w:val="19"/>
              </w:rPr>
              <w:t xml:space="preserve">195 (79,9%)</w:t>
            </w:r>
          </w:p>
        </w:tc>
        <w:tc>
          <w:tcPr>
            <w:tcW w:type="pct" w:w="700"/>
            <w:shd w:fill="FFFFFF" w:val="clear"/>
            <w:tcMar>
              <w:top w:type="dxa" w:w="70"/>
              <w:left w:type="dxa" w:w="120"/>
              <w:bottom w:type="dxa" w:w="70"/>
              <w:right w:type="dxa" w:w="120"/>
            </w:tcMar>
          </w:tcPr>
          <w:p>
            <w:r>
              <w:rPr>
                <w:sz w:val="19"/>
                <w:szCs w:val="19"/>
              </w:rPr>
              <w:t xml:space="preserve">201</w:t>
            </w:r>
          </w:p>
        </w:tc>
        <w:tc>
          <w:tcPr>
            <w:tcW w:type="pct" w:w="700"/>
            <w:shd w:fill="FFFFFF" w:val="clear"/>
            <w:tcMar>
              <w:top w:type="dxa" w:w="70"/>
              <w:left w:type="dxa" w:w="120"/>
              <w:bottom w:type="dxa" w:w="70"/>
              <w:right w:type="dxa" w:w="120"/>
            </w:tcMar>
          </w:tcPr>
          <w:p>
            <w:r>
              <w:rPr>
                <w:sz w:val="19"/>
                <w:szCs w:val="19"/>
              </w:rPr>
              <w:t xml:space="preserve">+28,9</w:t>
            </w:r>
          </w:p>
        </w:tc>
      </w:tr>
      <w:tr>
        <w:trPr>
          <w:cantSplit/>
        </w:trPr>
        <w:tc>
          <w:tcPr>
            <w:tcW w:type="pct" w:w="1900"/>
            <w:shd w:fill="FAFCFD" w:val="clear"/>
            <w:tcMar>
              <w:top w:type="dxa" w:w="70"/>
              <w:left w:type="dxa" w:w="120"/>
              <w:bottom w:type="dxa" w:w="70"/>
              <w:right w:type="dxa" w:w="120"/>
            </w:tcMar>
          </w:tcPr>
          <w:p>
            <w:r>
              <w:rPr>
                <w:sz w:val="19"/>
                <w:szCs w:val="19"/>
              </w:rPr>
              <w:t xml:space="preserve">CEPU · Central Puerto</w:t>
            </w:r>
          </w:p>
        </w:tc>
        <w:tc>
          <w:tcPr>
            <w:tcW w:type="pct" w:w="750"/>
            <w:shd w:fill="FAFCFD" w:val="clear"/>
            <w:tcMar>
              <w:top w:type="dxa" w:w="70"/>
              <w:left w:type="dxa" w:w="120"/>
              <w:bottom w:type="dxa" w:w="70"/>
              <w:right w:type="dxa" w:w="120"/>
            </w:tcMar>
          </w:tcPr>
          <w:p>
            <w:r>
              <w:rPr>
                <w:sz w:val="19"/>
                <w:szCs w:val="19"/>
              </w:rPr>
              <w:t xml:space="preserve">Utilities</w:t>
            </w:r>
          </w:p>
        </w:tc>
        <w:tc>
          <w:tcPr>
            <w:tcW w:type="pct" w:w="950"/>
            <w:shd w:fill="FAFCFD" w:val="clear"/>
            <w:tcMar>
              <w:top w:type="dxa" w:w="70"/>
              <w:left w:type="dxa" w:w="120"/>
              <w:bottom w:type="dxa" w:w="70"/>
              <w:right w:type="dxa" w:w="120"/>
            </w:tcMar>
          </w:tcPr>
          <w:p>
            <w:r>
              <w:rPr>
                <w:sz w:val="19"/>
                <w:szCs w:val="19"/>
              </w:rPr>
              <w:t xml:space="preserve">193 (79,1%)</w:t>
            </w:r>
          </w:p>
        </w:tc>
        <w:tc>
          <w:tcPr>
            <w:tcW w:type="pct" w:w="700"/>
            <w:shd w:fill="FAFCFD" w:val="clear"/>
            <w:tcMar>
              <w:top w:type="dxa" w:w="70"/>
              <w:left w:type="dxa" w:w="120"/>
              <w:bottom w:type="dxa" w:w="70"/>
              <w:right w:type="dxa" w:w="120"/>
            </w:tcMar>
          </w:tcPr>
          <w:p>
            <w:r>
              <w:rPr>
                <w:sz w:val="19"/>
                <w:szCs w:val="19"/>
              </w:rPr>
              <w:t xml:space="preserve">194</w:t>
            </w:r>
          </w:p>
        </w:tc>
        <w:tc>
          <w:tcPr>
            <w:tcW w:type="pct" w:w="700"/>
            <w:shd w:fill="FAFCFD" w:val="clear"/>
            <w:tcMar>
              <w:top w:type="dxa" w:w="70"/>
              <w:left w:type="dxa" w:w="120"/>
              <w:bottom w:type="dxa" w:w="70"/>
              <w:right w:type="dxa" w:w="120"/>
            </w:tcMar>
          </w:tcPr>
          <w:p>
            <w:r>
              <w:rPr>
                <w:sz w:val="19"/>
                <w:szCs w:val="19"/>
              </w:rPr>
              <w:t xml:space="preserve">+16,5</w:t>
            </w:r>
          </w:p>
        </w:tc>
      </w:tr>
      <w:tr>
        <w:trPr>
          <w:cantSplit/>
        </w:trPr>
        <w:tc>
          <w:tcPr>
            <w:tcW w:type="pct" w:w="1900"/>
            <w:shd w:fill="FFFFFF" w:val="clear"/>
            <w:tcMar>
              <w:top w:type="dxa" w:w="70"/>
              <w:left w:type="dxa" w:w="120"/>
              <w:bottom w:type="dxa" w:w="70"/>
              <w:right w:type="dxa" w:w="120"/>
            </w:tcMar>
          </w:tcPr>
          <w:p>
            <w:r>
              <w:rPr>
                <w:sz w:val="19"/>
                <w:szCs w:val="19"/>
              </w:rPr>
              <w:t xml:space="preserve">TGSU2 · Transportadora de Gas del Sur</w:t>
            </w:r>
          </w:p>
        </w:tc>
        <w:tc>
          <w:tcPr>
            <w:tcW w:type="pct" w:w="750"/>
            <w:shd w:fill="FFFFFF" w:val="clear"/>
            <w:tcMar>
              <w:top w:type="dxa" w:w="70"/>
              <w:left w:type="dxa" w:w="120"/>
              <w:bottom w:type="dxa" w:w="70"/>
              <w:right w:type="dxa" w:w="120"/>
            </w:tcMar>
          </w:tcPr>
          <w:p>
            <w:r>
              <w:rPr>
                <w:sz w:val="19"/>
                <w:szCs w:val="19"/>
              </w:rPr>
              <w:t xml:space="preserve">Energía</w:t>
            </w:r>
          </w:p>
        </w:tc>
        <w:tc>
          <w:tcPr>
            <w:tcW w:type="pct" w:w="950"/>
            <w:shd w:fill="FFFFFF" w:val="clear"/>
            <w:tcMar>
              <w:top w:type="dxa" w:w="70"/>
              <w:left w:type="dxa" w:w="120"/>
              <w:bottom w:type="dxa" w:w="70"/>
              <w:right w:type="dxa" w:w="120"/>
            </w:tcMar>
          </w:tcPr>
          <w:p>
            <w:r>
              <w:rPr>
                <w:sz w:val="19"/>
                <w:szCs w:val="19"/>
              </w:rPr>
              <w:t xml:space="preserve">189 (77,5%)</w:t>
            </w:r>
          </w:p>
        </w:tc>
        <w:tc>
          <w:tcPr>
            <w:tcW w:type="pct" w:w="700"/>
            <w:shd w:fill="FFFFFF" w:val="clear"/>
            <w:tcMar>
              <w:top w:type="dxa" w:w="70"/>
              <w:left w:type="dxa" w:w="120"/>
              <w:bottom w:type="dxa" w:w="70"/>
              <w:right w:type="dxa" w:w="120"/>
            </w:tcMar>
          </w:tcPr>
          <w:p>
            <w:r>
              <w:rPr>
                <w:sz w:val="19"/>
                <w:szCs w:val="19"/>
              </w:rPr>
              <w:t xml:space="preserve">189</w:t>
            </w:r>
          </w:p>
        </w:tc>
        <w:tc>
          <w:tcPr>
            <w:tcW w:type="pct" w:w="700"/>
            <w:shd w:fill="FFFFFF" w:val="clear"/>
            <w:tcMar>
              <w:top w:type="dxa" w:w="70"/>
              <w:left w:type="dxa" w:w="120"/>
              <w:bottom w:type="dxa" w:w="70"/>
              <w:right w:type="dxa" w:w="120"/>
            </w:tcMar>
          </w:tcPr>
          <w:p>
            <w:r>
              <w:rPr>
                <w:sz w:val="19"/>
                <w:szCs w:val="19"/>
              </w:rPr>
              <w:t xml:space="preserve">+21,6</w:t>
            </w:r>
          </w:p>
        </w:tc>
      </w:tr>
      <w:tr>
        <w:trPr>
          <w:cantSplit/>
        </w:trPr>
        <w:tc>
          <w:tcPr>
            <w:tcW w:type="pct" w:w="1900"/>
            <w:shd w:fill="FAFCFD" w:val="clear"/>
            <w:tcMar>
              <w:top w:type="dxa" w:w="70"/>
              <w:left w:type="dxa" w:w="120"/>
              <w:bottom w:type="dxa" w:w="70"/>
              <w:right w:type="dxa" w:w="120"/>
            </w:tcMar>
          </w:tcPr>
          <w:p>
            <w:r>
              <w:rPr>
                <w:sz w:val="19"/>
                <w:szCs w:val="19"/>
              </w:rPr>
              <w:t xml:space="preserve">IRSA · IRSA Inversiones y Representaciones</w:t>
            </w:r>
          </w:p>
        </w:tc>
        <w:tc>
          <w:tcPr>
            <w:tcW w:type="pct" w:w="750"/>
            <w:shd w:fill="FAFCFD" w:val="clear"/>
            <w:tcMar>
              <w:top w:type="dxa" w:w="70"/>
              <w:left w:type="dxa" w:w="120"/>
              <w:bottom w:type="dxa" w:w="70"/>
              <w:right w:type="dxa" w:w="120"/>
            </w:tcMar>
          </w:tcPr>
          <w:p>
            <w:r>
              <w:rPr>
                <w:sz w:val="19"/>
                <w:szCs w:val="19"/>
              </w:rPr>
              <w:t xml:space="preserve">Real Estate</w:t>
            </w:r>
          </w:p>
        </w:tc>
        <w:tc>
          <w:tcPr>
            <w:tcW w:type="pct" w:w="950"/>
            <w:shd w:fill="FAFCFD" w:val="clear"/>
            <w:tcMar>
              <w:top w:type="dxa" w:w="70"/>
              <w:left w:type="dxa" w:w="120"/>
              <w:bottom w:type="dxa" w:w="70"/>
              <w:right w:type="dxa" w:w="120"/>
            </w:tcMar>
          </w:tcPr>
          <w:p>
            <w:r>
              <w:rPr>
                <w:sz w:val="19"/>
                <w:szCs w:val="19"/>
              </w:rPr>
              <w:t xml:space="preserve">186 (76,2%)</w:t>
            </w:r>
          </w:p>
        </w:tc>
        <w:tc>
          <w:tcPr>
            <w:tcW w:type="pct" w:w="700"/>
            <w:shd w:fill="FAFCFD" w:val="clear"/>
            <w:tcMar>
              <w:top w:type="dxa" w:w="70"/>
              <w:left w:type="dxa" w:w="120"/>
              <w:bottom w:type="dxa" w:w="70"/>
              <w:right w:type="dxa" w:w="120"/>
            </w:tcMar>
          </w:tcPr>
          <w:p>
            <w:r>
              <w:rPr>
                <w:sz w:val="19"/>
                <w:szCs w:val="19"/>
              </w:rPr>
              <w:t xml:space="preserve">176</w:t>
            </w:r>
          </w:p>
        </w:tc>
        <w:tc>
          <w:tcPr>
            <w:tcW w:type="pct" w:w="700"/>
            <w:shd w:fill="FAFCFD" w:val="clear"/>
            <w:tcMar>
              <w:top w:type="dxa" w:w="70"/>
              <w:left w:type="dxa" w:w="120"/>
              <w:bottom w:type="dxa" w:w="70"/>
              <w:right w:type="dxa" w:w="120"/>
            </w:tcMar>
          </w:tcPr>
          <w:p>
            <w:r>
              <w:rPr>
                <w:sz w:val="19"/>
                <w:szCs w:val="19"/>
              </w:rPr>
              <w:t xml:space="preserve">+23,4</w:t>
            </w:r>
          </w:p>
        </w:tc>
      </w:tr>
      <w:tr>
        <w:trPr>
          <w:cantSplit/>
        </w:trPr>
        <w:tc>
          <w:tcPr>
            <w:tcW w:type="pct" w:w="1900"/>
            <w:shd w:fill="FFFFFF" w:val="clear"/>
            <w:tcMar>
              <w:top w:type="dxa" w:w="70"/>
              <w:left w:type="dxa" w:w="120"/>
              <w:bottom w:type="dxa" w:w="70"/>
              <w:right w:type="dxa" w:w="120"/>
            </w:tcMar>
          </w:tcPr>
          <w:p>
            <w:r>
              <w:rPr>
                <w:sz w:val="19"/>
                <w:szCs w:val="19"/>
              </w:rPr>
              <w:t xml:space="preserve">BMA · Banco Macro</w:t>
            </w:r>
          </w:p>
        </w:tc>
        <w:tc>
          <w:tcPr>
            <w:tcW w:type="pct" w:w="750"/>
            <w:shd w:fill="FFFFFF" w:val="clear"/>
            <w:tcMar>
              <w:top w:type="dxa" w:w="70"/>
              <w:left w:type="dxa" w:w="120"/>
              <w:bottom w:type="dxa" w:w="70"/>
              <w:right w:type="dxa" w:w="120"/>
            </w:tcMar>
          </w:tcPr>
          <w:p>
            <w:r>
              <w:rPr>
                <w:sz w:val="19"/>
                <w:szCs w:val="19"/>
              </w:rPr>
              <w:t xml:space="preserve">Financiero</w:t>
            </w:r>
          </w:p>
        </w:tc>
        <w:tc>
          <w:tcPr>
            <w:tcW w:type="pct" w:w="950"/>
            <w:shd w:fill="FFFFFF" w:val="clear"/>
            <w:tcMar>
              <w:top w:type="dxa" w:w="70"/>
              <w:left w:type="dxa" w:w="120"/>
              <w:bottom w:type="dxa" w:w="70"/>
              <w:right w:type="dxa" w:w="120"/>
            </w:tcMar>
          </w:tcPr>
          <w:p>
            <w:r>
              <w:rPr>
                <w:sz w:val="19"/>
                <w:szCs w:val="19"/>
              </w:rPr>
              <w:t xml:space="preserve">184 (75,4%)</w:t>
            </w:r>
          </w:p>
        </w:tc>
        <w:tc>
          <w:tcPr>
            <w:tcW w:type="pct" w:w="700"/>
            <w:shd w:fill="FFFFFF" w:val="clear"/>
            <w:tcMar>
              <w:top w:type="dxa" w:w="70"/>
              <w:left w:type="dxa" w:w="120"/>
              <w:bottom w:type="dxa" w:w="70"/>
              <w:right w:type="dxa" w:w="120"/>
            </w:tcMar>
          </w:tcPr>
          <w:p>
            <w:r>
              <w:rPr>
                <w:sz w:val="19"/>
                <w:szCs w:val="19"/>
              </w:rPr>
              <w:t xml:space="preserve">189</w:t>
            </w:r>
          </w:p>
        </w:tc>
        <w:tc>
          <w:tcPr>
            <w:tcW w:type="pct" w:w="700"/>
            <w:shd w:fill="FFFFFF" w:val="clear"/>
            <w:tcMar>
              <w:top w:type="dxa" w:w="70"/>
              <w:left w:type="dxa" w:w="120"/>
              <w:bottom w:type="dxa" w:w="70"/>
              <w:right w:type="dxa" w:w="120"/>
            </w:tcMar>
          </w:tcPr>
          <w:p>
            <w:r>
              <w:rPr>
                <w:sz w:val="19"/>
                <w:szCs w:val="19"/>
              </w:rPr>
              <w:t xml:space="preserve">+25,2</w:t>
            </w:r>
          </w:p>
        </w:tc>
      </w:tr>
      <w:tr>
        <w:trPr>
          <w:cantSplit/>
        </w:trPr>
        <w:tc>
          <w:tcPr>
            <w:tcW w:type="pct" w:w="1900"/>
            <w:shd w:fill="FAFCFD" w:val="clear"/>
            <w:tcMar>
              <w:top w:type="dxa" w:w="70"/>
              <w:left w:type="dxa" w:w="120"/>
              <w:bottom w:type="dxa" w:w="70"/>
              <w:right w:type="dxa" w:w="120"/>
            </w:tcMar>
          </w:tcPr>
          <w:p>
            <w:r>
              <w:rPr>
                <w:sz w:val="19"/>
                <w:szCs w:val="19"/>
              </w:rPr>
              <w:t xml:space="preserve">LOMA · Loma Negra</w:t>
            </w:r>
          </w:p>
        </w:tc>
        <w:tc>
          <w:tcPr>
            <w:tcW w:type="pct" w:w="750"/>
            <w:shd w:fill="FAFCFD" w:val="clear"/>
            <w:tcMar>
              <w:top w:type="dxa" w:w="70"/>
              <w:left w:type="dxa" w:w="120"/>
              <w:bottom w:type="dxa" w:w="70"/>
              <w:right w:type="dxa" w:w="120"/>
            </w:tcMar>
          </w:tcPr>
          <w:p>
            <w:r>
              <w:rPr>
                <w:sz w:val="19"/>
                <w:szCs w:val="19"/>
              </w:rPr>
              <w:t xml:space="preserve">Materiales</w:t>
            </w:r>
          </w:p>
        </w:tc>
        <w:tc>
          <w:tcPr>
            <w:tcW w:type="pct" w:w="950"/>
            <w:shd w:fill="FAFCFD" w:val="clear"/>
            <w:tcMar>
              <w:top w:type="dxa" w:w="70"/>
              <w:left w:type="dxa" w:w="120"/>
              <w:bottom w:type="dxa" w:w="70"/>
              <w:right w:type="dxa" w:w="120"/>
            </w:tcMar>
          </w:tcPr>
          <w:p>
            <w:r>
              <w:rPr>
                <w:sz w:val="19"/>
                <w:szCs w:val="19"/>
              </w:rPr>
              <w:t xml:space="preserve">175 (71,7%)</w:t>
            </w:r>
          </w:p>
        </w:tc>
        <w:tc>
          <w:tcPr>
            <w:tcW w:type="pct" w:w="700"/>
            <w:shd w:fill="FAFCFD" w:val="clear"/>
            <w:tcMar>
              <w:top w:type="dxa" w:w="70"/>
              <w:left w:type="dxa" w:w="120"/>
              <w:bottom w:type="dxa" w:w="70"/>
              <w:right w:type="dxa" w:w="120"/>
            </w:tcMar>
          </w:tcPr>
          <w:p>
            <w:r>
              <w:rPr>
                <w:sz w:val="19"/>
                <w:szCs w:val="19"/>
              </w:rPr>
              <w:t xml:space="preserve">175</w:t>
            </w:r>
          </w:p>
        </w:tc>
        <w:tc>
          <w:tcPr>
            <w:tcW w:type="pct" w:w="700"/>
            <w:shd w:fill="FAFCFD" w:val="clear"/>
            <w:tcMar>
              <w:top w:type="dxa" w:w="70"/>
              <w:left w:type="dxa" w:w="120"/>
              <w:bottom w:type="dxa" w:w="70"/>
              <w:right w:type="dxa" w:w="120"/>
            </w:tcMar>
          </w:tcPr>
          <w:p>
            <w:r>
              <w:rPr>
                <w:sz w:val="19"/>
                <w:szCs w:val="19"/>
              </w:rPr>
              <w:t xml:space="preserve">+7,2</w:t>
            </w:r>
          </w:p>
        </w:tc>
      </w:tr>
      <w:tr>
        <w:trPr>
          <w:cantSplit/>
        </w:trPr>
        <w:tc>
          <w:tcPr>
            <w:tcW w:type="pct" w:w="1900"/>
            <w:shd w:fill="FFFFFF" w:val="clear"/>
            <w:tcMar>
              <w:top w:type="dxa" w:w="70"/>
              <w:left w:type="dxa" w:w="120"/>
              <w:bottom w:type="dxa" w:w="70"/>
              <w:right w:type="dxa" w:w="120"/>
            </w:tcMar>
          </w:tcPr>
          <w:p>
            <w:r>
              <w:rPr>
                <w:sz w:val="19"/>
                <w:szCs w:val="19"/>
              </w:rPr>
              <w:t xml:space="preserve">PAMP · Pampa Energía</w:t>
            </w:r>
          </w:p>
        </w:tc>
        <w:tc>
          <w:tcPr>
            <w:tcW w:type="pct" w:w="750"/>
            <w:shd w:fill="FFFFFF" w:val="clear"/>
            <w:tcMar>
              <w:top w:type="dxa" w:w="70"/>
              <w:left w:type="dxa" w:w="120"/>
              <w:bottom w:type="dxa" w:w="70"/>
              <w:right w:type="dxa" w:w="120"/>
            </w:tcMar>
          </w:tcPr>
          <w:p>
            <w:r>
              <w:rPr>
                <w:sz w:val="19"/>
                <w:szCs w:val="19"/>
              </w:rPr>
              <w:t xml:space="preserve">Utilities</w:t>
            </w:r>
          </w:p>
        </w:tc>
        <w:tc>
          <w:tcPr>
            <w:tcW w:type="pct" w:w="950"/>
            <w:shd w:fill="FFFFFF" w:val="clear"/>
            <w:tcMar>
              <w:top w:type="dxa" w:w="70"/>
              <w:left w:type="dxa" w:w="120"/>
              <w:bottom w:type="dxa" w:w="70"/>
              <w:right w:type="dxa" w:w="120"/>
            </w:tcMar>
          </w:tcPr>
          <w:p>
            <w:r>
              <w:rPr>
                <w:sz w:val="19"/>
                <w:szCs w:val="19"/>
              </w:rPr>
              <w:t xml:space="preserve">164 (67,2%)</w:t>
            </w:r>
          </w:p>
        </w:tc>
        <w:tc>
          <w:tcPr>
            <w:tcW w:type="pct" w:w="700"/>
            <w:shd w:fill="FFFFFF" w:val="clear"/>
            <w:tcMar>
              <w:top w:type="dxa" w:w="70"/>
              <w:left w:type="dxa" w:w="120"/>
              <w:bottom w:type="dxa" w:w="70"/>
              <w:right w:type="dxa" w:w="120"/>
            </w:tcMar>
          </w:tcPr>
          <w:p>
            <w:r>
              <w:rPr>
                <w:sz w:val="19"/>
                <w:szCs w:val="19"/>
              </w:rPr>
              <w:t xml:space="preserve">169</w:t>
            </w:r>
          </w:p>
        </w:tc>
        <w:tc>
          <w:tcPr>
            <w:tcW w:type="pct" w:w="700"/>
            <w:shd w:fill="FFFFFF" w:val="clear"/>
            <w:tcMar>
              <w:top w:type="dxa" w:w="70"/>
              <w:left w:type="dxa" w:w="120"/>
              <w:bottom w:type="dxa" w:w="70"/>
              <w:right w:type="dxa" w:w="120"/>
            </w:tcMar>
          </w:tcPr>
          <w:p>
            <w:r>
              <w:rPr>
                <w:sz w:val="19"/>
                <w:szCs w:val="19"/>
              </w:rPr>
              <w:t xml:space="preserve">+40,8</w:t>
            </w:r>
          </w:p>
        </w:tc>
      </w:tr>
      <w:tr>
        <w:trPr>
          <w:cantSplit/>
        </w:trPr>
        <w:tc>
          <w:tcPr>
            <w:tcW w:type="pct" w:w="1900"/>
            <w:shd w:fill="FAFCFD" w:val="clear"/>
            <w:tcMar>
              <w:top w:type="dxa" w:w="70"/>
              <w:left w:type="dxa" w:w="120"/>
              <w:bottom w:type="dxa" w:w="70"/>
              <w:right w:type="dxa" w:w="120"/>
            </w:tcMar>
          </w:tcPr>
          <w:p>
            <w:r>
              <w:rPr>
                <w:sz w:val="19"/>
                <w:szCs w:val="19"/>
              </w:rPr>
              <w:t xml:space="preserve">CRES · Cresud</w:t>
            </w:r>
          </w:p>
        </w:tc>
        <w:tc>
          <w:tcPr>
            <w:tcW w:type="pct" w:w="750"/>
            <w:shd w:fill="FAFCFD" w:val="clear"/>
            <w:tcMar>
              <w:top w:type="dxa" w:w="70"/>
              <w:left w:type="dxa" w:w="120"/>
              <w:bottom w:type="dxa" w:w="70"/>
              <w:right w:type="dxa" w:w="120"/>
            </w:tcMar>
          </w:tcPr>
          <w:p>
            <w:r>
              <w:rPr>
                <w:sz w:val="19"/>
                <w:szCs w:val="19"/>
              </w:rPr>
              <w:t xml:space="preserve">Conglomerado</w:t>
            </w:r>
          </w:p>
        </w:tc>
        <w:tc>
          <w:tcPr>
            <w:tcW w:type="pct" w:w="950"/>
            <w:shd w:fill="FAFCFD" w:val="clear"/>
            <w:tcMar>
              <w:top w:type="dxa" w:w="70"/>
              <w:left w:type="dxa" w:w="120"/>
              <w:bottom w:type="dxa" w:w="70"/>
              <w:right w:type="dxa" w:w="120"/>
            </w:tcMar>
          </w:tcPr>
          <w:p>
            <w:r>
              <w:rPr>
                <w:sz w:val="19"/>
                <w:szCs w:val="19"/>
              </w:rPr>
              <w:t xml:space="preserve">163 (66,8%)</w:t>
            </w:r>
          </w:p>
        </w:tc>
        <w:tc>
          <w:tcPr>
            <w:tcW w:type="pct" w:w="700"/>
            <w:shd w:fill="FAFCFD" w:val="clear"/>
            <w:tcMar>
              <w:top w:type="dxa" w:w="70"/>
              <w:left w:type="dxa" w:w="120"/>
              <w:bottom w:type="dxa" w:w="70"/>
              <w:right w:type="dxa" w:w="120"/>
            </w:tcMar>
          </w:tcPr>
          <w:p>
            <w:r>
              <w:rPr>
                <w:sz w:val="19"/>
                <w:szCs w:val="19"/>
              </w:rPr>
              <w:t xml:space="preserve">156</w:t>
            </w:r>
          </w:p>
        </w:tc>
        <w:tc>
          <w:tcPr>
            <w:tcW w:type="pct" w:w="700"/>
            <w:shd w:fill="FAFCFD" w:val="clear"/>
            <w:tcMar>
              <w:top w:type="dxa" w:w="70"/>
              <w:left w:type="dxa" w:w="120"/>
              <w:bottom w:type="dxa" w:w="70"/>
              <w:right w:type="dxa" w:w="120"/>
            </w:tcMar>
          </w:tcPr>
          <w:p>
            <w:r>
              <w:rPr>
                <w:sz w:val="19"/>
                <w:szCs w:val="19"/>
              </w:rPr>
              <w:t xml:space="preserve">+9,2</w:t>
            </w:r>
          </w:p>
        </w:tc>
      </w:tr>
      <w:tr>
        <w:trPr>
          <w:cantSplit/>
        </w:trPr>
        <w:tc>
          <w:tcPr>
            <w:tcW w:type="pct" w:w="1900"/>
            <w:shd w:fill="FFFFFF" w:val="clear"/>
            <w:tcMar>
              <w:top w:type="dxa" w:w="70"/>
              <w:left w:type="dxa" w:w="120"/>
              <w:bottom w:type="dxa" w:w="70"/>
              <w:right w:type="dxa" w:w="120"/>
            </w:tcMar>
          </w:tcPr>
          <w:p>
            <w:r>
              <w:rPr>
                <w:sz w:val="19"/>
                <w:szCs w:val="19"/>
              </w:rPr>
              <w:t xml:space="preserve">BYMA · Bolsas y Mercados Argentinos</w:t>
            </w:r>
          </w:p>
        </w:tc>
        <w:tc>
          <w:tcPr>
            <w:tcW w:type="pct" w:w="750"/>
            <w:shd w:fill="FFFFFF" w:val="clear"/>
            <w:tcMar>
              <w:top w:type="dxa" w:w="70"/>
              <w:left w:type="dxa" w:w="120"/>
              <w:bottom w:type="dxa" w:w="70"/>
              <w:right w:type="dxa" w:w="120"/>
            </w:tcMar>
          </w:tcPr>
          <w:p>
            <w:r>
              <w:rPr>
                <w:sz w:val="19"/>
                <w:szCs w:val="19"/>
              </w:rPr>
              <w:t xml:space="preserve">Financiero</w:t>
            </w:r>
          </w:p>
        </w:tc>
        <w:tc>
          <w:tcPr>
            <w:tcW w:type="pct" w:w="950"/>
            <w:shd w:fill="FFFFFF" w:val="clear"/>
            <w:tcMar>
              <w:top w:type="dxa" w:w="70"/>
              <w:left w:type="dxa" w:w="120"/>
              <w:bottom w:type="dxa" w:w="70"/>
              <w:right w:type="dxa" w:w="120"/>
            </w:tcMar>
          </w:tcPr>
          <w:p>
            <w:r>
              <w:rPr>
                <w:sz w:val="19"/>
                <w:szCs w:val="19"/>
              </w:rPr>
              <w:t xml:space="preserve">141 (57,8%)</w:t>
            </w:r>
          </w:p>
        </w:tc>
        <w:tc>
          <w:tcPr>
            <w:tcW w:type="pct" w:w="700"/>
            <w:shd w:fill="FFFFFF" w:val="clear"/>
            <w:tcMar>
              <w:top w:type="dxa" w:w="70"/>
              <w:left w:type="dxa" w:w="120"/>
              <w:bottom w:type="dxa" w:w="70"/>
              <w:right w:type="dxa" w:w="120"/>
            </w:tcMar>
          </w:tcPr>
          <w:p>
            <w:r>
              <w:rPr>
                <w:sz w:val="19"/>
                <w:szCs w:val="19"/>
              </w:rPr>
              <w:t xml:space="preserve">148</w:t>
            </w:r>
          </w:p>
        </w:tc>
        <w:tc>
          <w:tcPr>
            <w:tcW w:type="pct" w:w="700"/>
            <w:shd w:fill="FFFFFF" w:val="clear"/>
            <w:tcMar>
              <w:top w:type="dxa" w:w="70"/>
              <w:left w:type="dxa" w:w="120"/>
              <w:bottom w:type="dxa" w:w="70"/>
              <w:right w:type="dxa" w:w="120"/>
            </w:tcMar>
          </w:tcPr>
          <w:p>
            <w:r>
              <w:rPr>
                <w:sz w:val="19"/>
                <w:szCs w:val="19"/>
              </w:rPr>
              <w:t xml:space="preserve">+21,1</w:t>
            </w:r>
          </w:p>
        </w:tc>
      </w:tr>
      <w:tr>
        <w:trPr>
          <w:cantSplit/>
        </w:trPr>
        <w:tc>
          <w:tcPr>
            <w:tcW w:type="pct" w:w="1900"/>
            <w:shd w:fill="FAFCFD" w:val="clear"/>
            <w:tcMar>
              <w:top w:type="dxa" w:w="70"/>
              <w:left w:type="dxa" w:w="120"/>
              <w:bottom w:type="dxa" w:w="70"/>
              <w:right w:type="dxa" w:w="120"/>
            </w:tcMar>
          </w:tcPr>
          <w:p>
            <w:r>
              <w:rPr>
                <w:sz w:val="19"/>
                <w:szCs w:val="19"/>
              </w:rPr>
              <w:t xml:space="preserve">TRAN · Transener</w:t>
            </w:r>
          </w:p>
        </w:tc>
        <w:tc>
          <w:tcPr>
            <w:tcW w:type="pct" w:w="750"/>
            <w:shd w:fill="FAFCFD" w:val="clear"/>
            <w:tcMar>
              <w:top w:type="dxa" w:w="70"/>
              <w:left w:type="dxa" w:w="120"/>
              <w:bottom w:type="dxa" w:w="70"/>
              <w:right w:type="dxa" w:w="120"/>
            </w:tcMar>
          </w:tcPr>
          <w:p>
            <w:r>
              <w:rPr>
                <w:sz w:val="19"/>
                <w:szCs w:val="19"/>
              </w:rPr>
              <w:t xml:space="preserve">Utilities</w:t>
            </w:r>
          </w:p>
        </w:tc>
        <w:tc>
          <w:tcPr>
            <w:tcW w:type="pct" w:w="950"/>
            <w:shd w:fill="FAFCFD" w:val="clear"/>
            <w:tcMar>
              <w:top w:type="dxa" w:w="70"/>
              <w:left w:type="dxa" w:w="120"/>
              <w:bottom w:type="dxa" w:w="70"/>
              <w:right w:type="dxa" w:w="120"/>
            </w:tcMar>
          </w:tcPr>
          <w:p>
            <w:r>
              <w:rPr>
                <w:sz w:val="19"/>
                <w:szCs w:val="19"/>
              </w:rPr>
              <w:t xml:space="preserve">116 (47,5%)</w:t>
            </w:r>
          </w:p>
        </w:tc>
        <w:tc>
          <w:tcPr>
            <w:tcW w:type="pct" w:w="700"/>
            <w:shd w:fill="FAFCFD" w:val="clear"/>
            <w:tcMar>
              <w:top w:type="dxa" w:w="70"/>
              <w:left w:type="dxa" w:w="120"/>
              <w:bottom w:type="dxa" w:w="70"/>
              <w:right w:type="dxa" w:w="120"/>
            </w:tcMar>
          </w:tcPr>
          <w:p>
            <w:r>
              <w:rPr>
                <w:sz w:val="19"/>
                <w:szCs w:val="19"/>
              </w:rPr>
              <w:t xml:space="preserve">116</w:t>
            </w:r>
          </w:p>
        </w:tc>
        <w:tc>
          <w:tcPr>
            <w:tcW w:type="pct" w:w="700"/>
            <w:shd w:fill="FAFCFD" w:val="clear"/>
            <w:tcMar>
              <w:top w:type="dxa" w:w="70"/>
              <w:left w:type="dxa" w:w="120"/>
              <w:bottom w:type="dxa" w:w="70"/>
              <w:right w:type="dxa" w:w="120"/>
            </w:tcMar>
          </w:tcPr>
          <w:p>
            <w:r>
              <w:rPr>
                <w:sz w:val="19"/>
                <w:szCs w:val="19"/>
              </w:rPr>
              <w:t xml:space="preserve">+32,9</w:t>
            </w:r>
          </w:p>
        </w:tc>
      </w:tr>
      <w:tr>
        <w:trPr>
          <w:cantSplit/>
        </w:trPr>
        <w:tc>
          <w:tcPr>
            <w:tcW w:type="pct" w:w="1900"/>
            <w:shd w:fill="FFFFFF" w:val="clear"/>
            <w:tcMar>
              <w:top w:type="dxa" w:w="70"/>
              <w:left w:type="dxa" w:w="120"/>
              <w:bottom w:type="dxa" w:w="70"/>
              <w:right w:type="dxa" w:w="120"/>
            </w:tcMar>
          </w:tcPr>
          <w:p>
            <w:r>
              <w:rPr>
                <w:sz w:val="19"/>
                <w:szCs w:val="19"/>
              </w:rPr>
              <w:t xml:space="preserve">METR · MetroGas</w:t>
            </w:r>
          </w:p>
        </w:tc>
        <w:tc>
          <w:tcPr>
            <w:tcW w:type="pct" w:w="750"/>
            <w:shd w:fill="FFFFFF" w:val="clear"/>
            <w:tcMar>
              <w:top w:type="dxa" w:w="70"/>
              <w:left w:type="dxa" w:w="120"/>
              <w:bottom w:type="dxa" w:w="70"/>
              <w:right w:type="dxa" w:w="120"/>
            </w:tcMar>
          </w:tcPr>
          <w:p>
            <w:r>
              <w:rPr>
                <w:sz w:val="19"/>
                <w:szCs w:val="19"/>
              </w:rPr>
              <w:t xml:space="preserve">Utilities</w:t>
            </w:r>
          </w:p>
        </w:tc>
        <w:tc>
          <w:tcPr>
            <w:tcW w:type="pct" w:w="950"/>
            <w:shd w:fill="FFFFFF" w:val="clear"/>
            <w:tcMar>
              <w:top w:type="dxa" w:w="70"/>
              <w:left w:type="dxa" w:w="120"/>
              <w:bottom w:type="dxa" w:w="70"/>
              <w:right w:type="dxa" w:w="120"/>
            </w:tcMar>
          </w:tcPr>
          <w:p>
            <w:r>
              <w:rPr>
                <w:sz w:val="19"/>
                <w:szCs w:val="19"/>
              </w:rPr>
              <w:t xml:space="preserve">112 (45,9%)</w:t>
            </w:r>
          </w:p>
        </w:tc>
        <w:tc>
          <w:tcPr>
            <w:tcW w:type="pct" w:w="700"/>
            <w:shd w:fill="FFFFFF" w:val="clear"/>
            <w:tcMar>
              <w:top w:type="dxa" w:w="70"/>
              <w:left w:type="dxa" w:w="120"/>
              <w:bottom w:type="dxa" w:w="70"/>
              <w:right w:type="dxa" w:w="120"/>
            </w:tcMar>
          </w:tcPr>
          <w:p>
            <w:r>
              <w:rPr>
                <w:sz w:val="19"/>
                <w:szCs w:val="19"/>
              </w:rPr>
              <w:t xml:space="preserve">110</w:t>
            </w:r>
          </w:p>
        </w:tc>
        <w:tc>
          <w:tcPr>
            <w:tcW w:type="pct" w:w="700"/>
            <w:shd w:fill="FFFFFF" w:val="clear"/>
            <w:tcMar>
              <w:top w:type="dxa" w:w="70"/>
              <w:left w:type="dxa" w:w="120"/>
              <w:bottom w:type="dxa" w:w="70"/>
              <w:right w:type="dxa" w:w="120"/>
            </w:tcMar>
          </w:tcPr>
          <w:p>
            <w:r>
              <w:rPr>
                <w:sz w:val="19"/>
                <w:szCs w:val="19"/>
              </w:rPr>
              <w:t xml:space="preserve">+17,9</w:t>
            </w:r>
          </w:p>
        </w:tc>
      </w:tr>
      <w:tr>
        <w:trPr>
          <w:cantSplit/>
        </w:trPr>
        <w:tc>
          <w:tcPr>
            <w:tcW w:type="pct" w:w="1900"/>
            <w:shd w:fill="FAFCFD" w:val="clear"/>
            <w:tcMar>
              <w:top w:type="dxa" w:w="70"/>
              <w:left w:type="dxa" w:w="120"/>
              <w:bottom w:type="dxa" w:w="70"/>
              <w:right w:type="dxa" w:w="120"/>
            </w:tcMar>
          </w:tcPr>
          <w:p>
            <w:r>
              <w:rPr>
                <w:sz w:val="19"/>
                <w:szCs w:val="19"/>
              </w:rPr>
              <w:t xml:space="preserve">TXAR · Ternium Argentina</w:t>
            </w:r>
          </w:p>
        </w:tc>
        <w:tc>
          <w:tcPr>
            <w:tcW w:type="pct" w:w="750"/>
            <w:shd w:fill="FAFCFD" w:val="clear"/>
            <w:tcMar>
              <w:top w:type="dxa" w:w="70"/>
              <w:left w:type="dxa" w:w="120"/>
              <w:bottom w:type="dxa" w:w="70"/>
              <w:right w:type="dxa" w:w="120"/>
            </w:tcMar>
          </w:tcPr>
          <w:p>
            <w:r>
              <w:rPr>
                <w:sz w:val="19"/>
                <w:szCs w:val="19"/>
              </w:rPr>
              <w:t xml:space="preserve">Materiales</w:t>
            </w:r>
          </w:p>
        </w:tc>
        <w:tc>
          <w:tcPr>
            <w:tcW w:type="pct" w:w="950"/>
            <w:shd w:fill="FAFCFD" w:val="clear"/>
            <w:tcMar>
              <w:top w:type="dxa" w:w="70"/>
              <w:left w:type="dxa" w:w="120"/>
              <w:bottom w:type="dxa" w:w="70"/>
              <w:right w:type="dxa" w:w="120"/>
            </w:tcMar>
          </w:tcPr>
          <w:p>
            <w:r>
              <w:rPr>
                <w:sz w:val="19"/>
                <w:szCs w:val="19"/>
              </w:rPr>
              <w:t xml:space="preserve">105 (43,0%)</w:t>
            </w:r>
          </w:p>
        </w:tc>
        <w:tc>
          <w:tcPr>
            <w:tcW w:type="pct" w:w="700"/>
            <w:shd w:fill="FAFCFD" w:val="clear"/>
            <w:tcMar>
              <w:top w:type="dxa" w:w="70"/>
              <w:left w:type="dxa" w:w="120"/>
              <w:bottom w:type="dxa" w:w="70"/>
              <w:right w:type="dxa" w:w="120"/>
            </w:tcMar>
          </w:tcPr>
          <w:p>
            <w:r>
              <w:rPr>
                <w:sz w:val="19"/>
                <w:szCs w:val="19"/>
              </w:rPr>
              <w:t xml:space="preserve">101</w:t>
            </w:r>
          </w:p>
        </w:tc>
        <w:tc>
          <w:tcPr>
            <w:tcW w:type="pct" w:w="700"/>
            <w:shd w:fill="FAFCFD" w:val="clear"/>
            <w:tcMar>
              <w:top w:type="dxa" w:w="70"/>
              <w:left w:type="dxa" w:w="120"/>
              <w:bottom w:type="dxa" w:w="70"/>
              <w:right w:type="dxa" w:w="120"/>
            </w:tcMar>
          </w:tcPr>
          <w:p>
            <w:r>
              <w:rPr>
                <w:sz w:val="19"/>
                <w:szCs w:val="19"/>
              </w:rPr>
              <w:t xml:space="preserve">+16,3</w:t>
            </w:r>
          </w:p>
        </w:tc>
      </w:tr>
      <w:tr>
        <w:trPr>
          <w:cantSplit/>
        </w:trPr>
        <w:tc>
          <w:tcPr>
            <w:tcW w:type="pct" w:w="1900"/>
            <w:shd w:fill="FFFFFF" w:val="clear"/>
            <w:tcMar>
              <w:top w:type="dxa" w:w="70"/>
              <w:left w:type="dxa" w:w="120"/>
              <w:bottom w:type="dxa" w:w="70"/>
              <w:right w:type="dxa" w:w="120"/>
            </w:tcMar>
          </w:tcPr>
          <w:p>
            <w:r>
              <w:rPr>
                <w:sz w:val="19"/>
                <w:szCs w:val="19"/>
              </w:rPr>
              <w:t xml:space="preserve">ALUA · Aluar</w:t>
            </w:r>
          </w:p>
        </w:tc>
        <w:tc>
          <w:tcPr>
            <w:tcW w:type="pct" w:w="750"/>
            <w:shd w:fill="FFFFFF" w:val="clear"/>
            <w:tcMar>
              <w:top w:type="dxa" w:w="70"/>
              <w:left w:type="dxa" w:w="120"/>
              <w:bottom w:type="dxa" w:w="70"/>
              <w:right w:type="dxa" w:w="120"/>
            </w:tcMar>
          </w:tcPr>
          <w:p>
            <w:r>
              <w:rPr>
                <w:sz w:val="19"/>
                <w:szCs w:val="19"/>
              </w:rPr>
              <w:t xml:space="preserve">Materiales</w:t>
            </w:r>
          </w:p>
        </w:tc>
        <w:tc>
          <w:tcPr>
            <w:tcW w:type="pct" w:w="950"/>
            <w:shd w:fill="FFFFFF" w:val="clear"/>
            <w:tcMar>
              <w:top w:type="dxa" w:w="70"/>
              <w:left w:type="dxa" w:w="120"/>
              <w:bottom w:type="dxa" w:w="70"/>
              <w:right w:type="dxa" w:w="120"/>
            </w:tcMar>
          </w:tcPr>
          <w:p>
            <w:r>
              <w:rPr>
                <w:sz w:val="19"/>
                <w:szCs w:val="19"/>
              </w:rPr>
              <w:t xml:space="preserve">94 (38,5%)</w:t>
            </w:r>
          </w:p>
        </w:tc>
        <w:tc>
          <w:tcPr>
            <w:tcW w:type="pct" w:w="700"/>
            <w:shd w:fill="FFFFFF" w:val="clear"/>
            <w:tcMar>
              <w:top w:type="dxa" w:w="70"/>
              <w:left w:type="dxa" w:w="120"/>
              <w:bottom w:type="dxa" w:w="70"/>
              <w:right w:type="dxa" w:w="120"/>
            </w:tcMar>
          </w:tcPr>
          <w:p>
            <w:r>
              <w:rPr>
                <w:sz w:val="19"/>
                <w:szCs w:val="19"/>
              </w:rPr>
              <w:t xml:space="preserve">97</w:t>
            </w:r>
          </w:p>
        </w:tc>
        <w:tc>
          <w:tcPr>
            <w:tcW w:type="pct" w:w="700"/>
            <w:shd w:fill="FFFFFF" w:val="clear"/>
            <w:tcMar>
              <w:top w:type="dxa" w:w="70"/>
              <w:left w:type="dxa" w:w="120"/>
              <w:bottom w:type="dxa" w:w="70"/>
              <w:right w:type="dxa" w:w="120"/>
            </w:tcMar>
          </w:tcPr>
          <w:p>
            <w:r>
              <w:rPr>
                <w:sz w:val="19"/>
                <w:szCs w:val="19"/>
              </w:rPr>
              <w:t xml:space="preserve">-0,5</w:t>
            </w:r>
          </w:p>
        </w:tc>
      </w:tr>
    </w:tbl>
    <w:p>
      <w:pPr>
        <w:spacing w:after="160" w:line="300"/>
      </w:pPr>
      <w:r>
        <w:rPr>
          <w:i/>
          <w:iCs/>
          <w:color w:val="5C6B7A"/>
          <w:sz w:val="18"/>
          <w:szCs w:val="18"/>
        </w:rPr>
        <w:t xml:space="preserve">Tono total: sentimiento neto de todas las oraciones que mencionan a la empresa en la ventana de la unión.</w:t>
      </w:r>
    </w:p>
    <w:p>
      <w:pPr>
        <w:spacing w:after="160" w:line="300"/>
      </w:pPr>
      <w:r>
        <w:t xml:space="preserve">Del resto: 16 empresas tienen menos de 10 ruedas con noticias y 3 ninguna (LONG, CAPX, FIPL). Estas empresas entran igual a los modelos, con el sentimiento general del mercado; solo no tienen una serie propia.</w:t>
      </w:r>
    </w:p>
    <w:p>
      <w:pPr>
        <w:pStyle w:val="Heading1"/>
        <w:keepNext/>
        <w:spacing w:after="160" w:before="360"/>
      </w:pPr>
      <w:r>
        <w:t xml:space="preserve">4. Un aviso para los modelos</w:t>
      </w:r>
    </w:p>
    <w:p>
      <w:pPr>
        <w:spacing w:after="160" w:line="300"/>
      </w:pPr>
      <w:r>
        <w:t xml:space="preserve">En las empresas con sentimiento propio, una rueda con noticias tiene una mediana de 2 oraciones que mencionan a la empresa, y en el 37,0% de esas ruedas hay una sola. Ese día el sentimiento sale todo o nada: +100 si la oración es positiva, −100 si es negativa y 0 si es neutra. Por eso el mapa de colores salta tanto entre verde y rojo.</w:t>
      </w:r>
    </w:p>
    <w:p>
      <w:pPr>
        <w:spacing w:after="160" w:line="300"/>
      </w:pPr>
      <w:r>
        <w:t xml:space="preserve">No es un error, pero vuelve muy ruidosa la serie de cada empresa. En U4 se guardan las dos cosas que hacen falta para tratarlo, el sentimiento y la cantidad de oraciones, y en U6 se decide cómo usarlas (por ejemplo, dándoles más peso a las ruedas con más oraciones).</w:t>
      </w:r>
    </w:p>
    <w:p>
      <w:pPr>
        <w:pStyle w:val="Heading1"/>
        <w:keepNext/>
        <w:spacing w:after="160" w:before="360"/>
      </w:pPr>
      <w:r>
        <w:t xml:space="preserve">5. También los indicadores</w:t>
      </w:r>
    </w:p>
    <w:p>
      <w:pPr>
        <w:spacing w:after="160" w:line="300"/>
      </w:pPr>
      <w:r>
        <w:t xml:space="preserve">El mismo archivo largo (sentimiento_entidad_rueda.csv) trae el sentimiento por rueda de 131 indicadores económicos (inflación, tipo de cambio, riesgo país, etc.), en 15.594 filas, con las equivalencias de Gino ya aplicadas. No entran al pipeline principal, pero quedan disponibles por si se quieren usar como control.</w:t>
      </w:r>
    </w:p>
    <w:p>
      <w:pPr>
        <w:pStyle w:val="Heading1"/>
        <w:keepNext/>
        <w:spacing w:after="160" w:before="360"/>
      </w:pPr>
      <w:r>
        <w:t xml:space="preserve">6. Controles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7903"/>
        <w:gridCol w:w="1735"/>
      </w:tblGrid>
      <w:tr>
        <w:trPr>
          <w:tblHeader/>
        </w:trPr>
        <w:tc>
          <w:tcPr>
            <w:tcW w:type="pct" w:w="4100"/>
            <w:shd w:fill="1C3A5C" w:val="clear"/>
            <w:tcMar>
              <w:top w:type="dxa" w:w="80"/>
              <w:left w:type="dxa" w:w="120"/>
              <w:bottom w:type="dxa" w:w="80"/>
              <w:right w:type="dxa" w:w="120"/>
            </w:tcMar>
          </w:tcPr>
          <w:p>
            <w:r>
              <w:rPr>
                <w:b/>
                <w:bCs/>
                <w:color w:val="FFFFFF"/>
                <w:sz w:val="19"/>
                <w:szCs w:val="19"/>
              </w:rPr>
              <w:t xml:space="preserve">Control</w:t>
            </w:r>
          </w:p>
        </w:tc>
        <w:tc>
          <w:tcPr>
            <w:tcW w:type="pct" w:w="900"/>
            <w:shd w:fill="1C3A5C" w:val="clear"/>
            <w:tcMar>
              <w:top w:type="dxa" w:w="80"/>
              <w:left w:type="dxa" w:w="120"/>
              <w:bottom w:type="dxa" w:w="80"/>
              <w:right w:type="dxa" w:w="120"/>
            </w:tcMar>
          </w:tcPr>
          <w:p>
            <w:r>
              <w:rPr>
                <w:b/>
                <w:bCs/>
                <w:color w:val="FFFFFF"/>
                <w:sz w:val="19"/>
                <w:szCs w:val="19"/>
              </w:rPr>
              <w:t xml:space="preserve">Resultado</w:t>
            </w:r>
          </w:p>
        </w:tc>
      </w:tr>
      <w:tr>
        <w:trPr>
          <w:cantSplit/>
        </w:trPr>
        <w:tc>
          <w:tcPr>
            <w:tcW w:type="pct" w:w="4100"/>
            <w:shd w:fill="FFFFFF" w:val="clear"/>
            <w:tcMar>
              <w:top w:type="dxa" w:w="70"/>
              <w:left w:type="dxa" w:w="120"/>
              <w:bottom w:type="dxa" w:w="70"/>
              <w:right w:type="dxa" w:w="120"/>
            </w:tcMar>
          </w:tcPr>
          <w:p>
            <w:r>
              <w:rPr>
                <w:sz w:val="19"/>
                <w:szCs w:val="19"/>
              </w:rPr>
              <w:t xml:space="preserve">Agrupando por fecha se reproduce ner_sentimiento_diario.csv de Gino, fila por fila</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La cobertura del cruce coincide con el reporte de Gino</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Todas las notas con menciones están en U1</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Ninguna oración se pierde al pasar de fecha a rueda (mismas notas de la ventana)</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El panel tiene 47 acciones × 244 ruedas sin repetidos</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Sin noticia ⇔ sentimiento vacío</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Todos los tickers de las menciones están entre las 47 acciones</w:t>
            </w:r>
          </w:p>
        </w:tc>
        <w:tc>
          <w:tcPr>
            <w:tcW w:type="pct" w:w="900"/>
            <w:shd w:fill="FFFFFF" w:val="clear"/>
            <w:tcMar>
              <w:top w:type="dxa" w:w="70"/>
              <w:left w:type="dxa" w:w="120"/>
              <w:bottom w:type="dxa" w:w="70"/>
              <w:right w:type="dxa" w:w="120"/>
            </w:tcMar>
          </w:tcPr>
          <w:p>
            <w:r>
              <w:rPr>
                <w:sz w:val="19"/>
                <w:szCs w:val="19"/>
              </w:rPr>
              <w:t xml:space="preserve">Pasa</w:t>
            </w:r>
          </w:p>
        </w:tc>
      </w:tr>
    </w:tbl>
    <w:p>
      <w:pPr>
        <w:spacing w:after="160" w:line="300"/>
      </w:pPr>
      <w:r>
        <w:t xml:space="preserve">El primer control es el más importante: si en lugar de agrupar por rueda se agrupa por fecha, el resultado es idéntico, fila por fila, al archivo ner_sentimiento_diario.csv de Gino. La única diferencia con su trabajo es la regla de la rueda. 75 notas con menciones quedan fuera porque su rueda cae antes o después de la ventana.</w:t>
      </w:r>
    </w:p>
    <w:p>
      <w:pPr>
        <w:pStyle w:val="Heading1"/>
        <w:keepNext/>
        <w:spacing w:after="160" w:before="360"/>
      </w:pPr>
      <w:r>
        <w:t xml:space="preserve">7. Archivos que genera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277"/>
        <w:gridCol w:w="6361"/>
      </w:tblGrid>
      <w:tr>
        <w:trPr>
          <w:tblHeader/>
        </w:trPr>
        <w:tc>
          <w:tcPr>
            <w:tcW w:type="pct" w:w="1700"/>
            <w:shd w:fill="1C3A5C" w:val="clear"/>
            <w:tcMar>
              <w:top w:type="dxa" w:w="80"/>
              <w:left w:type="dxa" w:w="120"/>
              <w:bottom w:type="dxa" w:w="80"/>
              <w:right w:type="dxa" w:w="120"/>
            </w:tcMar>
          </w:tcPr>
          <w:p>
            <w:r>
              <w:rPr>
                <w:b/>
                <w:bCs/>
                <w:color w:val="FFFFFF"/>
                <w:sz w:val="19"/>
                <w:szCs w:val="19"/>
              </w:rPr>
              <w:t xml:space="preserve">Archivo</w:t>
            </w:r>
          </w:p>
        </w:tc>
        <w:tc>
          <w:tcPr>
            <w:tcW w:type="pct" w:w="3300"/>
            <w:shd w:fill="1C3A5C" w:val="clear"/>
            <w:tcMar>
              <w:top w:type="dxa" w:w="80"/>
              <w:left w:type="dxa" w:w="120"/>
              <w:bottom w:type="dxa" w:w="80"/>
              <w:right w:type="dxa" w:w="120"/>
            </w:tcMar>
          </w:tcPr>
          <w:p>
            <w:r>
              <w:rPr>
                <w:b/>
                <w:bCs/>
                <w:color w:val="FFFFFF"/>
                <w:sz w:val="19"/>
                <w:szCs w:val="19"/>
              </w:rPr>
              <w:t xml:space="preserve">Qué tiene</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panel_empresas_rueda.csv</w:t>
            </w:r>
          </w:p>
        </w:tc>
        <w:tc>
          <w:tcPr>
            <w:tcW w:type="pct" w:w="3300"/>
            <w:shd w:fill="FFFFFF" w:val="clear"/>
            <w:tcMar>
              <w:top w:type="dxa" w:w="70"/>
              <w:left w:type="dxa" w:w="120"/>
              <w:bottom w:type="dxa" w:w="70"/>
              <w:right w:type="dxa" w:w="120"/>
            </w:tcMar>
          </w:tcPr>
          <w:p>
            <w:r>
              <w:rPr>
                <w:sz w:val="19"/>
                <w:szCs w:val="19"/>
              </w:rPr>
              <w:t xml:space="preserve">47 acciones × 244 ruedas: hubo_noticia, si usa sentimiento propio, artículos, oraciones, cantidad de cada clase y sentimiento neto (vacío si no hubo noticia)</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sentimiento_entidad_rueda.csv</w:t>
            </w:r>
          </w:p>
        </w:tc>
        <w:tc>
          <w:tcPr>
            <w:tcW w:type="pct" w:w="3300"/>
            <w:shd w:fill="FAFCFD" w:val="clear"/>
            <w:tcMar>
              <w:top w:type="dxa" w:w="70"/>
              <w:left w:type="dxa" w:w="120"/>
              <w:bottom w:type="dxa" w:w="70"/>
              <w:right w:type="dxa" w:w="120"/>
            </w:tcMar>
          </w:tcPr>
          <w:p>
            <w:r>
              <w:rPr>
                <w:sz w:val="19"/>
                <w:szCs w:val="19"/>
              </w:rPr>
              <w:t xml:space="preserve">Una fila por rueda × entidad (empresas e indicadores) con noticias, en el mismo formato que el archivo diario de Gino</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cobertura_empresas.csv</w:t>
            </w:r>
          </w:p>
        </w:tc>
        <w:tc>
          <w:tcPr>
            <w:tcW w:type="pct" w:w="3300"/>
            <w:shd w:fill="FFFFFF" w:val="clear"/>
            <w:tcMar>
              <w:top w:type="dxa" w:w="70"/>
              <w:left w:type="dxa" w:w="120"/>
              <w:bottom w:type="dxa" w:w="70"/>
              <w:right w:type="dxa" w:w="120"/>
            </w:tcMar>
          </w:tcPr>
          <w:p>
            <w:r>
              <w:rPr>
                <w:sz w:val="19"/>
                <w:szCs w:val="19"/>
              </w:rPr>
              <w:t xml:space="preserve">Ruedas con noticias de cada acción, artículos, oraciones, tono total, estimación previa y si usa sentimiento propio</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resumen_u3.csv</w:t>
            </w:r>
            <w:r>
              <w:t xml:space="preserve">, </w:t>
            </w:r>
            <w:r>
              <w:rPr>
                <w:rFonts w:ascii="Consolas" w:cs="Consolas" w:eastAsia="Consolas" w:hAnsi="Consolas"/>
                <w:color w:val="1C3A5C"/>
                <w:sz w:val="19"/>
                <w:szCs w:val="19"/>
              </w:rPr>
              <w:t xml:space="preserve">verificaciones.csv</w:t>
            </w:r>
          </w:p>
        </w:tc>
        <w:tc>
          <w:tcPr>
            <w:tcW w:type="pct" w:w="3300"/>
            <w:shd w:fill="FAFCFD" w:val="clear"/>
            <w:tcMar>
              <w:top w:type="dxa" w:w="70"/>
              <w:left w:type="dxa" w:w="120"/>
              <w:bottom w:type="dxa" w:w="70"/>
              <w:right w:type="dxa" w:w="120"/>
            </w:tcMar>
          </w:tcPr>
          <w:p>
            <w:r>
              <w:rPr>
                <w:sz w:val="19"/>
                <w:szCs w:val="19"/>
              </w:rPr>
              <w:t xml:space="preserve">Las cifras y los controles de este documento</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u3_cobertura.png</w:t>
            </w:r>
          </w:p>
        </w:tc>
        <w:tc>
          <w:tcPr>
            <w:tcW w:type="pct" w:w="3300"/>
            <w:shd w:fill="FFFFFF" w:val="clear"/>
            <w:tcMar>
              <w:top w:type="dxa" w:w="70"/>
              <w:left w:type="dxa" w:w="120"/>
              <w:bottom w:type="dxa" w:w="70"/>
              <w:right w:type="dxa" w:w="120"/>
            </w:tcMar>
          </w:tcPr>
          <w:p>
            <w:r>
              <w:rPr>
                <w:sz w:val="19"/>
                <w:szCs w:val="19"/>
              </w:rPr>
              <w:t xml:space="preserve">La figura de la sección 3</w:t>
            </w:r>
          </w:p>
        </w:tc>
      </w:tr>
    </w:tbl>
    <w:p>
      <w:pPr>
        <w:pStyle w:val="Heading1"/>
        <w:keepNext/>
        <w:spacing w:after="160" w:before="360"/>
      </w:pPr>
      <w:r>
        <w:t xml:space="preserve">8. Limitaciones</w:t>
      </w:r>
    </w:p>
    <w:p>
      <w:pPr>
        <w:spacing w:after="160" w:line="300"/>
        <w:ind w:left="360" w:hanging="240"/>
      </w:pPr>
      <w:r>
        <w:t xml:space="preserve">•  El sentimiento de una empresa es el de las oraciones que la mencionan, no una opinión sobre la empresa: una oración negativa sobre el sector que nombra a la empresa cuenta como negativa para ella.</w:t>
      </w:r>
    </w:p>
    <w:p>
      <w:pPr>
        <w:spacing w:after="160" w:line="300"/>
        <w:ind w:left="360" w:hanging="240"/>
      </w:pPr>
      <w:r>
        <w:t xml:space="preserve">•  Hereda los límites del NER de Gino: una empresa nombrada de una forma que el gazetteer no reconoce no se cuenta.</w:t>
      </w:r>
    </w:p>
    <w:p>
      <w:pPr>
        <w:spacing w:after="160" w:line="300"/>
        <w:ind w:left="360" w:hanging="240"/>
      </w:pPr>
      <w:r>
        <w:t xml:space="preserve">•  En muchas ruedas el sentimiento de la empresa se apoya en una o dos oraciones (sección 4).</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Gino Frigoni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U3 · Sentimiento por empresa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23a2641b79c8562b28da0c54b0fa5a17a8f748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2026-10-24T04:41:06.917Z</dcterms:created>
  <dcterms:modified xsi:type="dcterms:W3CDTF">2026-10-24T04:41:06.918Z</dcterms:modified>
</cp:coreProperties>
</file>

<file path=docProps/custom.xml><?xml version="1.0" encoding="utf-8"?>
<Properties xmlns="http://schemas.openxmlformats.org/officeDocument/2006/custom-properties" xmlns:vt="http://schemas.openxmlformats.org/officeDocument/2006/docPropsVTypes"/>
</file>