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mbria" w:cs="Cambria" w:eastAsia="Cambria" w:hAnsi="Cambria"/>
          <w:b/>
          <w:bCs/>
          <w:color w:val="12263A"/>
          <w:sz w:val="44"/>
          <w:szCs w:val="44"/>
        </w:rPr>
        <w:t xml:space="preserve">U4 · Datasets unificados</w:t>
      </w:r>
    </w:p>
    <w:p>
      <w:pPr>
        <w:spacing w:after="200"/>
      </w:pPr>
      <w:r>
        <w:rPr>
          <w:rFonts w:ascii="Cambria" w:cs="Cambria" w:eastAsia="Cambria" w:hAnsi="Cambria"/>
          <w:i/>
          <w:iCs/>
          <w:color w:val="1C3A5C"/>
          <w:sz w:val="24"/>
          <w:szCs w:val="24"/>
        </w:rPr>
        <w:t xml:space="preserve">Las dos tablas que juntan el lado bursátil con el lado de noticias</w:t>
      </w:r>
    </w:p>
    <w:p>
      <w:pPr>
        <w:pBdr>
          <w:bottom w:val="single" w:color="D9E0E7" w:sz="4" w:space="8"/>
        </w:pBdr>
        <w:spacing w:after="200"/>
      </w:pPr>
      <w:r>
        <w:rPr>
          <w:color w:val="5C6B7A"/>
          <w:sz w:val="19"/>
          <w:szCs w:val="19"/>
        </w:rPr>
        <w:t xml:space="preserve">Tesina — Impacto de shocks informativos en acciones argentinas (BYMA / S&amp;P Merval). Documento de la unión: lee el lado bursátil y el lado de noticias sin modificarlos.</w:t>
      </w:r>
    </w:p>
    <w:p>
      <w:pPr>
        <w:spacing w:after="160" w:line="300"/>
      </w:pPr>
      <w:r>
        <w:rPr>
          <w:b/>
          <w:bCs/>
        </w:rPr>
        <w:t xml:space="preserve">Ubicación. </w:t>
      </w:r>
      <w:r>
        <w:rPr>
          <w:rFonts w:ascii="Consolas" w:cs="Consolas" w:eastAsia="Consolas" w:hAnsi="Consolas"/>
          <w:color w:val="1C3A5C"/>
          <w:sz w:val="19"/>
          <w:szCs w:val="19"/>
        </w:rPr>
        <w:t xml:space="preserve">D:\2.Tesina\tesis version 3.0\Unión\04_dataset_unificado\</w:t>
      </w:r>
      <w:r>
        <w:t xml:space="preserve">. Script: </w:t>
      </w:r>
      <w:r>
        <w:rPr>
          <w:rFonts w:ascii="Consolas" w:cs="Consolas" w:eastAsia="Consolas" w:hAnsi="Consolas"/>
          <w:color w:val="1C3A5C"/>
          <w:sz w:val="19"/>
          <w:szCs w:val="19"/>
        </w:rPr>
        <w:t xml:space="preserve">construir_datasets.py</w:t>
      </w:r>
      <w:r>
        <w:t xml:space="preserve">.</w:t>
      </w:r>
    </w:p>
    <w:tbl>
      <w:tblPr>
        <w:tblW w:type="pct" w:w="5000"/>
        <w:tblBorders>
          <w:top w:val="single" w:color="D9E0E7" w:sz="4"/>
          <w:left w:val="single" w:color="40798C" w:sz="24"/>
          <w:bottom w:val="single" w:color="D9E0E7" w:sz="4"/>
          <w:right w:val="single" w:color="D9E0E7" w:sz="4"/>
          <w:insideH w:val="none" w:color="FFFFFF" w:sz="0"/>
          <w:insideV w:val="none" w:color="FFFFFF" w:sz="0"/>
        </w:tblBorders>
      </w:tblPr>
      <w:tblGrid>
        <w:gridCol w:w="9638"/>
      </w:tblGrid>
      <w:tr>
        <w:trPr>
          <w:cantSplit/>
        </w:trPr>
        <w:tc>
          <w:tcPr>
            <w:shd w:fill="F5F8FA" w:val="clear"/>
            <w:tcMar>
              <w:top w:type="dxa" w:w="160"/>
              <w:left w:type="dxa" w:w="220"/>
              <w:bottom w:type="dxa" w:w="160"/>
              <w:right w:type="dxa" w:w="220"/>
            </w:tcMar>
          </w:tcPr>
          <w:p>
            <w:pPr>
              <w:spacing w:after="80"/>
            </w:pPr>
            <w:r>
              <w:rPr>
                <w:b/>
                <w:bCs/>
                <w:color w:val="1C3A5C"/>
              </w:rPr>
              <w:t xml:space="preserve">En una frase</w:t>
            </w:r>
          </w:p>
          <w:p>
            <w:pPr>
              <w:spacing w:after="60" w:line="276"/>
            </w:pPr>
            <w:r>
              <w:t xml:space="preserve">Todo lo que usan los modelos quedó en dos archivos: dataset_mercado.csv (una fila por rueda, 244 filas y 29 columnas) y dataset_panel.csv (una fila por acción y rueda, 11.468 filas y 39 columnas). Cada columna está explicada en el diccionario de variables (anexo) y los 8 controles pasan.</w:t>
            </w:r>
          </w:p>
        </w:tc>
      </w:tr>
    </w:tbl>
    <w:p>
      <w:pPr>
        <w:pStyle w:val="Heading1"/>
        <w:keepNext/>
        <w:spacing w:after="160" w:before="360"/>
      </w:pPr>
      <w:r>
        <w:t xml:space="preserve">1. Qué hace este paso</w:t>
      </w:r>
    </w:p>
    <w:p>
      <w:pPr>
        <w:spacing w:after="160" w:line="300"/>
      </w:pPr>
      <w:r>
        <w:t xml:space="preserve">Hasta acá cada pieza estaba en su carpeta: los precios y el régimen en el lado bursátil, el tono y la atención en U2, el tono de cada empresa en U3. Este paso las junta en dos tablas, para que ningún modelo tenga que armar su propio cruce: si dos modelos usan la misma variable, la sacan del mismo lugar.</w:t>
      </w:r>
    </w:p>
    <w:tbl>
      <w:tblPr>
        <w:tblW w:type="pct" w:w="5000"/>
        <w:tblBorders>
          <w:top w:val="single" w:color="D9E0E7" w:sz="4"/>
          <w:left w:val="single" w:color="D9E0E7" w:sz="4"/>
          <w:bottom w:val="single" w:color="D9E0E7" w:sz="4"/>
          <w:right w:val="single" w:color="D9E0E7" w:sz="4"/>
          <w:insideH w:val="single" w:color="D9E0E7" w:sz="4"/>
          <w:insideV w:val="single" w:color="D9E0E7" w:sz="4"/>
        </w:tblBorders>
      </w:tblPr>
      <w:tblGrid>
        <w:gridCol w:w="2891"/>
        <w:gridCol w:w="2410"/>
        <w:gridCol w:w="4337"/>
      </w:tblGrid>
      <w:tr>
        <w:trPr>
          <w:tblHeader/>
        </w:trPr>
        <w:tc>
          <w:tcPr>
            <w:tcW w:type="pct" w:w="1500"/>
            <w:shd w:fill="1C3A5C" w:val="clear"/>
            <w:tcMar>
              <w:top w:type="dxa" w:w="80"/>
              <w:left w:type="dxa" w:w="120"/>
              <w:bottom w:type="dxa" w:w="80"/>
              <w:right w:type="dxa" w:w="120"/>
            </w:tcMar>
          </w:tcPr>
          <w:p>
            <w:r>
              <w:rPr>
                <w:b/>
                <w:bCs/>
                <w:color w:val="FFFFFF"/>
                <w:sz w:val="19"/>
                <w:szCs w:val="19"/>
              </w:rPr>
              <w:t xml:space="preserve">Tabla</w:t>
            </w:r>
          </w:p>
        </w:tc>
        <w:tc>
          <w:tcPr>
            <w:tcW w:type="pct" w:w="1250"/>
            <w:shd w:fill="1C3A5C" w:val="clear"/>
            <w:tcMar>
              <w:top w:type="dxa" w:w="80"/>
              <w:left w:type="dxa" w:w="120"/>
              <w:bottom w:type="dxa" w:w="80"/>
              <w:right w:type="dxa" w:w="120"/>
            </w:tcMar>
          </w:tcPr>
          <w:p>
            <w:r>
              <w:rPr>
                <w:b/>
                <w:bCs/>
                <w:color w:val="FFFFFF"/>
                <w:sz w:val="19"/>
                <w:szCs w:val="19"/>
              </w:rPr>
              <w:t xml:space="preserve">Una fila es</w:t>
            </w:r>
          </w:p>
        </w:tc>
        <w:tc>
          <w:tcPr>
            <w:tcW w:type="pct" w:w="2250"/>
            <w:shd w:fill="1C3A5C" w:val="clear"/>
            <w:tcMar>
              <w:top w:type="dxa" w:w="80"/>
              <w:left w:type="dxa" w:w="120"/>
              <w:bottom w:type="dxa" w:w="80"/>
              <w:right w:type="dxa" w:w="120"/>
            </w:tcMar>
          </w:tcPr>
          <w:p>
            <w:r>
              <w:rPr>
                <w:b/>
                <w:bCs/>
                <w:color w:val="FFFFFF"/>
                <w:sz w:val="19"/>
                <w:szCs w:val="19"/>
              </w:rPr>
              <w:t xml:space="preserve">Para qué se usa</w:t>
            </w:r>
          </w:p>
        </w:tc>
      </w:tr>
      <w:tr>
        <w:trPr>
          <w:cantSplit/>
        </w:trPr>
        <w:tc>
          <w:tcPr>
            <w:tcW w:type="pct" w:w="1500"/>
            <w:shd w:fill="FFFFFF" w:val="clear"/>
            <w:tcMar>
              <w:top w:type="dxa" w:w="70"/>
              <w:left w:type="dxa" w:w="120"/>
              <w:bottom w:type="dxa" w:w="70"/>
              <w:right w:type="dxa" w:w="120"/>
            </w:tcMar>
          </w:tcPr>
          <w:p>
            <w:r>
              <w:rPr>
                <w:rFonts w:ascii="Consolas" w:cs="Consolas" w:eastAsia="Consolas" w:hAnsi="Consolas"/>
                <w:color w:val="1C3A5C"/>
                <w:sz w:val="19"/>
                <w:szCs w:val="19"/>
              </w:rPr>
              <w:t xml:space="preserve">dataset_mercado.csv</w:t>
            </w:r>
          </w:p>
        </w:tc>
        <w:tc>
          <w:tcPr>
            <w:tcW w:type="pct" w:w="1250"/>
            <w:shd w:fill="FFFFFF" w:val="clear"/>
            <w:tcMar>
              <w:top w:type="dxa" w:w="70"/>
              <w:left w:type="dxa" w:w="120"/>
              <w:bottom w:type="dxa" w:w="70"/>
              <w:right w:type="dxa" w:w="120"/>
            </w:tcMar>
          </w:tcPr>
          <w:p>
            <w:r>
              <w:rPr>
                <w:sz w:val="19"/>
                <w:szCs w:val="19"/>
              </w:rPr>
              <w:t xml:space="preserve">Una rueda</w:t>
            </w:r>
          </w:p>
        </w:tc>
        <w:tc>
          <w:tcPr>
            <w:tcW w:type="pct" w:w="2250"/>
            <w:shd w:fill="FFFFFF" w:val="clear"/>
            <w:tcMar>
              <w:top w:type="dxa" w:w="70"/>
              <w:left w:type="dxa" w:w="120"/>
              <w:bottom w:type="dxa" w:w="70"/>
              <w:right w:type="dxa" w:w="120"/>
            </w:tcMar>
          </w:tcPr>
          <w:p>
            <w:r>
              <w:rPr>
                <w:sz w:val="19"/>
                <w:szCs w:val="19"/>
              </w:rPr>
              <w:t xml:space="preserve">VAR del mercado (U6), régimen y robustez</w:t>
            </w:r>
          </w:p>
        </w:tc>
      </w:tr>
      <w:tr>
        <w:trPr>
          <w:cantSplit/>
        </w:trPr>
        <w:tc>
          <w:tcPr>
            <w:tcW w:type="pct" w:w="1500"/>
            <w:shd w:fill="FAFCFD" w:val="clear"/>
            <w:tcMar>
              <w:top w:type="dxa" w:w="70"/>
              <w:left w:type="dxa" w:w="120"/>
              <w:bottom w:type="dxa" w:w="70"/>
              <w:right w:type="dxa" w:w="120"/>
            </w:tcMar>
          </w:tcPr>
          <w:p>
            <w:r>
              <w:rPr>
                <w:rFonts w:ascii="Consolas" w:cs="Consolas" w:eastAsia="Consolas" w:hAnsi="Consolas"/>
                <w:color w:val="1C3A5C"/>
                <w:sz w:val="19"/>
                <w:szCs w:val="19"/>
              </w:rPr>
              <w:t xml:space="preserve">dataset_panel.csv</w:t>
            </w:r>
          </w:p>
        </w:tc>
        <w:tc>
          <w:tcPr>
            <w:tcW w:type="pct" w:w="1250"/>
            <w:shd w:fill="FAFCFD" w:val="clear"/>
            <w:tcMar>
              <w:top w:type="dxa" w:w="70"/>
              <w:left w:type="dxa" w:w="120"/>
              <w:bottom w:type="dxa" w:w="70"/>
              <w:right w:type="dxa" w:w="120"/>
            </w:tcMar>
          </w:tcPr>
          <w:p>
            <w:r>
              <w:rPr>
                <w:sz w:val="19"/>
                <w:szCs w:val="19"/>
              </w:rPr>
              <w:t xml:space="preserve">Una acción en una rueda</w:t>
            </w:r>
          </w:p>
        </w:tc>
        <w:tc>
          <w:tcPr>
            <w:tcW w:type="pct" w:w="2250"/>
            <w:shd w:fill="FAFCFD" w:val="clear"/>
            <w:tcMar>
              <w:top w:type="dxa" w:w="70"/>
              <w:left w:type="dxa" w:w="120"/>
              <w:bottom w:type="dxa" w:w="70"/>
              <w:right w:type="dxa" w:w="120"/>
            </w:tcMar>
          </w:tcPr>
          <w:p>
            <w:r>
              <w:rPr>
                <w:sz w:val="19"/>
                <w:szCs w:val="19"/>
              </w:rPr>
              <w:t xml:space="preserve">VAR por empresa y por sector (U6) y event study (U7)</w:t>
            </w:r>
          </w:p>
        </w:tc>
      </w:tr>
    </w:tbl>
    <w:p>
      <w:pPr>
        <w:pStyle w:val="Heading1"/>
        <w:keepNext/>
        <w:spacing w:after="160" w:before="360"/>
      </w:pPr>
      <w:r>
        <w:t xml:space="preserve">2. Qué tiene cada tabla</w:t>
      </w:r>
    </w:p>
    <w:p>
      <w:pPr>
        <w:spacing w:after="160" w:line="300"/>
      </w:pPr>
      <w:r>
        <w:rPr>
          <w:b/>
          <w:bCs/>
        </w:rPr>
        <w:t xml:space="preserve">Mercado. </w:t>
      </w:r>
      <w:r>
        <w:t xml:space="preserve">Del lado bursátil: Merval y su retorno, VIX argentino, régimen del HMM (suavizado y filtrado) y la probabilidad de Tenso. Del lado de noticias: cantidad de notas, atención anormal, tono simple y ajustado por portal, porcentaje de cada clase de oración y las ruedas de tono extremo. Nuevo en U4: el monto operado del panel y su versión anormal, el tono anormal (decisión de U5) y tres marcas de días especiales.</w:t>
      </w:r>
    </w:p>
    <w:p>
      <w:pPr>
        <w:spacing w:after="160" w:line="300"/>
      </w:pPr>
      <w:r>
        <w:rPr>
          <w:b/>
          <w:bCs/>
        </w:rPr>
        <w:t xml:space="preserve">Tono anormal. </w:t>
      </w:r>
      <w:r>
        <w:t xml:space="preserve">Es el tono de la rueda menos el promedio del tono de las 20 ruedas previas: cuánto más optimistas o pesimistas que lo habitual están las noticias. Se agregó después de U5, donde el tono en nivel dio inconcluso en el test de estacionariedad; es la variable de tono que usa el VAR, y el tono en nivel queda para las pruebas de robustez.</w:t>
      </w:r>
    </w:p>
    <w:p>
      <w:pPr>
        <w:spacing w:after="160" w:line="300"/>
      </w:pPr>
      <w:r>
        <w:rPr>
          <w:b/>
          <w:bCs/>
        </w:rPr>
        <w:t xml:space="preserve">Tono propio de la empresa. </w:t>
      </w:r>
      <w:r>
        <w:t xml:space="preserve">Es cuánto mejor o peor se habla de la empresa que del mercado ese día, con más peso cuantas más oraciones la mencionan: peso × (tono de la empresa − tono del mercado), con peso = n / (n + 10,9). Si no hubo noticias de la empresa vale 0. El número del peso no se eligió a ojo: es la varianza de una oración suelta dividida por la varianza real del tono entre días (estimación empírica de Bayes). Con 1 oración se confía un 8%, con 5 un 31%, con 10 un 48% y con 30 un 73%. Se agregó en U6, donde se decidió cómo tratar los días sin noticias y los días con una sola oración.</w:t>
      </w:r>
    </w:p>
    <w:p>
      <w:pPr>
        <w:spacing w:after="160" w:line="300"/>
      </w:pPr>
      <w:r>
        <w:rPr>
          <w:b/>
          <w:bCs/>
        </w:rPr>
        <w:t xml:space="preserve">Panel. </w:t>
      </w:r>
      <w:r>
        <w:t xml:space="preserve">Por cada acción y rueda: cierre, retorno, volumen, monto, volumen anormal, si no operó y si el precio quedó quieto; sector, si es oficial del Merval y su grupo de liquidez; si hubo noticias de la empresa, cuántas y con qué tono; y, repetidas en cada fila, las variables de mercado de esa rueda.</w:t>
      </w:r>
    </w:p>
    <w:p>
      <w:pPr>
        <w:pStyle w:val="Heading1"/>
        <w:keepNext/>
        <w:spacing w:after="160" w:before="360"/>
      </w:pPr>
      <w:r>
        <w:t xml:space="preserve">3. Las variables de volumen (decisión D2)</w:t>
      </w:r>
    </w:p>
    <w:p>
      <w:pPr>
        <w:spacing w:after="160" w:line="300"/>
      </w:pPr>
      <w:r>
        <w:t xml:space="preserve">El plan de tesis pide medir el impacto sobre precio y volumen. El volumen en bruto no sirve para comparar: cada acción tiene su propio nivel (YPF opera mucho más que Agrometal) y los montos en pesos crecen con la inflación. Por eso se usa el volumen anormal: cuánto se operó hoy comparado con las 20 ruedas previas de la misma acción.</w:t>
      </w:r>
    </w:p>
    <w:p>
      <w:pPr>
        <w:spacing w:after="160" w:line="300"/>
        <w:ind w:left="360" w:hanging="240"/>
      </w:pPr>
      <w:r>
        <w:t xml:space="preserve">•  </w:t>
      </w:r>
      <w:r>
        <w:rPr>
          <w:b/>
          <w:bCs/>
        </w:rPr>
        <w:t xml:space="preserve">Volumen anormal de cada acción </w:t>
      </w:r>
      <w:r>
        <w:t xml:space="preserve">= log(1 + volumen de hoy) − promedio de log(1 + volumen) de las 20 ruedas previas. 0 es un día habitual; +0,69 es el doble de lo habitual; −0,69, la mitad. El "1 +" evita el problema de los días sin operaciones.</w:t>
      </w:r>
    </w:p>
    <w:p>
      <w:pPr>
        <w:spacing w:after="160" w:line="300"/>
        <w:ind w:left="360" w:hanging="240"/>
      </w:pPr>
      <w:r>
        <w:t xml:space="preserve">•  </w:t>
      </w:r>
      <w:r>
        <w:rPr>
          <w:b/>
          <w:bCs/>
        </w:rPr>
        <w:t xml:space="preserve">Monto operado anormal del mercado: </w:t>
      </w:r>
      <w:r>
        <w:t xml:space="preserve">lo mismo con el monto total (cierre × volumen, sumado sobre las 47 acciones).</w:t>
      </w:r>
    </w:p>
    <w:p>
      <w:pPr>
        <w:spacing w:after="160" w:line="300"/>
      </w:pPr>
      <w:r>
        <w:t xml:space="preserve">Se calculan sobre la serie completa desde 2023 y recién después se recorta la ventana, como los retornos del lado bursátil; así la primera rueda de la ventana ya tiene sus 20 previas.</w:t>
      </w:r>
    </w:p>
    <w:p>
      <w:pPr>
        <w:spacing w:after="160" w:line="300"/>
      </w:pPr>
      <w:r>
        <w:rPr>
          <w:b/>
          <w:bCs/>
        </w:rPr>
        <w:t xml:space="preserve">Un detalle: </w:t>
      </w:r>
      <w:r>
        <w:t xml:space="preserve">los días en que una acción no operó dan un volumen anormal muy negativo (el mínimo es -12,7), porque se compara un volumen de 0 con lo habitual. Son pocos días y quedan identificados con la columna sin_operar.</w:t>
      </w:r>
    </w:p>
    <w:p>
      <w:pPr>
        <w:pStyle w:val="Heading1"/>
        <w:keepNext/>
        <w:spacing w:after="160" w:before="360"/>
      </w:pPr>
      <w:r>
        <w:t xml:space="preserve">4. Marcas de días especiales</w:t>
      </w:r>
    </w:p>
    <w:tbl>
      <w:tblPr>
        <w:tblW w:type="pct" w:w="5000"/>
        <w:tblBorders>
          <w:top w:val="single" w:color="D9E0E7" w:sz="4"/>
          <w:left w:val="single" w:color="D9E0E7" w:sz="4"/>
          <w:bottom w:val="single" w:color="D9E0E7" w:sz="4"/>
          <w:right w:val="single" w:color="D9E0E7" w:sz="4"/>
          <w:insideH w:val="single" w:color="D9E0E7" w:sz="4"/>
          <w:insideV w:val="single" w:color="D9E0E7" w:sz="4"/>
        </w:tblBorders>
      </w:tblPr>
      <w:tblGrid>
        <w:gridCol w:w="1928"/>
        <w:gridCol w:w="1157"/>
        <w:gridCol w:w="6554"/>
      </w:tblGrid>
      <w:tr>
        <w:trPr>
          <w:tblHeader/>
        </w:trPr>
        <w:tc>
          <w:tcPr>
            <w:tcW w:type="pct" w:w="1000"/>
            <w:shd w:fill="1C3A5C" w:val="clear"/>
            <w:tcMar>
              <w:top w:type="dxa" w:w="80"/>
              <w:left w:type="dxa" w:w="120"/>
              <w:bottom w:type="dxa" w:w="80"/>
              <w:right w:type="dxa" w:w="120"/>
            </w:tcMar>
          </w:tcPr>
          <w:p>
            <w:r>
              <w:rPr>
                <w:b/>
                <w:bCs/>
                <w:color w:val="FFFFFF"/>
                <w:sz w:val="19"/>
                <w:szCs w:val="19"/>
              </w:rPr>
              <w:t xml:space="preserve">Marca</w:t>
            </w:r>
          </w:p>
        </w:tc>
        <w:tc>
          <w:tcPr>
            <w:tcW w:type="pct" w:w="600"/>
            <w:shd w:fill="1C3A5C" w:val="clear"/>
            <w:tcMar>
              <w:top w:type="dxa" w:w="80"/>
              <w:left w:type="dxa" w:w="120"/>
              <w:bottom w:type="dxa" w:w="80"/>
              <w:right w:type="dxa" w:w="120"/>
            </w:tcMar>
          </w:tcPr>
          <w:p>
            <w:r>
              <w:rPr>
                <w:b/>
                <w:bCs/>
                <w:color w:val="FFFFFF"/>
                <w:sz w:val="19"/>
                <w:szCs w:val="19"/>
              </w:rPr>
              <w:t xml:space="preserve">Ruedas</w:t>
            </w:r>
          </w:p>
        </w:tc>
        <w:tc>
          <w:tcPr>
            <w:tcW w:type="pct" w:w="3400"/>
            <w:shd w:fill="1C3A5C" w:val="clear"/>
            <w:tcMar>
              <w:top w:type="dxa" w:w="80"/>
              <w:left w:type="dxa" w:w="120"/>
              <w:bottom w:type="dxa" w:w="80"/>
              <w:right w:type="dxa" w:w="120"/>
            </w:tcMar>
          </w:tcPr>
          <w:p>
            <w:r>
              <w:rPr>
                <w:b/>
                <w:bCs/>
                <w:color w:val="FFFFFF"/>
                <w:sz w:val="19"/>
                <w:szCs w:val="19"/>
              </w:rPr>
              <w:t xml:space="preserve">Por qué</w:t>
            </w:r>
          </w:p>
        </w:tc>
      </w:tr>
      <w:tr>
        <w:trPr>
          <w:cantSplit/>
        </w:trPr>
        <w:tc>
          <w:tcPr>
            <w:tcW w:type="pct" w:w="1000"/>
            <w:shd w:fill="FFFFFF" w:val="clear"/>
            <w:tcMar>
              <w:top w:type="dxa" w:w="70"/>
              <w:left w:type="dxa" w:w="120"/>
              <w:bottom w:type="dxa" w:w="70"/>
              <w:right w:type="dxa" w:w="120"/>
            </w:tcMar>
          </w:tcPr>
          <w:p>
            <w:r>
              <w:rPr>
                <w:sz w:val="19"/>
                <w:szCs w:val="19"/>
              </w:rPr>
              <w:t xml:space="preserve">dia_electoral</w:t>
            </w:r>
          </w:p>
        </w:tc>
        <w:tc>
          <w:tcPr>
            <w:tcW w:type="pct" w:w="600"/>
            <w:shd w:fill="FFFFFF" w:val="clear"/>
            <w:tcMar>
              <w:top w:type="dxa" w:w="70"/>
              <w:left w:type="dxa" w:w="120"/>
              <w:bottom w:type="dxa" w:w="70"/>
              <w:right w:type="dxa" w:w="120"/>
            </w:tcMar>
          </w:tcPr>
          <w:p>
            <w:r>
              <w:rPr>
                <w:sz w:val="19"/>
                <w:szCs w:val="19"/>
              </w:rPr>
              <w:t xml:space="preserve">2</w:t>
            </w:r>
          </w:p>
        </w:tc>
        <w:tc>
          <w:tcPr>
            <w:tcW w:type="pct" w:w="3400"/>
            <w:shd w:fill="FFFFFF" w:val="clear"/>
            <w:tcMar>
              <w:top w:type="dxa" w:w="70"/>
              <w:left w:type="dxa" w:w="120"/>
              <w:bottom w:type="dxa" w:w="70"/>
              <w:right w:type="dxa" w:w="120"/>
            </w:tcMar>
          </w:tcPr>
          <w:p>
            <w:r>
              <w:rPr>
                <w:sz w:val="19"/>
                <w:szCs w:val="19"/>
              </w:rPr>
              <w:t xml:space="preserve">Ruedas posteriores a las elecciones bonaerenses (08/09/2025) y legislativas (27/10/2025): son a la vez noticia y los mayores saltos del mercado</w:t>
            </w:r>
          </w:p>
        </w:tc>
      </w:tr>
      <w:tr>
        <w:trPr>
          <w:cantSplit/>
        </w:trPr>
        <w:tc>
          <w:tcPr>
            <w:tcW w:type="pct" w:w="1000"/>
            <w:shd w:fill="FAFCFD" w:val="clear"/>
            <w:tcMar>
              <w:top w:type="dxa" w:w="70"/>
              <w:left w:type="dxa" w:w="120"/>
              <w:bottom w:type="dxa" w:w="70"/>
              <w:right w:type="dxa" w:w="120"/>
            </w:tcMar>
          </w:tcPr>
          <w:p>
            <w:r>
              <w:rPr>
                <w:sz w:val="19"/>
                <w:szCs w:val="19"/>
              </w:rPr>
              <w:t xml:space="preserve">eco_electoral</w:t>
            </w:r>
          </w:p>
        </w:tc>
        <w:tc>
          <w:tcPr>
            <w:tcW w:type="pct" w:w="600"/>
            <w:shd w:fill="FAFCFD" w:val="clear"/>
            <w:tcMar>
              <w:top w:type="dxa" w:w="70"/>
              <w:left w:type="dxa" w:w="120"/>
              <w:bottom w:type="dxa" w:w="70"/>
              <w:right w:type="dxa" w:w="120"/>
            </w:tcMar>
          </w:tcPr>
          <w:p>
            <w:r>
              <w:rPr>
                <w:sz w:val="19"/>
                <w:szCs w:val="19"/>
              </w:rPr>
              <w:t xml:space="preserve">40</w:t>
            </w:r>
          </w:p>
        </w:tc>
        <w:tc>
          <w:tcPr>
            <w:tcW w:type="pct" w:w="3400"/>
            <w:shd w:fill="FAFCFD" w:val="clear"/>
            <w:tcMar>
              <w:top w:type="dxa" w:w="70"/>
              <w:left w:type="dxa" w:w="120"/>
              <w:bottom w:type="dxa" w:w="70"/>
              <w:right w:type="dxa" w:w="120"/>
            </w:tcMar>
          </w:tcPr>
          <w:p>
            <w:r>
              <w:rPr>
                <w:sz w:val="19"/>
                <w:szCs w:val="19"/>
              </w:rPr>
              <w:t xml:space="preserve">Las 20 ruedas desde cada día electoral: el salto sigue dentro de la ventana del VIX y arrastra el régimen (eco de 20 ruedas, carpeta 03)</w:t>
            </w:r>
          </w:p>
        </w:tc>
      </w:tr>
      <w:tr>
        <w:trPr>
          <w:cantSplit/>
        </w:trPr>
        <w:tc>
          <w:tcPr>
            <w:tcW w:type="pct" w:w="1000"/>
            <w:shd w:fill="FFFFFF" w:val="clear"/>
            <w:tcMar>
              <w:top w:type="dxa" w:w="70"/>
              <w:left w:type="dxa" w:w="120"/>
              <w:bottom w:type="dxa" w:w="70"/>
              <w:right w:type="dxa" w:w="120"/>
            </w:tcMar>
          </w:tcPr>
          <w:p>
            <w:r>
              <w:rPr>
                <w:sz w:val="19"/>
                <w:szCs w:val="19"/>
              </w:rPr>
              <w:t xml:space="preserve">abril_2026</w:t>
            </w:r>
          </w:p>
        </w:tc>
        <w:tc>
          <w:tcPr>
            <w:tcW w:type="pct" w:w="600"/>
            <w:shd w:fill="FFFFFF" w:val="clear"/>
            <w:tcMar>
              <w:top w:type="dxa" w:w="70"/>
              <w:left w:type="dxa" w:w="120"/>
              <w:bottom w:type="dxa" w:w="70"/>
              <w:right w:type="dxa" w:w="120"/>
            </w:tcMar>
          </w:tcPr>
          <w:p>
            <w:r>
              <w:rPr>
                <w:sz w:val="19"/>
                <w:szCs w:val="19"/>
              </w:rPr>
              <w:t xml:space="preserve">20</w:t>
            </w:r>
          </w:p>
        </w:tc>
        <w:tc>
          <w:tcPr>
            <w:tcW w:type="pct" w:w="3400"/>
            <w:shd w:fill="FFFFFF" w:val="clear"/>
            <w:tcMar>
              <w:top w:type="dxa" w:w="70"/>
              <w:left w:type="dxa" w:w="120"/>
              <w:bottom w:type="dxa" w:w="70"/>
              <w:right w:type="dxa" w:w="120"/>
            </w:tcMar>
          </w:tcPr>
          <w:p>
            <w:r>
              <w:rPr>
                <w:sz w:val="19"/>
                <w:szCs w:val="19"/>
              </w:rPr>
              <w:t xml:space="preserve">Ruedas de abril de 2026, cuando el corpus casi no tiene notas de iProfesional</w:t>
            </w:r>
          </w:p>
        </w:tc>
      </w:tr>
    </w:tbl>
    <w:p>
      <w:pPr>
        <w:spacing w:after="160" w:line="300"/>
      </w:pPr>
      <w:r>
        <w:t xml:space="preserve">Las marcas no cambian ningún dato: sirven para analizar esos días aparte o repetir los resultados sin ellos (U7 y U8).</w:t>
      </w:r>
    </w:p>
    <w:p>
      <w:pPr>
        <w:pStyle w:val="Heading1"/>
        <w:keepNext/>
        <w:spacing w:after="160" w:before="360"/>
      </w:pPr>
      <w:r>
        <w:t xml:space="preserve">5. La liquidez dentro de la ventana</w:t>
      </w:r>
    </w:p>
    <w:p>
      <w:pPr>
        <w:spacing w:after="160" w:line="300"/>
      </w:pPr>
      <w:r>
        <w:t xml:space="preserve">Las 4 acciones con más días sin operar en los 3 años (GCDI, RIGO, GRIM y GARO, 113 días entre las cuatro) casi no tienen días sin operar dentro de la ventana de la unión: 3 en total (GARO 0; GCDI 1; GRIM 0; RIGO 2). Sus días sin operar se concentraban en 2023 y principios de 2024.</w:t>
      </w:r>
    </w:p>
    <w:p>
      <w:pPr>
        <w:spacing w:after="160" w:line="300"/>
      </w:pPr>
      <w:r>
        <w:t xml:space="preserve">Lo que sí conservan son días de precio quieto (el cierre igual al del día anterior): 79 entre las cuatro (GARO 30; GCDI 20; GRIM 18; RIGO 11), contra una mediana de 6 en las 47 acciones. La cautela sobre su liquidez sigue, pero pesa menos en este tramo; en U8 se repiten los resultados sin ellas.</w:t>
      </w:r>
    </w:p>
    <w:p>
      <w:pPr>
        <w:pStyle w:val="Heading1"/>
        <w:keepNext/>
        <w:spacing w:after="160" w:before="360"/>
      </w:pPr>
      <w:r>
        <w:t xml:space="preserve">6. Panorama y números básicos</w:t>
      </w:r>
    </w:p>
    <w:p>
      <w:pPr>
        <w:spacing w:after="160"/>
        <w:jc w:val="center"/>
      </w:pPr>
      <w:r>
        <w:drawing>
          <wp:inline distT="0" distB="0" distL="0" distR="0">
            <wp:extent cx="5619750" cy="5105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5105400"/>
                    </a:xfrm>
                    <a:prstGeom prst="rect">
                      <a:avLst/>
                    </a:prstGeom>
                  </pic:spPr>
                </pic:pic>
              </a:graphicData>
            </a:graphic>
          </wp:inline>
        </w:drawing>
      </w:r>
    </w:p>
    <w:p>
      <w:pPr>
        <w:spacing w:after="160" w:line="300"/>
      </w:pPr>
      <w:r>
        <w:rPr>
          <w:i/>
          <w:iCs/>
          <w:color w:val="5C6B7A"/>
          <w:sz w:val="18"/>
          <w:szCs w:val="18"/>
        </w:rPr>
        <w:t xml:space="preserve">Merval, tono de las noticias, atención de los medios y monto operado anormal en la ventana de la unión. El color de fondo es el régimen del HMM; las líneas punteadas, los días electorales.</w:t>
      </w:r>
    </w:p>
    <w:tbl>
      <w:tblPr>
        <w:tblW w:type="pct" w:w="5000"/>
        <w:tblBorders>
          <w:top w:val="single" w:color="D9E0E7" w:sz="4"/>
          <w:left w:val="single" w:color="D9E0E7" w:sz="4"/>
          <w:bottom w:val="single" w:color="D9E0E7" w:sz="4"/>
          <w:right w:val="single" w:color="D9E0E7" w:sz="4"/>
          <w:insideH w:val="single" w:color="D9E0E7" w:sz="4"/>
          <w:insideV w:val="single" w:color="D9E0E7" w:sz="4"/>
        </w:tblBorders>
      </w:tblPr>
      <w:tblGrid>
        <w:gridCol w:w="3470"/>
        <w:gridCol w:w="964"/>
        <w:gridCol w:w="1253"/>
        <w:gridCol w:w="1253"/>
        <w:gridCol w:w="1349"/>
        <w:gridCol w:w="1349"/>
      </w:tblGrid>
      <w:tr>
        <w:trPr>
          <w:tblHeader/>
        </w:trPr>
        <w:tc>
          <w:tcPr>
            <w:tcW w:type="pct" w:w="1800"/>
            <w:shd w:fill="1C3A5C" w:val="clear"/>
            <w:tcMar>
              <w:top w:type="dxa" w:w="80"/>
              <w:left w:type="dxa" w:w="120"/>
              <w:bottom w:type="dxa" w:w="80"/>
              <w:right w:type="dxa" w:w="120"/>
            </w:tcMar>
          </w:tcPr>
          <w:p>
            <w:r>
              <w:rPr>
                <w:b/>
                <w:bCs/>
                <w:color w:val="FFFFFF"/>
                <w:sz w:val="19"/>
                <w:szCs w:val="19"/>
              </w:rPr>
              <w:t xml:space="preserve">Variable</w:t>
            </w:r>
          </w:p>
        </w:tc>
        <w:tc>
          <w:tcPr>
            <w:tcW w:type="pct" w:w="500"/>
            <w:shd w:fill="1C3A5C" w:val="clear"/>
            <w:tcMar>
              <w:top w:type="dxa" w:w="80"/>
              <w:left w:type="dxa" w:w="120"/>
              <w:bottom w:type="dxa" w:w="80"/>
              <w:right w:type="dxa" w:w="120"/>
            </w:tcMar>
          </w:tcPr>
          <w:p>
            <w:r>
              <w:rPr>
                <w:b/>
                <w:bCs/>
                <w:color w:val="FFFFFF"/>
                <w:sz w:val="19"/>
                <w:szCs w:val="19"/>
              </w:rPr>
              <w:t xml:space="preserve">Filas</w:t>
            </w:r>
          </w:p>
        </w:tc>
        <w:tc>
          <w:tcPr>
            <w:tcW w:type="pct" w:w="650"/>
            <w:shd w:fill="1C3A5C" w:val="clear"/>
            <w:tcMar>
              <w:top w:type="dxa" w:w="80"/>
              <w:left w:type="dxa" w:w="120"/>
              <w:bottom w:type="dxa" w:w="80"/>
              <w:right w:type="dxa" w:w="120"/>
            </w:tcMar>
          </w:tcPr>
          <w:p>
            <w:r>
              <w:rPr>
                <w:b/>
                <w:bCs/>
                <w:color w:val="FFFFFF"/>
                <w:sz w:val="19"/>
                <w:szCs w:val="19"/>
              </w:rPr>
              <w:t xml:space="preserve">Media</w:t>
            </w:r>
          </w:p>
        </w:tc>
        <w:tc>
          <w:tcPr>
            <w:tcW w:type="pct" w:w="650"/>
            <w:shd w:fill="1C3A5C" w:val="clear"/>
            <w:tcMar>
              <w:top w:type="dxa" w:w="80"/>
              <w:left w:type="dxa" w:w="120"/>
              <w:bottom w:type="dxa" w:w="80"/>
              <w:right w:type="dxa" w:w="120"/>
            </w:tcMar>
          </w:tcPr>
          <w:p>
            <w:r>
              <w:rPr>
                <w:b/>
                <w:bCs/>
                <w:color w:val="FFFFFF"/>
                <w:sz w:val="19"/>
                <w:szCs w:val="19"/>
              </w:rPr>
              <w:t xml:space="preserve">Desvío</w:t>
            </w:r>
          </w:p>
        </w:tc>
        <w:tc>
          <w:tcPr>
            <w:tcW w:type="pct" w:w="700"/>
            <w:shd w:fill="1C3A5C" w:val="clear"/>
            <w:tcMar>
              <w:top w:type="dxa" w:w="80"/>
              <w:left w:type="dxa" w:w="120"/>
              <w:bottom w:type="dxa" w:w="80"/>
              <w:right w:type="dxa" w:w="120"/>
            </w:tcMar>
          </w:tcPr>
          <w:p>
            <w:r>
              <w:rPr>
                <w:b/>
                <w:bCs/>
                <w:color w:val="FFFFFF"/>
                <w:sz w:val="19"/>
                <w:szCs w:val="19"/>
              </w:rPr>
              <w:t xml:space="preserve">Mínimo</w:t>
            </w:r>
          </w:p>
        </w:tc>
        <w:tc>
          <w:tcPr>
            <w:tcW w:type="pct" w:w="700"/>
            <w:shd w:fill="1C3A5C" w:val="clear"/>
            <w:tcMar>
              <w:top w:type="dxa" w:w="80"/>
              <w:left w:type="dxa" w:w="120"/>
              <w:bottom w:type="dxa" w:w="80"/>
              <w:right w:type="dxa" w:w="120"/>
            </w:tcMar>
          </w:tcPr>
          <w:p>
            <w:r>
              <w:rPr>
                <w:b/>
                <w:bCs/>
                <w:color w:val="FFFFFF"/>
                <w:sz w:val="19"/>
                <w:szCs w:val="19"/>
              </w:rPr>
              <w:t xml:space="preserve">Máximo</w:t>
            </w:r>
          </w:p>
        </w:tc>
      </w:tr>
      <w:tr>
        <w:trPr>
          <w:cantSplit/>
        </w:trPr>
        <w:tc>
          <w:tcPr>
            <w:tcW w:type="pct" w:w="1800"/>
            <w:shd w:fill="FFFFFF" w:val="clear"/>
            <w:tcMar>
              <w:top w:type="dxa" w:w="70"/>
              <w:left w:type="dxa" w:w="120"/>
              <w:bottom w:type="dxa" w:w="70"/>
              <w:right w:type="dxa" w:w="120"/>
            </w:tcMar>
          </w:tcPr>
          <w:p>
            <w:r>
              <w:rPr>
                <w:sz w:val="19"/>
                <w:szCs w:val="19"/>
              </w:rPr>
              <w:t xml:space="preserve">Retorno del Merval</w:t>
            </w:r>
          </w:p>
        </w:tc>
        <w:tc>
          <w:tcPr>
            <w:tcW w:type="pct" w:w="500"/>
            <w:shd w:fill="FFFFFF" w:val="clear"/>
            <w:tcMar>
              <w:top w:type="dxa" w:w="70"/>
              <w:left w:type="dxa" w:w="120"/>
              <w:bottom w:type="dxa" w:w="70"/>
              <w:right w:type="dxa" w:w="120"/>
            </w:tcMar>
          </w:tcPr>
          <w:p>
            <w:r>
              <w:rPr>
                <w:sz w:val="19"/>
                <w:szCs w:val="19"/>
              </w:rPr>
              <w:t xml:space="preserve">244</w:t>
            </w:r>
          </w:p>
        </w:tc>
        <w:tc>
          <w:tcPr>
            <w:tcW w:type="pct" w:w="650"/>
            <w:shd w:fill="FFFFFF" w:val="clear"/>
            <w:tcMar>
              <w:top w:type="dxa" w:w="70"/>
              <w:left w:type="dxa" w:w="120"/>
              <w:bottom w:type="dxa" w:w="70"/>
              <w:right w:type="dxa" w:w="120"/>
            </w:tcMar>
          </w:tcPr>
          <w:p>
            <w:r>
              <w:rPr>
                <w:sz w:val="19"/>
                <w:szCs w:val="19"/>
              </w:rPr>
              <w:t xml:space="preserve">0,16%</w:t>
            </w:r>
          </w:p>
        </w:tc>
        <w:tc>
          <w:tcPr>
            <w:tcW w:type="pct" w:w="650"/>
            <w:shd w:fill="FFFFFF" w:val="clear"/>
            <w:tcMar>
              <w:top w:type="dxa" w:w="70"/>
              <w:left w:type="dxa" w:w="120"/>
              <w:bottom w:type="dxa" w:w="70"/>
              <w:right w:type="dxa" w:w="120"/>
            </w:tcMar>
          </w:tcPr>
          <w:p>
            <w:r>
              <w:rPr>
                <w:sz w:val="19"/>
                <w:szCs w:val="19"/>
              </w:rPr>
              <w:t xml:space="preserve">2,79%</w:t>
            </w:r>
          </w:p>
        </w:tc>
        <w:tc>
          <w:tcPr>
            <w:tcW w:type="pct" w:w="700"/>
            <w:shd w:fill="FFFFFF" w:val="clear"/>
            <w:tcMar>
              <w:top w:type="dxa" w:w="70"/>
              <w:left w:type="dxa" w:w="120"/>
              <w:bottom w:type="dxa" w:w="70"/>
              <w:right w:type="dxa" w:w="120"/>
            </w:tcMar>
          </w:tcPr>
          <w:p>
            <w:r>
              <w:rPr>
                <w:sz w:val="19"/>
                <w:szCs w:val="19"/>
              </w:rPr>
              <w:t xml:space="preserve">-13,25%</w:t>
            </w:r>
          </w:p>
        </w:tc>
        <w:tc>
          <w:tcPr>
            <w:tcW w:type="pct" w:w="700"/>
            <w:shd w:fill="FFFFFF" w:val="clear"/>
            <w:tcMar>
              <w:top w:type="dxa" w:w="70"/>
              <w:left w:type="dxa" w:w="120"/>
              <w:bottom w:type="dxa" w:w="70"/>
              <w:right w:type="dxa" w:w="120"/>
            </w:tcMar>
          </w:tcPr>
          <w:p>
            <w:r>
              <w:rPr>
                <w:sz w:val="19"/>
                <w:szCs w:val="19"/>
              </w:rPr>
              <w:t xml:space="preserve">21,77%</w:t>
            </w:r>
          </w:p>
        </w:tc>
      </w:tr>
      <w:tr>
        <w:trPr>
          <w:cantSplit/>
        </w:trPr>
        <w:tc>
          <w:tcPr>
            <w:tcW w:type="pct" w:w="1800"/>
            <w:shd w:fill="FAFCFD" w:val="clear"/>
            <w:tcMar>
              <w:top w:type="dxa" w:w="70"/>
              <w:left w:type="dxa" w:w="120"/>
              <w:bottom w:type="dxa" w:w="70"/>
              <w:right w:type="dxa" w:w="120"/>
            </w:tcMar>
          </w:tcPr>
          <w:p>
            <w:r>
              <w:rPr>
                <w:sz w:val="19"/>
                <w:szCs w:val="19"/>
              </w:rPr>
              <w:t xml:space="preserve">VIX argentino (%)</w:t>
            </w:r>
          </w:p>
        </w:tc>
        <w:tc>
          <w:tcPr>
            <w:tcW w:type="pct" w:w="500"/>
            <w:shd w:fill="FAFCFD" w:val="clear"/>
            <w:tcMar>
              <w:top w:type="dxa" w:w="70"/>
              <w:left w:type="dxa" w:w="120"/>
              <w:bottom w:type="dxa" w:w="70"/>
              <w:right w:type="dxa" w:w="120"/>
            </w:tcMar>
          </w:tcPr>
          <w:p>
            <w:r>
              <w:rPr>
                <w:sz w:val="19"/>
                <w:szCs w:val="19"/>
              </w:rPr>
              <w:t xml:space="preserve">244</w:t>
            </w:r>
          </w:p>
        </w:tc>
        <w:tc>
          <w:tcPr>
            <w:tcW w:type="pct" w:w="650"/>
            <w:shd w:fill="FAFCFD" w:val="clear"/>
            <w:tcMar>
              <w:top w:type="dxa" w:w="70"/>
              <w:left w:type="dxa" w:w="120"/>
              <w:bottom w:type="dxa" w:w="70"/>
              <w:right w:type="dxa" w:w="120"/>
            </w:tcMar>
          </w:tcPr>
          <w:p>
            <w:r>
              <w:rPr>
                <w:sz w:val="19"/>
                <w:szCs w:val="19"/>
              </w:rPr>
              <w:t xml:space="preserve">41,87</w:t>
            </w:r>
          </w:p>
        </w:tc>
        <w:tc>
          <w:tcPr>
            <w:tcW w:type="pct" w:w="650"/>
            <w:shd w:fill="FAFCFD" w:val="clear"/>
            <w:tcMar>
              <w:top w:type="dxa" w:w="70"/>
              <w:left w:type="dxa" w:w="120"/>
              <w:bottom w:type="dxa" w:w="70"/>
              <w:right w:type="dxa" w:w="120"/>
            </w:tcMar>
          </w:tcPr>
          <w:p>
            <w:r>
              <w:rPr>
                <w:sz w:val="19"/>
                <w:szCs w:val="19"/>
              </w:rPr>
              <w:t xml:space="preserve">17,04</w:t>
            </w:r>
          </w:p>
        </w:tc>
        <w:tc>
          <w:tcPr>
            <w:tcW w:type="pct" w:w="700"/>
            <w:shd w:fill="FAFCFD" w:val="clear"/>
            <w:tcMar>
              <w:top w:type="dxa" w:w="70"/>
              <w:left w:type="dxa" w:w="120"/>
              <w:bottom w:type="dxa" w:w="70"/>
              <w:right w:type="dxa" w:w="120"/>
            </w:tcMar>
          </w:tcPr>
          <w:p>
            <w:r>
              <w:rPr>
                <w:sz w:val="19"/>
                <w:szCs w:val="19"/>
              </w:rPr>
              <w:t xml:space="preserve">15,40</w:t>
            </w:r>
          </w:p>
        </w:tc>
        <w:tc>
          <w:tcPr>
            <w:tcW w:type="pct" w:w="700"/>
            <w:shd w:fill="FAFCFD" w:val="clear"/>
            <w:tcMar>
              <w:top w:type="dxa" w:w="70"/>
              <w:left w:type="dxa" w:w="120"/>
              <w:bottom w:type="dxa" w:w="70"/>
              <w:right w:type="dxa" w:w="120"/>
            </w:tcMar>
          </w:tcPr>
          <w:p>
            <w:r>
              <w:rPr>
                <w:sz w:val="19"/>
                <w:szCs w:val="19"/>
              </w:rPr>
              <w:t xml:space="preserve">90,99</w:t>
            </w:r>
          </w:p>
        </w:tc>
      </w:tr>
      <w:tr>
        <w:trPr>
          <w:cantSplit/>
        </w:trPr>
        <w:tc>
          <w:tcPr>
            <w:tcW w:type="pct" w:w="1800"/>
            <w:shd w:fill="FFFFFF" w:val="clear"/>
            <w:tcMar>
              <w:top w:type="dxa" w:w="70"/>
              <w:left w:type="dxa" w:w="120"/>
              <w:bottom w:type="dxa" w:w="70"/>
              <w:right w:type="dxa" w:w="120"/>
            </w:tcMar>
          </w:tcPr>
          <w:p>
            <w:r>
              <w:rPr>
                <w:sz w:val="19"/>
                <w:szCs w:val="19"/>
              </w:rPr>
              <w:t xml:space="preserve">Monto operado anormal (log)</w:t>
            </w:r>
          </w:p>
        </w:tc>
        <w:tc>
          <w:tcPr>
            <w:tcW w:type="pct" w:w="500"/>
            <w:shd w:fill="FFFFFF" w:val="clear"/>
            <w:tcMar>
              <w:top w:type="dxa" w:w="70"/>
              <w:left w:type="dxa" w:w="120"/>
              <w:bottom w:type="dxa" w:w="70"/>
              <w:right w:type="dxa" w:w="120"/>
            </w:tcMar>
          </w:tcPr>
          <w:p>
            <w:r>
              <w:rPr>
                <w:sz w:val="19"/>
                <w:szCs w:val="19"/>
              </w:rPr>
              <w:t xml:space="preserve">244</w:t>
            </w:r>
          </w:p>
        </w:tc>
        <w:tc>
          <w:tcPr>
            <w:tcW w:type="pct" w:w="650"/>
            <w:shd w:fill="FFFFFF" w:val="clear"/>
            <w:tcMar>
              <w:top w:type="dxa" w:w="70"/>
              <w:left w:type="dxa" w:w="120"/>
              <w:bottom w:type="dxa" w:w="70"/>
              <w:right w:type="dxa" w:w="120"/>
            </w:tcMar>
          </w:tcPr>
          <w:p>
            <w:r>
              <w:rPr>
                <w:sz w:val="19"/>
                <w:szCs w:val="19"/>
              </w:rPr>
              <w:t xml:space="preserve">-0,00</w:t>
            </w:r>
          </w:p>
        </w:tc>
        <w:tc>
          <w:tcPr>
            <w:tcW w:type="pct" w:w="650"/>
            <w:shd w:fill="FFFFFF" w:val="clear"/>
            <w:tcMar>
              <w:top w:type="dxa" w:w="70"/>
              <w:left w:type="dxa" w:w="120"/>
              <w:bottom w:type="dxa" w:w="70"/>
              <w:right w:type="dxa" w:w="120"/>
            </w:tcMar>
          </w:tcPr>
          <w:p>
            <w:r>
              <w:rPr>
                <w:sz w:val="19"/>
                <w:szCs w:val="19"/>
              </w:rPr>
              <w:t xml:space="preserve">0,46</w:t>
            </w:r>
          </w:p>
        </w:tc>
        <w:tc>
          <w:tcPr>
            <w:tcW w:type="pct" w:w="700"/>
            <w:shd w:fill="FFFFFF" w:val="clear"/>
            <w:tcMar>
              <w:top w:type="dxa" w:w="70"/>
              <w:left w:type="dxa" w:w="120"/>
              <w:bottom w:type="dxa" w:w="70"/>
              <w:right w:type="dxa" w:w="120"/>
            </w:tcMar>
          </w:tcPr>
          <w:p>
            <w:r>
              <w:rPr>
                <w:sz w:val="19"/>
                <w:szCs w:val="19"/>
              </w:rPr>
              <w:t xml:space="preserve">-2,21</w:t>
            </w:r>
          </w:p>
        </w:tc>
        <w:tc>
          <w:tcPr>
            <w:tcW w:type="pct" w:w="700"/>
            <w:shd w:fill="FFFFFF" w:val="clear"/>
            <w:tcMar>
              <w:top w:type="dxa" w:w="70"/>
              <w:left w:type="dxa" w:w="120"/>
              <w:bottom w:type="dxa" w:w="70"/>
              <w:right w:type="dxa" w:w="120"/>
            </w:tcMar>
          </w:tcPr>
          <w:p>
            <w:r>
              <w:rPr>
                <w:sz w:val="19"/>
                <w:szCs w:val="19"/>
              </w:rPr>
              <w:t xml:space="preserve">1,44</w:t>
            </w:r>
          </w:p>
        </w:tc>
      </w:tr>
      <w:tr>
        <w:trPr>
          <w:cantSplit/>
        </w:trPr>
        <w:tc>
          <w:tcPr>
            <w:tcW w:type="pct" w:w="1800"/>
            <w:shd w:fill="FAFCFD" w:val="clear"/>
            <w:tcMar>
              <w:top w:type="dxa" w:w="70"/>
              <w:left w:type="dxa" w:w="120"/>
              <w:bottom w:type="dxa" w:w="70"/>
              <w:right w:type="dxa" w:w="120"/>
            </w:tcMar>
          </w:tcPr>
          <w:p>
            <w:r>
              <w:rPr>
                <w:sz w:val="19"/>
                <w:szCs w:val="19"/>
              </w:rPr>
              <w:t xml:space="preserve">Tono de las noticias</w:t>
            </w:r>
          </w:p>
        </w:tc>
        <w:tc>
          <w:tcPr>
            <w:tcW w:type="pct" w:w="500"/>
            <w:shd w:fill="FAFCFD" w:val="clear"/>
            <w:tcMar>
              <w:top w:type="dxa" w:w="70"/>
              <w:left w:type="dxa" w:w="120"/>
              <w:bottom w:type="dxa" w:w="70"/>
              <w:right w:type="dxa" w:w="120"/>
            </w:tcMar>
          </w:tcPr>
          <w:p>
            <w:r>
              <w:rPr>
                <w:sz w:val="19"/>
                <w:szCs w:val="19"/>
              </w:rPr>
              <w:t xml:space="preserve">244</w:t>
            </w:r>
          </w:p>
        </w:tc>
        <w:tc>
          <w:tcPr>
            <w:tcW w:type="pct" w:w="650"/>
            <w:shd w:fill="FAFCFD" w:val="clear"/>
            <w:tcMar>
              <w:top w:type="dxa" w:w="70"/>
              <w:left w:type="dxa" w:w="120"/>
              <w:bottom w:type="dxa" w:w="70"/>
              <w:right w:type="dxa" w:w="120"/>
            </w:tcMar>
          </w:tcPr>
          <w:p>
            <w:r>
              <w:rPr>
                <w:sz w:val="19"/>
                <w:szCs w:val="19"/>
              </w:rPr>
              <w:t xml:space="preserve">3,91</w:t>
            </w:r>
          </w:p>
        </w:tc>
        <w:tc>
          <w:tcPr>
            <w:tcW w:type="pct" w:w="650"/>
            <w:shd w:fill="FAFCFD" w:val="clear"/>
            <w:tcMar>
              <w:top w:type="dxa" w:w="70"/>
              <w:left w:type="dxa" w:w="120"/>
              <w:bottom w:type="dxa" w:w="70"/>
              <w:right w:type="dxa" w:w="120"/>
            </w:tcMar>
          </w:tcPr>
          <w:p>
            <w:r>
              <w:rPr>
                <w:sz w:val="19"/>
                <w:szCs w:val="19"/>
              </w:rPr>
              <w:t xml:space="preserve">7,00</w:t>
            </w:r>
          </w:p>
        </w:tc>
        <w:tc>
          <w:tcPr>
            <w:tcW w:type="pct" w:w="700"/>
            <w:shd w:fill="FAFCFD" w:val="clear"/>
            <w:tcMar>
              <w:top w:type="dxa" w:w="70"/>
              <w:left w:type="dxa" w:w="120"/>
              <w:bottom w:type="dxa" w:w="70"/>
              <w:right w:type="dxa" w:w="120"/>
            </w:tcMar>
          </w:tcPr>
          <w:p>
            <w:r>
              <w:rPr>
                <w:sz w:val="19"/>
                <w:szCs w:val="19"/>
              </w:rPr>
              <w:t xml:space="preserve">-13,54</w:t>
            </w:r>
          </w:p>
        </w:tc>
        <w:tc>
          <w:tcPr>
            <w:tcW w:type="pct" w:w="700"/>
            <w:shd w:fill="FAFCFD" w:val="clear"/>
            <w:tcMar>
              <w:top w:type="dxa" w:w="70"/>
              <w:left w:type="dxa" w:w="120"/>
              <w:bottom w:type="dxa" w:w="70"/>
              <w:right w:type="dxa" w:w="120"/>
            </w:tcMar>
          </w:tcPr>
          <w:p>
            <w:r>
              <w:rPr>
                <w:sz w:val="19"/>
                <w:szCs w:val="19"/>
              </w:rPr>
              <w:t xml:space="preserve">22,10</w:t>
            </w:r>
          </w:p>
        </w:tc>
      </w:tr>
      <w:tr>
        <w:trPr>
          <w:cantSplit/>
        </w:trPr>
        <w:tc>
          <w:tcPr>
            <w:tcW w:type="pct" w:w="1800"/>
            <w:shd w:fill="FFFFFF" w:val="clear"/>
            <w:tcMar>
              <w:top w:type="dxa" w:w="70"/>
              <w:left w:type="dxa" w:w="120"/>
              <w:bottom w:type="dxa" w:w="70"/>
              <w:right w:type="dxa" w:w="120"/>
            </w:tcMar>
          </w:tcPr>
          <w:p>
            <w:r>
              <w:rPr>
                <w:sz w:val="19"/>
                <w:szCs w:val="19"/>
              </w:rPr>
              <w:t xml:space="preserve">Tono ajustado por portal</w:t>
            </w:r>
          </w:p>
        </w:tc>
        <w:tc>
          <w:tcPr>
            <w:tcW w:type="pct" w:w="500"/>
            <w:shd w:fill="FFFFFF" w:val="clear"/>
            <w:tcMar>
              <w:top w:type="dxa" w:w="70"/>
              <w:left w:type="dxa" w:w="120"/>
              <w:bottom w:type="dxa" w:w="70"/>
              <w:right w:type="dxa" w:w="120"/>
            </w:tcMar>
          </w:tcPr>
          <w:p>
            <w:r>
              <w:rPr>
                <w:sz w:val="19"/>
                <w:szCs w:val="19"/>
              </w:rPr>
              <w:t xml:space="preserve">244</w:t>
            </w:r>
          </w:p>
        </w:tc>
        <w:tc>
          <w:tcPr>
            <w:tcW w:type="pct" w:w="650"/>
            <w:shd w:fill="FFFFFF" w:val="clear"/>
            <w:tcMar>
              <w:top w:type="dxa" w:w="70"/>
              <w:left w:type="dxa" w:w="120"/>
              <w:bottom w:type="dxa" w:w="70"/>
              <w:right w:type="dxa" w:w="120"/>
            </w:tcMar>
          </w:tcPr>
          <w:p>
            <w:r>
              <w:rPr>
                <w:sz w:val="19"/>
                <w:szCs w:val="19"/>
              </w:rPr>
              <w:t xml:space="preserve">-0,07</w:t>
            </w:r>
          </w:p>
        </w:tc>
        <w:tc>
          <w:tcPr>
            <w:tcW w:type="pct" w:w="650"/>
            <w:shd w:fill="FFFFFF" w:val="clear"/>
            <w:tcMar>
              <w:top w:type="dxa" w:w="70"/>
              <w:left w:type="dxa" w:w="120"/>
              <w:bottom w:type="dxa" w:w="70"/>
              <w:right w:type="dxa" w:w="120"/>
            </w:tcMar>
          </w:tcPr>
          <w:p>
            <w:r>
              <w:rPr>
                <w:sz w:val="19"/>
                <w:szCs w:val="19"/>
              </w:rPr>
              <w:t xml:space="preserve">6,87</w:t>
            </w:r>
          </w:p>
        </w:tc>
        <w:tc>
          <w:tcPr>
            <w:tcW w:type="pct" w:w="700"/>
            <w:shd w:fill="FFFFFF" w:val="clear"/>
            <w:tcMar>
              <w:top w:type="dxa" w:w="70"/>
              <w:left w:type="dxa" w:w="120"/>
              <w:bottom w:type="dxa" w:w="70"/>
              <w:right w:type="dxa" w:w="120"/>
            </w:tcMar>
          </w:tcPr>
          <w:p>
            <w:r>
              <w:rPr>
                <w:sz w:val="19"/>
                <w:szCs w:val="19"/>
              </w:rPr>
              <w:t xml:space="preserve">-15,34</w:t>
            </w:r>
          </w:p>
        </w:tc>
        <w:tc>
          <w:tcPr>
            <w:tcW w:type="pct" w:w="700"/>
            <w:shd w:fill="FFFFFF" w:val="clear"/>
            <w:tcMar>
              <w:top w:type="dxa" w:w="70"/>
              <w:left w:type="dxa" w:w="120"/>
              <w:bottom w:type="dxa" w:w="70"/>
              <w:right w:type="dxa" w:w="120"/>
            </w:tcMar>
          </w:tcPr>
          <w:p>
            <w:r>
              <w:rPr>
                <w:sz w:val="19"/>
                <w:szCs w:val="19"/>
              </w:rPr>
              <w:t xml:space="preserve">17,15</w:t>
            </w:r>
          </w:p>
        </w:tc>
      </w:tr>
      <w:tr>
        <w:trPr>
          <w:cantSplit/>
        </w:trPr>
        <w:tc>
          <w:tcPr>
            <w:tcW w:type="pct" w:w="1800"/>
            <w:shd w:fill="FAFCFD" w:val="clear"/>
            <w:tcMar>
              <w:top w:type="dxa" w:w="70"/>
              <w:left w:type="dxa" w:w="120"/>
              <w:bottom w:type="dxa" w:w="70"/>
              <w:right w:type="dxa" w:w="120"/>
            </w:tcMar>
          </w:tcPr>
          <w:p>
            <w:r>
              <w:rPr>
                <w:sz w:val="19"/>
                <w:szCs w:val="19"/>
              </w:rPr>
              <w:t xml:space="preserve">Tono anormal (variable del VAR)</w:t>
            </w:r>
          </w:p>
        </w:tc>
        <w:tc>
          <w:tcPr>
            <w:tcW w:type="pct" w:w="500"/>
            <w:shd w:fill="FAFCFD" w:val="clear"/>
            <w:tcMar>
              <w:top w:type="dxa" w:w="70"/>
              <w:left w:type="dxa" w:w="120"/>
              <w:bottom w:type="dxa" w:w="70"/>
              <w:right w:type="dxa" w:w="120"/>
            </w:tcMar>
          </w:tcPr>
          <w:p>
            <w:r>
              <w:rPr>
                <w:sz w:val="19"/>
                <w:szCs w:val="19"/>
              </w:rPr>
              <w:t xml:space="preserve">224</w:t>
            </w:r>
          </w:p>
        </w:tc>
        <w:tc>
          <w:tcPr>
            <w:tcW w:type="pct" w:w="650"/>
            <w:shd w:fill="FAFCFD" w:val="clear"/>
            <w:tcMar>
              <w:top w:type="dxa" w:w="70"/>
              <w:left w:type="dxa" w:w="120"/>
              <w:bottom w:type="dxa" w:w="70"/>
              <w:right w:type="dxa" w:w="120"/>
            </w:tcMar>
          </w:tcPr>
          <w:p>
            <w:r>
              <w:rPr>
                <w:sz w:val="19"/>
                <w:szCs w:val="19"/>
              </w:rPr>
              <w:t xml:space="preserve">-0,51</w:t>
            </w:r>
          </w:p>
        </w:tc>
        <w:tc>
          <w:tcPr>
            <w:tcW w:type="pct" w:w="650"/>
            <w:shd w:fill="FAFCFD" w:val="clear"/>
            <w:tcMar>
              <w:top w:type="dxa" w:w="70"/>
              <w:left w:type="dxa" w:w="120"/>
              <w:bottom w:type="dxa" w:w="70"/>
              <w:right w:type="dxa" w:w="120"/>
            </w:tcMar>
          </w:tcPr>
          <w:p>
            <w:r>
              <w:rPr>
                <w:sz w:val="19"/>
                <w:szCs w:val="19"/>
              </w:rPr>
              <w:t xml:space="preserve">6,01</w:t>
            </w:r>
          </w:p>
        </w:tc>
        <w:tc>
          <w:tcPr>
            <w:tcW w:type="pct" w:w="700"/>
            <w:shd w:fill="FAFCFD" w:val="clear"/>
            <w:tcMar>
              <w:top w:type="dxa" w:w="70"/>
              <w:left w:type="dxa" w:w="120"/>
              <w:bottom w:type="dxa" w:w="70"/>
              <w:right w:type="dxa" w:w="120"/>
            </w:tcMar>
          </w:tcPr>
          <w:p>
            <w:r>
              <w:rPr>
                <w:sz w:val="19"/>
                <w:szCs w:val="19"/>
              </w:rPr>
              <w:t xml:space="preserve">-16,94</w:t>
            </w:r>
          </w:p>
        </w:tc>
        <w:tc>
          <w:tcPr>
            <w:tcW w:type="pct" w:w="700"/>
            <w:shd w:fill="FAFCFD" w:val="clear"/>
            <w:tcMar>
              <w:top w:type="dxa" w:w="70"/>
              <w:left w:type="dxa" w:w="120"/>
              <w:bottom w:type="dxa" w:w="70"/>
              <w:right w:type="dxa" w:w="120"/>
            </w:tcMar>
          </w:tcPr>
          <w:p>
            <w:r>
              <w:rPr>
                <w:sz w:val="19"/>
                <w:szCs w:val="19"/>
              </w:rPr>
              <w:t xml:space="preserve">20,97</w:t>
            </w:r>
          </w:p>
        </w:tc>
      </w:tr>
      <w:tr>
        <w:trPr>
          <w:cantSplit/>
        </w:trPr>
        <w:tc>
          <w:tcPr>
            <w:tcW w:type="pct" w:w="1800"/>
            <w:shd w:fill="FFFFFF" w:val="clear"/>
            <w:tcMar>
              <w:top w:type="dxa" w:w="70"/>
              <w:left w:type="dxa" w:w="120"/>
              <w:bottom w:type="dxa" w:w="70"/>
              <w:right w:type="dxa" w:w="120"/>
            </w:tcMar>
          </w:tcPr>
          <w:p>
            <w:r>
              <w:rPr>
                <w:sz w:val="19"/>
                <w:szCs w:val="19"/>
              </w:rPr>
              <w:t xml:space="preserve">Notas por rueda</w:t>
            </w:r>
          </w:p>
        </w:tc>
        <w:tc>
          <w:tcPr>
            <w:tcW w:type="pct" w:w="500"/>
            <w:shd w:fill="FFFFFF" w:val="clear"/>
            <w:tcMar>
              <w:top w:type="dxa" w:w="70"/>
              <w:left w:type="dxa" w:w="120"/>
              <w:bottom w:type="dxa" w:w="70"/>
              <w:right w:type="dxa" w:w="120"/>
            </w:tcMar>
          </w:tcPr>
          <w:p>
            <w:r>
              <w:rPr>
                <w:sz w:val="19"/>
                <w:szCs w:val="19"/>
              </w:rPr>
              <w:t xml:space="preserve">244</w:t>
            </w:r>
          </w:p>
        </w:tc>
        <w:tc>
          <w:tcPr>
            <w:tcW w:type="pct" w:w="650"/>
            <w:shd w:fill="FFFFFF" w:val="clear"/>
            <w:tcMar>
              <w:top w:type="dxa" w:w="70"/>
              <w:left w:type="dxa" w:w="120"/>
              <w:bottom w:type="dxa" w:w="70"/>
              <w:right w:type="dxa" w:w="120"/>
            </w:tcMar>
          </w:tcPr>
          <w:p>
            <w:r>
              <w:rPr>
                <w:sz w:val="19"/>
                <w:szCs w:val="19"/>
              </w:rPr>
              <w:t xml:space="preserve">57,07</w:t>
            </w:r>
          </w:p>
        </w:tc>
        <w:tc>
          <w:tcPr>
            <w:tcW w:type="pct" w:w="650"/>
            <w:shd w:fill="FFFFFF" w:val="clear"/>
            <w:tcMar>
              <w:top w:type="dxa" w:w="70"/>
              <w:left w:type="dxa" w:w="120"/>
              <w:bottom w:type="dxa" w:w="70"/>
              <w:right w:type="dxa" w:w="120"/>
            </w:tcMar>
          </w:tcPr>
          <w:p>
            <w:r>
              <w:rPr>
                <w:sz w:val="19"/>
                <w:szCs w:val="19"/>
              </w:rPr>
              <w:t xml:space="preserve">22,87</w:t>
            </w:r>
          </w:p>
        </w:tc>
        <w:tc>
          <w:tcPr>
            <w:tcW w:type="pct" w:w="700"/>
            <w:shd w:fill="FFFFFF" w:val="clear"/>
            <w:tcMar>
              <w:top w:type="dxa" w:w="70"/>
              <w:left w:type="dxa" w:w="120"/>
              <w:bottom w:type="dxa" w:w="70"/>
              <w:right w:type="dxa" w:w="120"/>
            </w:tcMar>
          </w:tcPr>
          <w:p>
            <w:r>
              <w:rPr>
                <w:sz w:val="19"/>
                <w:szCs w:val="19"/>
              </w:rPr>
              <w:t xml:space="preserve">12,00</w:t>
            </w:r>
          </w:p>
        </w:tc>
        <w:tc>
          <w:tcPr>
            <w:tcW w:type="pct" w:w="700"/>
            <w:shd w:fill="FFFFFF" w:val="clear"/>
            <w:tcMar>
              <w:top w:type="dxa" w:w="70"/>
              <w:left w:type="dxa" w:w="120"/>
              <w:bottom w:type="dxa" w:w="70"/>
              <w:right w:type="dxa" w:w="120"/>
            </w:tcMar>
          </w:tcPr>
          <w:p>
            <w:r>
              <w:rPr>
                <w:sz w:val="19"/>
                <w:szCs w:val="19"/>
              </w:rPr>
              <w:t xml:space="preserve">145,00</w:t>
            </w:r>
          </w:p>
        </w:tc>
      </w:tr>
      <w:tr>
        <w:trPr>
          <w:cantSplit/>
        </w:trPr>
        <w:tc>
          <w:tcPr>
            <w:tcW w:type="pct" w:w="1800"/>
            <w:shd w:fill="FAFCFD" w:val="clear"/>
            <w:tcMar>
              <w:top w:type="dxa" w:w="70"/>
              <w:left w:type="dxa" w:w="120"/>
              <w:bottom w:type="dxa" w:w="70"/>
              <w:right w:type="dxa" w:w="120"/>
            </w:tcMar>
          </w:tcPr>
          <w:p>
            <w:r>
              <w:rPr>
                <w:sz w:val="19"/>
                <w:szCs w:val="19"/>
              </w:rPr>
              <w:t xml:space="preserve">Atención anormal (log)</w:t>
            </w:r>
          </w:p>
        </w:tc>
        <w:tc>
          <w:tcPr>
            <w:tcW w:type="pct" w:w="500"/>
            <w:shd w:fill="FAFCFD" w:val="clear"/>
            <w:tcMar>
              <w:top w:type="dxa" w:w="70"/>
              <w:left w:type="dxa" w:w="120"/>
              <w:bottom w:type="dxa" w:w="70"/>
              <w:right w:type="dxa" w:w="120"/>
            </w:tcMar>
          </w:tcPr>
          <w:p>
            <w:r>
              <w:rPr>
                <w:sz w:val="19"/>
                <w:szCs w:val="19"/>
              </w:rPr>
              <w:t xml:space="preserve">224</w:t>
            </w:r>
          </w:p>
        </w:tc>
        <w:tc>
          <w:tcPr>
            <w:tcW w:type="pct" w:w="650"/>
            <w:shd w:fill="FAFCFD" w:val="clear"/>
            <w:tcMar>
              <w:top w:type="dxa" w:w="70"/>
              <w:left w:type="dxa" w:w="120"/>
              <w:bottom w:type="dxa" w:w="70"/>
              <w:right w:type="dxa" w:w="120"/>
            </w:tcMar>
          </w:tcPr>
          <w:p>
            <w:r>
              <w:rPr>
                <w:sz w:val="19"/>
                <w:szCs w:val="19"/>
              </w:rPr>
              <w:t xml:space="preserve">-0,01</w:t>
            </w:r>
          </w:p>
        </w:tc>
        <w:tc>
          <w:tcPr>
            <w:tcW w:type="pct" w:w="650"/>
            <w:shd w:fill="FAFCFD" w:val="clear"/>
            <w:tcMar>
              <w:top w:type="dxa" w:w="70"/>
              <w:left w:type="dxa" w:w="120"/>
              <w:bottom w:type="dxa" w:w="70"/>
              <w:right w:type="dxa" w:w="120"/>
            </w:tcMar>
          </w:tcPr>
          <w:p>
            <w:r>
              <w:rPr>
                <w:sz w:val="19"/>
                <w:szCs w:val="19"/>
              </w:rPr>
              <w:t xml:space="preserve">0,30</w:t>
            </w:r>
          </w:p>
        </w:tc>
        <w:tc>
          <w:tcPr>
            <w:tcW w:type="pct" w:w="700"/>
            <w:shd w:fill="FAFCFD" w:val="clear"/>
            <w:tcMar>
              <w:top w:type="dxa" w:w="70"/>
              <w:left w:type="dxa" w:w="120"/>
              <w:bottom w:type="dxa" w:w="70"/>
              <w:right w:type="dxa" w:w="120"/>
            </w:tcMar>
          </w:tcPr>
          <w:p>
            <w:r>
              <w:rPr>
                <w:sz w:val="19"/>
                <w:szCs w:val="19"/>
              </w:rPr>
              <w:t xml:space="preserve">-1,08</w:t>
            </w:r>
          </w:p>
        </w:tc>
        <w:tc>
          <w:tcPr>
            <w:tcW w:type="pct" w:w="700"/>
            <w:shd w:fill="FAFCFD" w:val="clear"/>
            <w:tcMar>
              <w:top w:type="dxa" w:w="70"/>
              <w:left w:type="dxa" w:w="120"/>
              <w:bottom w:type="dxa" w:w="70"/>
              <w:right w:type="dxa" w:w="120"/>
            </w:tcMar>
          </w:tcPr>
          <w:p>
            <w:r>
              <w:rPr>
                <w:sz w:val="19"/>
                <w:szCs w:val="19"/>
              </w:rPr>
              <w:t xml:space="preserve">0,51</w:t>
            </w:r>
          </w:p>
        </w:tc>
      </w:tr>
      <w:tr>
        <w:trPr>
          <w:cantSplit/>
        </w:trPr>
        <w:tc>
          <w:tcPr>
            <w:tcW w:type="pct" w:w="1800"/>
            <w:shd w:fill="FFFFFF" w:val="clear"/>
            <w:tcMar>
              <w:top w:type="dxa" w:w="70"/>
              <w:left w:type="dxa" w:w="120"/>
              <w:bottom w:type="dxa" w:w="70"/>
              <w:right w:type="dxa" w:w="120"/>
            </w:tcMar>
          </w:tcPr>
          <w:p>
            <w:r>
              <w:rPr>
                <w:sz w:val="19"/>
                <w:szCs w:val="19"/>
              </w:rPr>
              <w:t xml:space="preserve">Retorno de cada acción</w:t>
            </w:r>
          </w:p>
        </w:tc>
        <w:tc>
          <w:tcPr>
            <w:tcW w:type="pct" w:w="500"/>
            <w:shd w:fill="FFFFFF" w:val="clear"/>
            <w:tcMar>
              <w:top w:type="dxa" w:w="70"/>
              <w:left w:type="dxa" w:w="120"/>
              <w:bottom w:type="dxa" w:w="70"/>
              <w:right w:type="dxa" w:w="120"/>
            </w:tcMar>
          </w:tcPr>
          <w:p>
            <w:r>
              <w:rPr>
                <w:sz w:val="19"/>
                <w:szCs w:val="19"/>
              </w:rPr>
              <w:t xml:space="preserve">11.468</w:t>
            </w:r>
          </w:p>
        </w:tc>
        <w:tc>
          <w:tcPr>
            <w:tcW w:type="pct" w:w="650"/>
            <w:shd w:fill="FFFFFF" w:val="clear"/>
            <w:tcMar>
              <w:top w:type="dxa" w:w="70"/>
              <w:left w:type="dxa" w:w="120"/>
              <w:bottom w:type="dxa" w:w="70"/>
              <w:right w:type="dxa" w:w="120"/>
            </w:tcMar>
          </w:tcPr>
          <w:p>
            <w:r>
              <w:rPr>
                <w:sz w:val="19"/>
                <w:szCs w:val="19"/>
              </w:rPr>
              <w:t xml:space="preserve">0,12%</w:t>
            </w:r>
          </w:p>
        </w:tc>
        <w:tc>
          <w:tcPr>
            <w:tcW w:type="pct" w:w="650"/>
            <w:shd w:fill="FFFFFF" w:val="clear"/>
            <w:tcMar>
              <w:top w:type="dxa" w:w="70"/>
              <w:left w:type="dxa" w:w="120"/>
              <w:bottom w:type="dxa" w:w="70"/>
              <w:right w:type="dxa" w:w="120"/>
            </w:tcMar>
          </w:tcPr>
          <w:p>
            <w:r>
              <w:rPr>
                <w:sz w:val="19"/>
                <w:szCs w:val="19"/>
              </w:rPr>
              <w:t xml:space="preserve">3,86%</w:t>
            </w:r>
          </w:p>
        </w:tc>
        <w:tc>
          <w:tcPr>
            <w:tcW w:type="pct" w:w="700"/>
            <w:shd w:fill="FFFFFF" w:val="clear"/>
            <w:tcMar>
              <w:top w:type="dxa" w:w="70"/>
              <w:left w:type="dxa" w:w="120"/>
              <w:bottom w:type="dxa" w:w="70"/>
              <w:right w:type="dxa" w:w="120"/>
            </w:tcMar>
          </w:tcPr>
          <w:p>
            <w:r>
              <w:rPr>
                <w:sz w:val="19"/>
                <w:szCs w:val="19"/>
              </w:rPr>
              <w:t xml:space="preserve">-39,57%</w:t>
            </w:r>
          </w:p>
        </w:tc>
        <w:tc>
          <w:tcPr>
            <w:tcW w:type="pct" w:w="700"/>
            <w:shd w:fill="FFFFFF" w:val="clear"/>
            <w:tcMar>
              <w:top w:type="dxa" w:w="70"/>
              <w:left w:type="dxa" w:w="120"/>
              <w:bottom w:type="dxa" w:w="70"/>
              <w:right w:type="dxa" w:w="120"/>
            </w:tcMar>
          </w:tcPr>
          <w:p>
            <w:r>
              <w:rPr>
                <w:sz w:val="19"/>
                <w:szCs w:val="19"/>
              </w:rPr>
              <w:t xml:space="preserve">53,96%</w:t>
            </w:r>
          </w:p>
        </w:tc>
      </w:tr>
      <w:tr>
        <w:trPr>
          <w:cantSplit/>
        </w:trPr>
        <w:tc>
          <w:tcPr>
            <w:tcW w:type="pct" w:w="1800"/>
            <w:shd w:fill="FAFCFD" w:val="clear"/>
            <w:tcMar>
              <w:top w:type="dxa" w:w="70"/>
              <w:left w:type="dxa" w:w="120"/>
              <w:bottom w:type="dxa" w:w="70"/>
              <w:right w:type="dxa" w:w="120"/>
            </w:tcMar>
          </w:tcPr>
          <w:p>
            <w:r>
              <w:rPr>
                <w:sz w:val="19"/>
                <w:szCs w:val="19"/>
              </w:rPr>
              <w:t xml:space="preserve">Volumen anormal de cada acción (log)</w:t>
            </w:r>
          </w:p>
        </w:tc>
        <w:tc>
          <w:tcPr>
            <w:tcW w:type="pct" w:w="500"/>
            <w:shd w:fill="FAFCFD" w:val="clear"/>
            <w:tcMar>
              <w:top w:type="dxa" w:w="70"/>
              <w:left w:type="dxa" w:w="120"/>
              <w:bottom w:type="dxa" w:w="70"/>
              <w:right w:type="dxa" w:w="120"/>
            </w:tcMar>
          </w:tcPr>
          <w:p>
            <w:r>
              <w:rPr>
                <w:sz w:val="19"/>
                <w:szCs w:val="19"/>
              </w:rPr>
              <w:t xml:space="preserve">11.468</w:t>
            </w:r>
          </w:p>
        </w:tc>
        <w:tc>
          <w:tcPr>
            <w:tcW w:type="pct" w:w="650"/>
            <w:shd w:fill="FAFCFD" w:val="clear"/>
            <w:tcMar>
              <w:top w:type="dxa" w:w="70"/>
              <w:left w:type="dxa" w:w="120"/>
              <w:bottom w:type="dxa" w:w="70"/>
              <w:right w:type="dxa" w:w="120"/>
            </w:tcMar>
          </w:tcPr>
          <w:p>
            <w:r>
              <w:rPr>
                <w:sz w:val="19"/>
                <w:szCs w:val="19"/>
              </w:rPr>
              <w:t xml:space="preserve">-0,02</w:t>
            </w:r>
          </w:p>
        </w:tc>
        <w:tc>
          <w:tcPr>
            <w:tcW w:type="pct" w:w="650"/>
            <w:shd w:fill="FAFCFD" w:val="clear"/>
            <w:tcMar>
              <w:top w:type="dxa" w:w="70"/>
              <w:left w:type="dxa" w:w="120"/>
              <w:bottom w:type="dxa" w:w="70"/>
              <w:right w:type="dxa" w:w="120"/>
            </w:tcMar>
          </w:tcPr>
          <w:p>
            <w:r>
              <w:rPr>
                <w:sz w:val="19"/>
                <w:szCs w:val="19"/>
              </w:rPr>
              <w:t xml:space="preserve">0,77</w:t>
            </w:r>
          </w:p>
        </w:tc>
        <w:tc>
          <w:tcPr>
            <w:tcW w:type="pct" w:w="700"/>
            <w:shd w:fill="FAFCFD" w:val="clear"/>
            <w:tcMar>
              <w:top w:type="dxa" w:w="70"/>
              <w:left w:type="dxa" w:w="120"/>
              <w:bottom w:type="dxa" w:w="70"/>
              <w:right w:type="dxa" w:w="120"/>
            </w:tcMar>
          </w:tcPr>
          <w:p>
            <w:r>
              <w:rPr>
                <w:sz w:val="19"/>
                <w:szCs w:val="19"/>
              </w:rPr>
              <w:t xml:space="preserve">-12,68</w:t>
            </w:r>
          </w:p>
        </w:tc>
        <w:tc>
          <w:tcPr>
            <w:tcW w:type="pct" w:w="700"/>
            <w:shd w:fill="FAFCFD" w:val="clear"/>
            <w:tcMar>
              <w:top w:type="dxa" w:w="70"/>
              <w:left w:type="dxa" w:w="120"/>
              <w:bottom w:type="dxa" w:w="70"/>
              <w:right w:type="dxa" w:w="120"/>
            </w:tcMar>
          </w:tcPr>
          <w:p>
            <w:r>
              <w:rPr>
                <w:sz w:val="19"/>
                <w:szCs w:val="19"/>
              </w:rPr>
              <w:t xml:space="preserve">4,79</w:t>
            </w:r>
          </w:p>
        </w:tc>
      </w:tr>
      <w:tr>
        <w:trPr>
          <w:cantSplit/>
        </w:trPr>
        <w:tc>
          <w:tcPr>
            <w:tcW w:type="pct" w:w="1800"/>
            <w:shd w:fill="FFFFFF" w:val="clear"/>
            <w:tcMar>
              <w:top w:type="dxa" w:w="70"/>
              <w:left w:type="dxa" w:w="120"/>
              <w:bottom w:type="dxa" w:w="70"/>
              <w:right w:type="dxa" w:w="120"/>
            </w:tcMar>
          </w:tcPr>
          <w:p>
            <w:r>
              <w:rPr>
                <w:sz w:val="19"/>
                <w:szCs w:val="19"/>
              </w:rPr>
              <w:t xml:space="preserve">Tono de la empresa (si hubo noticia)</w:t>
            </w:r>
          </w:p>
        </w:tc>
        <w:tc>
          <w:tcPr>
            <w:tcW w:type="pct" w:w="500"/>
            <w:shd w:fill="FFFFFF" w:val="clear"/>
            <w:tcMar>
              <w:top w:type="dxa" w:w="70"/>
              <w:left w:type="dxa" w:w="120"/>
              <w:bottom w:type="dxa" w:w="70"/>
              <w:right w:type="dxa" w:w="120"/>
            </w:tcMar>
          </w:tcPr>
          <w:p>
            <w:r>
              <w:rPr>
                <w:sz w:val="19"/>
                <w:szCs w:val="19"/>
              </w:rPr>
              <w:t xml:space="preserve">3.489</w:t>
            </w:r>
          </w:p>
        </w:tc>
        <w:tc>
          <w:tcPr>
            <w:tcW w:type="pct" w:w="650"/>
            <w:shd w:fill="FFFFFF" w:val="clear"/>
            <w:tcMar>
              <w:top w:type="dxa" w:w="70"/>
              <w:left w:type="dxa" w:w="120"/>
              <w:bottom w:type="dxa" w:w="70"/>
              <w:right w:type="dxa" w:w="120"/>
            </w:tcMar>
          </w:tcPr>
          <w:p>
            <w:r>
              <w:rPr>
                <w:sz w:val="19"/>
                <w:szCs w:val="19"/>
              </w:rPr>
              <w:t xml:space="preserve">12,57</w:t>
            </w:r>
          </w:p>
        </w:tc>
        <w:tc>
          <w:tcPr>
            <w:tcW w:type="pct" w:w="650"/>
            <w:shd w:fill="FFFFFF" w:val="clear"/>
            <w:tcMar>
              <w:top w:type="dxa" w:w="70"/>
              <w:left w:type="dxa" w:w="120"/>
              <w:bottom w:type="dxa" w:w="70"/>
              <w:right w:type="dxa" w:w="120"/>
            </w:tcMar>
          </w:tcPr>
          <w:p>
            <w:r>
              <w:rPr>
                <w:sz w:val="19"/>
                <w:szCs w:val="19"/>
              </w:rPr>
              <w:t xml:space="preserve">62,39</w:t>
            </w:r>
          </w:p>
        </w:tc>
        <w:tc>
          <w:tcPr>
            <w:tcW w:type="pct" w:w="700"/>
            <w:shd w:fill="FFFFFF" w:val="clear"/>
            <w:tcMar>
              <w:top w:type="dxa" w:w="70"/>
              <w:left w:type="dxa" w:w="120"/>
              <w:bottom w:type="dxa" w:w="70"/>
              <w:right w:type="dxa" w:w="120"/>
            </w:tcMar>
          </w:tcPr>
          <w:p>
            <w:r>
              <w:rPr>
                <w:sz w:val="19"/>
                <w:szCs w:val="19"/>
              </w:rPr>
              <w:t xml:space="preserve">-100,00</w:t>
            </w:r>
          </w:p>
        </w:tc>
        <w:tc>
          <w:tcPr>
            <w:tcW w:type="pct" w:w="700"/>
            <w:shd w:fill="FFFFFF" w:val="clear"/>
            <w:tcMar>
              <w:top w:type="dxa" w:w="70"/>
              <w:left w:type="dxa" w:w="120"/>
              <w:bottom w:type="dxa" w:w="70"/>
              <w:right w:type="dxa" w:w="120"/>
            </w:tcMar>
          </w:tcPr>
          <w:p>
            <w:r>
              <w:rPr>
                <w:sz w:val="19"/>
                <w:szCs w:val="19"/>
              </w:rPr>
              <w:t xml:space="preserve">100,00</w:t>
            </w:r>
          </w:p>
        </w:tc>
      </w:tr>
      <w:tr>
        <w:trPr>
          <w:cantSplit/>
        </w:trPr>
        <w:tc>
          <w:tcPr>
            <w:tcW w:type="pct" w:w="1800"/>
            <w:shd w:fill="FAFCFD" w:val="clear"/>
            <w:tcMar>
              <w:top w:type="dxa" w:w="70"/>
              <w:left w:type="dxa" w:w="120"/>
              <w:bottom w:type="dxa" w:w="70"/>
              <w:right w:type="dxa" w:w="120"/>
            </w:tcMar>
          </w:tcPr>
          <w:p>
            <w:r>
              <w:rPr>
                <w:sz w:val="19"/>
                <w:szCs w:val="19"/>
              </w:rPr>
              <w:t xml:space="preserve">Oraciones que mencionan a la empresa</w:t>
            </w:r>
          </w:p>
        </w:tc>
        <w:tc>
          <w:tcPr>
            <w:tcW w:type="pct" w:w="500"/>
            <w:shd w:fill="FAFCFD" w:val="clear"/>
            <w:tcMar>
              <w:top w:type="dxa" w:w="70"/>
              <w:left w:type="dxa" w:w="120"/>
              <w:bottom w:type="dxa" w:w="70"/>
              <w:right w:type="dxa" w:w="120"/>
            </w:tcMar>
          </w:tcPr>
          <w:p>
            <w:r>
              <w:rPr>
                <w:sz w:val="19"/>
                <w:szCs w:val="19"/>
              </w:rPr>
              <w:t xml:space="preserve">11.468</w:t>
            </w:r>
          </w:p>
        </w:tc>
        <w:tc>
          <w:tcPr>
            <w:tcW w:type="pct" w:w="650"/>
            <w:shd w:fill="FAFCFD" w:val="clear"/>
            <w:tcMar>
              <w:top w:type="dxa" w:w="70"/>
              <w:left w:type="dxa" w:w="120"/>
              <w:bottom w:type="dxa" w:w="70"/>
              <w:right w:type="dxa" w:w="120"/>
            </w:tcMar>
          </w:tcPr>
          <w:p>
            <w:r>
              <w:rPr>
                <w:sz w:val="19"/>
                <w:szCs w:val="19"/>
              </w:rPr>
              <w:t xml:space="preserve">0,96</w:t>
            </w:r>
          </w:p>
        </w:tc>
        <w:tc>
          <w:tcPr>
            <w:tcW w:type="pct" w:w="650"/>
            <w:shd w:fill="FAFCFD" w:val="clear"/>
            <w:tcMar>
              <w:top w:type="dxa" w:w="70"/>
              <w:left w:type="dxa" w:w="120"/>
              <w:bottom w:type="dxa" w:w="70"/>
              <w:right w:type="dxa" w:w="120"/>
            </w:tcMar>
          </w:tcPr>
          <w:p>
            <w:r>
              <w:rPr>
                <w:sz w:val="19"/>
                <w:szCs w:val="19"/>
              </w:rPr>
              <w:t xml:space="preserve">3,13</w:t>
            </w:r>
          </w:p>
        </w:tc>
        <w:tc>
          <w:tcPr>
            <w:tcW w:type="pct" w:w="700"/>
            <w:shd w:fill="FAFCFD" w:val="clear"/>
            <w:tcMar>
              <w:top w:type="dxa" w:w="70"/>
              <w:left w:type="dxa" w:w="120"/>
              <w:bottom w:type="dxa" w:w="70"/>
              <w:right w:type="dxa" w:w="120"/>
            </w:tcMar>
          </w:tcPr>
          <w:p>
            <w:r>
              <w:rPr>
                <w:sz w:val="19"/>
                <w:szCs w:val="19"/>
              </w:rPr>
              <w:t xml:space="preserve">0,00</w:t>
            </w:r>
          </w:p>
        </w:tc>
        <w:tc>
          <w:tcPr>
            <w:tcW w:type="pct" w:w="700"/>
            <w:shd w:fill="FAFCFD" w:val="clear"/>
            <w:tcMar>
              <w:top w:type="dxa" w:w="70"/>
              <w:left w:type="dxa" w:w="120"/>
              <w:bottom w:type="dxa" w:w="70"/>
              <w:right w:type="dxa" w:w="120"/>
            </w:tcMar>
          </w:tcPr>
          <w:p>
            <w:r>
              <w:rPr>
                <w:sz w:val="19"/>
                <w:szCs w:val="19"/>
              </w:rPr>
              <w:t xml:space="preserve">185,00</w:t>
            </w:r>
          </w:p>
        </w:tc>
      </w:tr>
      <w:tr>
        <w:trPr>
          <w:cantSplit/>
        </w:trPr>
        <w:tc>
          <w:tcPr>
            <w:tcW w:type="pct" w:w="1800"/>
            <w:shd w:fill="FFFFFF" w:val="clear"/>
            <w:tcMar>
              <w:top w:type="dxa" w:w="70"/>
              <w:left w:type="dxa" w:w="120"/>
              <w:bottom w:type="dxa" w:w="70"/>
              <w:right w:type="dxa" w:w="120"/>
            </w:tcMar>
          </w:tcPr>
          <w:p>
            <w:r>
              <w:rPr>
                <w:sz w:val="19"/>
                <w:szCs w:val="19"/>
              </w:rPr>
              <w:t xml:space="preserve">Tono propio (17 empresas)</w:t>
            </w:r>
          </w:p>
        </w:tc>
        <w:tc>
          <w:tcPr>
            <w:tcW w:type="pct" w:w="500"/>
            <w:shd w:fill="FFFFFF" w:val="clear"/>
            <w:tcMar>
              <w:top w:type="dxa" w:w="70"/>
              <w:left w:type="dxa" w:w="120"/>
              <w:bottom w:type="dxa" w:w="70"/>
              <w:right w:type="dxa" w:w="120"/>
            </w:tcMar>
          </w:tcPr>
          <w:p>
            <w:r>
              <w:rPr>
                <w:sz w:val="19"/>
                <w:szCs w:val="19"/>
              </w:rPr>
              <w:t xml:space="preserve">4.148</w:t>
            </w:r>
          </w:p>
        </w:tc>
        <w:tc>
          <w:tcPr>
            <w:tcW w:type="pct" w:w="650"/>
            <w:shd w:fill="FFFFFF" w:val="clear"/>
            <w:tcMar>
              <w:top w:type="dxa" w:w="70"/>
              <w:left w:type="dxa" w:w="120"/>
              <w:bottom w:type="dxa" w:w="70"/>
              <w:right w:type="dxa" w:w="120"/>
            </w:tcMar>
          </w:tcPr>
          <w:p>
            <w:r>
              <w:rPr>
                <w:sz w:val="19"/>
                <w:szCs w:val="19"/>
              </w:rPr>
              <w:t xml:space="preserve">1,67</w:t>
            </w:r>
          </w:p>
        </w:tc>
        <w:tc>
          <w:tcPr>
            <w:tcW w:type="pct" w:w="650"/>
            <w:shd w:fill="FFFFFF" w:val="clear"/>
            <w:tcMar>
              <w:top w:type="dxa" w:w="70"/>
              <w:left w:type="dxa" w:w="120"/>
              <w:bottom w:type="dxa" w:w="70"/>
              <w:right w:type="dxa" w:w="120"/>
            </w:tcMar>
          </w:tcPr>
          <w:p>
            <w:r>
              <w:rPr>
                <w:sz w:val="19"/>
                <w:szCs w:val="19"/>
              </w:rPr>
              <w:t xml:space="preserve">9,17</w:t>
            </w:r>
          </w:p>
        </w:tc>
        <w:tc>
          <w:tcPr>
            <w:tcW w:type="pct" w:w="700"/>
            <w:shd w:fill="FFFFFF" w:val="clear"/>
            <w:tcMar>
              <w:top w:type="dxa" w:w="70"/>
              <w:left w:type="dxa" w:w="120"/>
              <w:bottom w:type="dxa" w:w="70"/>
              <w:right w:type="dxa" w:w="120"/>
            </w:tcMar>
          </w:tcPr>
          <w:p>
            <w:r>
              <w:rPr>
                <w:sz w:val="19"/>
                <w:szCs w:val="19"/>
              </w:rPr>
              <w:t xml:space="preserve">-40,67</w:t>
            </w:r>
          </w:p>
        </w:tc>
        <w:tc>
          <w:tcPr>
            <w:tcW w:type="pct" w:w="700"/>
            <w:shd w:fill="FFFFFF" w:val="clear"/>
            <w:tcMar>
              <w:top w:type="dxa" w:w="70"/>
              <w:left w:type="dxa" w:w="120"/>
              <w:bottom w:type="dxa" w:w="70"/>
              <w:right w:type="dxa" w:w="120"/>
            </w:tcMar>
          </w:tcPr>
          <w:p>
            <w:r>
              <w:rPr>
                <w:sz w:val="19"/>
                <w:szCs w:val="19"/>
              </w:rPr>
              <w:t xml:space="preserve">49,05</w:t>
            </w:r>
          </w:p>
        </w:tc>
      </w:tr>
    </w:tbl>
    <w:p>
      <w:pPr>
        <w:spacing w:after="160" w:line="300"/>
      </w:pPr>
      <w:r>
        <w:rPr>
          <w:i/>
          <w:iCs/>
          <w:color w:val="5C6B7A"/>
          <w:sz w:val="18"/>
          <w:szCs w:val="18"/>
        </w:rPr>
        <w:t xml:space="preserve">La atención y el tono anormal tienen 224 filas porque las primeras 20 ruedas no tienen 20 previas de referencia. El tono de la empresa solo existe en las filas con noticias de la empresa.</w:t>
      </w:r>
    </w:p>
    <w:p>
      <w:pPr>
        <w:pStyle w:val="Heading1"/>
        <w:keepNext/>
        <w:spacing w:after="160" w:before="360"/>
      </w:pPr>
      <w:r>
        <w:t xml:space="preserve">7. Lo que se resolvió para U6</w:t>
      </w:r>
    </w:p>
    <w:p>
      <w:pPr>
        <w:spacing w:after="160" w:line="300"/>
        <w:ind w:left="360" w:hanging="240"/>
      </w:pPr>
      <w:r>
        <w:t xml:space="preserve">•  </w:t>
      </w:r>
      <w:r>
        <w:rPr>
          <w:b/>
          <w:bCs/>
        </w:rPr>
        <w:t xml:space="preserve">Ruedas sin noticias y ruedas con una sola oración (resuelto en U6). </w:t>
      </w:r>
      <w:r>
        <w:t xml:space="preserve">Las 17 empresas con sentimiento propio tienen noticias en 2.919 de sus 4.148 filas (70,4%), y muchas veces una sola oración. Las dos cosas se resolvieron con el tono propio (sección 2): vale 0 sin noticias y pondera por cantidad de oraciones.</w:t>
      </w:r>
    </w:p>
    <w:p>
      <w:pPr>
        <w:spacing w:after="160" w:line="300"/>
        <w:ind w:left="360" w:hanging="240"/>
      </w:pPr>
      <w:r>
        <w:t xml:space="preserve">•  </w:t>
      </w:r>
      <w:r>
        <w:rPr>
          <w:b/>
          <w:bCs/>
        </w:rPr>
        <w:t xml:space="preserve">Moderado. </w:t>
      </w:r>
      <w:r>
        <w:t xml:space="preserve">Tiene 18 ruedas: el VAR por régimen compara Calmo (177) contra Tenso (49), como se decidió.</w:t>
      </w:r>
    </w:p>
    <w:p>
      <w:pPr>
        <w:pStyle w:val="Heading1"/>
        <w:keepNext/>
        <w:spacing w:after="160" w:before="360"/>
      </w:pPr>
      <w:r>
        <w:t xml:space="preserve">8. Controles</w:t>
      </w:r>
    </w:p>
    <w:tbl>
      <w:tblPr>
        <w:tblW w:type="pct" w:w="5000"/>
        <w:tblBorders>
          <w:top w:val="single" w:color="D9E0E7" w:sz="4"/>
          <w:left w:val="single" w:color="D9E0E7" w:sz="4"/>
          <w:bottom w:val="single" w:color="D9E0E7" w:sz="4"/>
          <w:right w:val="single" w:color="D9E0E7" w:sz="4"/>
          <w:insideH w:val="single" w:color="D9E0E7" w:sz="4"/>
          <w:insideV w:val="single" w:color="D9E0E7" w:sz="4"/>
        </w:tblBorders>
      </w:tblPr>
      <w:tblGrid>
        <w:gridCol w:w="7903"/>
        <w:gridCol w:w="1735"/>
      </w:tblGrid>
      <w:tr>
        <w:trPr>
          <w:tblHeader/>
        </w:trPr>
        <w:tc>
          <w:tcPr>
            <w:tcW w:type="pct" w:w="4100"/>
            <w:shd w:fill="1C3A5C" w:val="clear"/>
            <w:tcMar>
              <w:top w:type="dxa" w:w="80"/>
              <w:left w:type="dxa" w:w="120"/>
              <w:bottom w:type="dxa" w:w="80"/>
              <w:right w:type="dxa" w:w="120"/>
            </w:tcMar>
          </w:tcPr>
          <w:p>
            <w:r>
              <w:rPr>
                <w:b/>
                <w:bCs/>
                <w:color w:val="FFFFFF"/>
                <w:sz w:val="19"/>
                <w:szCs w:val="19"/>
              </w:rPr>
              <w:t xml:space="preserve">Control</w:t>
            </w:r>
          </w:p>
        </w:tc>
        <w:tc>
          <w:tcPr>
            <w:tcW w:type="pct" w:w="900"/>
            <w:shd w:fill="1C3A5C" w:val="clear"/>
            <w:tcMar>
              <w:top w:type="dxa" w:w="80"/>
              <w:left w:type="dxa" w:w="120"/>
              <w:bottom w:type="dxa" w:w="80"/>
              <w:right w:type="dxa" w:w="120"/>
            </w:tcMar>
          </w:tcPr>
          <w:p>
            <w:r>
              <w:rPr>
                <w:b/>
                <w:bCs/>
                <w:color w:val="FFFFFF"/>
                <w:sz w:val="19"/>
                <w:szCs w:val="19"/>
              </w:rPr>
              <w:t xml:space="preserve">Resultado</w:t>
            </w:r>
          </w:p>
        </w:tc>
      </w:tr>
      <w:tr>
        <w:trPr>
          <w:cantSplit/>
        </w:trPr>
        <w:tc>
          <w:tcPr>
            <w:tcW w:type="pct" w:w="4100"/>
            <w:shd w:fill="FFFFFF" w:val="clear"/>
            <w:tcMar>
              <w:top w:type="dxa" w:w="70"/>
              <w:left w:type="dxa" w:w="120"/>
              <w:bottom w:type="dxa" w:w="70"/>
              <w:right w:type="dxa" w:w="120"/>
            </w:tcMar>
          </w:tcPr>
          <w:p>
            <w:r>
              <w:rPr>
                <w:sz w:val="19"/>
                <w:szCs w:val="19"/>
              </w:rPr>
              <w:t xml:space="preserve">Mercado: 244 ruedas, sin repetidas, las mismas del calendario bursátil</w:t>
            </w:r>
          </w:p>
        </w:tc>
        <w:tc>
          <w:tcPr>
            <w:tcW w:type="pct" w:w="900"/>
            <w:shd w:fill="FFFFFF" w:val="clear"/>
            <w:tcMar>
              <w:top w:type="dxa" w:w="70"/>
              <w:left w:type="dxa" w:w="120"/>
              <w:bottom w:type="dxa" w:w="70"/>
              <w:right w:type="dxa" w:w="120"/>
            </w:tcMar>
          </w:tcPr>
          <w:p>
            <w:r>
              <w:rPr>
                <w:sz w:val="19"/>
                <w:szCs w:val="19"/>
              </w:rPr>
              <w:t xml:space="preserve">Pasa</w:t>
            </w:r>
          </w:p>
        </w:tc>
      </w:tr>
      <w:tr>
        <w:trPr>
          <w:cantSplit/>
        </w:trPr>
        <w:tc>
          <w:tcPr>
            <w:tcW w:type="pct" w:w="4100"/>
            <w:shd w:fill="FAFCFD" w:val="clear"/>
            <w:tcMar>
              <w:top w:type="dxa" w:w="70"/>
              <w:left w:type="dxa" w:w="120"/>
              <w:bottom w:type="dxa" w:w="70"/>
              <w:right w:type="dxa" w:w="120"/>
            </w:tcMar>
          </w:tcPr>
          <w:p>
            <w:r>
              <w:rPr>
                <w:sz w:val="19"/>
                <w:szCs w:val="19"/>
              </w:rPr>
              <w:t xml:space="preserve">Merval, retorno y VIX idénticos a la carpeta 03</w:t>
            </w:r>
          </w:p>
        </w:tc>
        <w:tc>
          <w:tcPr>
            <w:tcW w:type="pct" w:w="900"/>
            <w:shd w:fill="FAFCFD" w:val="clear"/>
            <w:tcMar>
              <w:top w:type="dxa" w:w="70"/>
              <w:left w:type="dxa" w:w="120"/>
              <w:bottom w:type="dxa" w:w="70"/>
              <w:right w:type="dxa" w:w="120"/>
            </w:tcMar>
          </w:tcPr>
          <w:p>
            <w:r>
              <w:rPr>
                <w:sz w:val="19"/>
                <w:szCs w:val="19"/>
              </w:rPr>
              <w:t xml:space="preserve">Pasa</w:t>
            </w:r>
          </w:p>
        </w:tc>
      </w:tr>
      <w:tr>
        <w:trPr>
          <w:cantSplit/>
        </w:trPr>
        <w:tc>
          <w:tcPr>
            <w:tcW w:type="pct" w:w="4100"/>
            <w:shd w:fill="FFFFFF" w:val="clear"/>
            <w:tcMar>
              <w:top w:type="dxa" w:w="70"/>
              <w:left w:type="dxa" w:w="120"/>
              <w:bottom w:type="dxa" w:w="70"/>
              <w:right w:type="dxa" w:w="120"/>
            </w:tcMar>
          </w:tcPr>
          <w:p>
            <w:r>
              <w:rPr>
                <w:sz w:val="19"/>
                <w:szCs w:val="19"/>
              </w:rPr>
              <w:t xml:space="preserve">Panel: 47 acciones × 244 ruedas, sin repetidos</w:t>
            </w:r>
          </w:p>
        </w:tc>
        <w:tc>
          <w:tcPr>
            <w:tcW w:type="pct" w:w="900"/>
            <w:shd w:fill="FFFFFF" w:val="clear"/>
            <w:tcMar>
              <w:top w:type="dxa" w:w="70"/>
              <w:left w:type="dxa" w:w="120"/>
              <w:bottom w:type="dxa" w:w="70"/>
              <w:right w:type="dxa" w:w="120"/>
            </w:tcMar>
          </w:tcPr>
          <w:p>
            <w:r>
              <w:rPr>
                <w:sz w:val="19"/>
                <w:szCs w:val="19"/>
              </w:rPr>
              <w:t xml:space="preserve">Pasa</w:t>
            </w:r>
          </w:p>
        </w:tc>
      </w:tr>
      <w:tr>
        <w:trPr>
          <w:cantSplit/>
        </w:trPr>
        <w:tc>
          <w:tcPr>
            <w:tcW w:type="pct" w:w="4100"/>
            <w:shd w:fill="FAFCFD" w:val="clear"/>
            <w:tcMar>
              <w:top w:type="dxa" w:w="70"/>
              <w:left w:type="dxa" w:w="120"/>
              <w:bottom w:type="dxa" w:w="70"/>
              <w:right w:type="dxa" w:w="120"/>
            </w:tcMar>
          </w:tcPr>
          <w:p>
            <w:r>
              <w:rPr>
                <w:sz w:val="19"/>
                <w:szCs w:val="19"/>
              </w:rPr>
              <w:t xml:space="preserve">Sin valores faltantes en las variables principales (salvo atención en las 20 primeras ruedas)</w:t>
            </w:r>
          </w:p>
        </w:tc>
        <w:tc>
          <w:tcPr>
            <w:tcW w:type="pct" w:w="900"/>
            <w:shd w:fill="FAFCFD" w:val="clear"/>
            <w:tcMar>
              <w:top w:type="dxa" w:w="70"/>
              <w:left w:type="dxa" w:w="120"/>
              <w:bottom w:type="dxa" w:w="70"/>
              <w:right w:type="dxa" w:w="120"/>
            </w:tcMar>
          </w:tcPr>
          <w:p>
            <w:r>
              <w:rPr>
                <w:sz w:val="19"/>
                <w:szCs w:val="19"/>
              </w:rPr>
              <w:t xml:space="preserve">Pasa</w:t>
            </w:r>
          </w:p>
        </w:tc>
      </w:tr>
      <w:tr>
        <w:trPr>
          <w:cantSplit/>
        </w:trPr>
        <w:tc>
          <w:tcPr>
            <w:tcW w:type="pct" w:w="4100"/>
            <w:shd w:fill="FFFFFF" w:val="clear"/>
            <w:tcMar>
              <w:top w:type="dxa" w:w="70"/>
              <w:left w:type="dxa" w:w="120"/>
              <w:bottom w:type="dxa" w:w="70"/>
              <w:right w:type="dxa" w:w="120"/>
            </w:tcMar>
          </w:tcPr>
          <w:p>
            <w:r>
              <w:rPr>
                <w:sz w:val="19"/>
                <w:szCs w:val="19"/>
              </w:rPr>
              <w:t xml:space="preserve">Las notas suman lo mismo que en U1</w:t>
            </w:r>
          </w:p>
        </w:tc>
        <w:tc>
          <w:tcPr>
            <w:tcW w:type="pct" w:w="900"/>
            <w:shd w:fill="FFFFFF" w:val="clear"/>
            <w:tcMar>
              <w:top w:type="dxa" w:w="70"/>
              <w:left w:type="dxa" w:w="120"/>
              <w:bottom w:type="dxa" w:w="70"/>
              <w:right w:type="dxa" w:w="120"/>
            </w:tcMar>
          </w:tcPr>
          <w:p>
            <w:r>
              <w:rPr>
                <w:sz w:val="19"/>
                <w:szCs w:val="19"/>
              </w:rPr>
              <w:t xml:space="preserve">Pasa</w:t>
            </w:r>
          </w:p>
        </w:tc>
      </w:tr>
      <w:tr>
        <w:trPr>
          <w:cantSplit/>
        </w:trPr>
        <w:tc>
          <w:tcPr>
            <w:tcW w:type="pct" w:w="4100"/>
            <w:shd w:fill="FAFCFD" w:val="clear"/>
            <w:tcMar>
              <w:top w:type="dxa" w:w="70"/>
              <w:left w:type="dxa" w:w="120"/>
              <w:bottom w:type="dxa" w:w="70"/>
              <w:right w:type="dxa" w:w="120"/>
            </w:tcMar>
          </w:tcPr>
          <w:p>
            <w:r>
              <w:rPr>
                <w:sz w:val="19"/>
                <w:szCs w:val="19"/>
              </w:rPr>
              <w:t xml:space="preserve">Sentimiento de la empresa presente ⇔ hubo noticia</w:t>
            </w:r>
          </w:p>
        </w:tc>
        <w:tc>
          <w:tcPr>
            <w:tcW w:type="pct" w:w="900"/>
            <w:shd w:fill="FAFCFD" w:val="clear"/>
            <w:tcMar>
              <w:top w:type="dxa" w:w="70"/>
              <w:left w:type="dxa" w:w="120"/>
              <w:bottom w:type="dxa" w:w="70"/>
              <w:right w:type="dxa" w:w="120"/>
            </w:tcMar>
          </w:tcPr>
          <w:p>
            <w:r>
              <w:rPr>
                <w:sz w:val="19"/>
                <w:szCs w:val="19"/>
              </w:rPr>
              <w:t xml:space="preserve">Pasa</w:t>
            </w:r>
          </w:p>
        </w:tc>
      </w:tr>
      <w:tr>
        <w:trPr>
          <w:cantSplit/>
        </w:trPr>
        <w:tc>
          <w:tcPr>
            <w:tcW w:type="pct" w:w="4100"/>
            <w:shd w:fill="FFFFFF" w:val="clear"/>
            <w:tcMar>
              <w:top w:type="dxa" w:w="70"/>
              <w:left w:type="dxa" w:w="120"/>
              <w:bottom w:type="dxa" w:w="70"/>
              <w:right w:type="dxa" w:w="120"/>
            </w:tcMar>
          </w:tcPr>
          <w:p>
            <w:r>
              <w:rPr>
                <w:sz w:val="19"/>
                <w:szCs w:val="19"/>
              </w:rPr>
              <w:t xml:space="preserve">Cada rueda del panel tiene el mismo tono de mercado que el dataset de mercado</w:t>
            </w:r>
          </w:p>
        </w:tc>
        <w:tc>
          <w:tcPr>
            <w:tcW w:type="pct" w:w="900"/>
            <w:shd w:fill="FFFFFF" w:val="clear"/>
            <w:tcMar>
              <w:top w:type="dxa" w:w="70"/>
              <w:left w:type="dxa" w:w="120"/>
              <w:bottom w:type="dxa" w:w="70"/>
              <w:right w:type="dxa" w:w="120"/>
            </w:tcMar>
          </w:tcPr>
          <w:p>
            <w:r>
              <w:rPr>
                <w:sz w:val="19"/>
                <w:szCs w:val="19"/>
              </w:rPr>
              <w:t xml:space="preserve">Pasa</w:t>
            </w:r>
          </w:p>
        </w:tc>
      </w:tr>
      <w:tr>
        <w:trPr>
          <w:cantSplit/>
        </w:trPr>
        <w:tc>
          <w:tcPr>
            <w:tcW w:type="pct" w:w="4100"/>
            <w:shd w:fill="FAFCFD" w:val="clear"/>
            <w:tcMar>
              <w:top w:type="dxa" w:w="70"/>
              <w:left w:type="dxa" w:w="120"/>
              <w:bottom w:type="dxa" w:w="70"/>
              <w:right w:type="dxa" w:w="120"/>
            </w:tcMar>
          </w:tcPr>
          <w:p>
            <w:r>
              <w:rPr>
                <w:sz w:val="19"/>
                <w:szCs w:val="19"/>
              </w:rPr>
              <w:t xml:space="preserve">Todas las columnas de los dos datasets están en el diccionario</w:t>
            </w:r>
          </w:p>
        </w:tc>
        <w:tc>
          <w:tcPr>
            <w:tcW w:type="pct" w:w="900"/>
            <w:shd w:fill="FAFCFD" w:val="clear"/>
            <w:tcMar>
              <w:top w:type="dxa" w:w="70"/>
              <w:left w:type="dxa" w:w="120"/>
              <w:bottom w:type="dxa" w:w="70"/>
              <w:right w:type="dxa" w:w="120"/>
            </w:tcMar>
          </w:tcPr>
          <w:p>
            <w:r>
              <w:rPr>
                <w:sz w:val="19"/>
                <w:szCs w:val="19"/>
              </w:rPr>
              <w:t xml:space="preserve">Pasa</w:t>
            </w:r>
          </w:p>
        </w:tc>
      </w:tr>
    </w:tbl>
    <w:p>
      <w:pPr>
        <w:pStyle w:val="Heading1"/>
        <w:keepNext/>
        <w:spacing w:after="160" w:before="360"/>
      </w:pPr>
      <w:r>
        <w:t xml:space="preserve">9. Archivos que genera</w:t>
      </w:r>
    </w:p>
    <w:tbl>
      <w:tblPr>
        <w:tblW w:type="pct" w:w="5000"/>
        <w:tblBorders>
          <w:top w:val="single" w:color="D9E0E7" w:sz="4"/>
          <w:left w:val="single" w:color="D9E0E7" w:sz="4"/>
          <w:bottom w:val="single" w:color="D9E0E7" w:sz="4"/>
          <w:right w:val="single" w:color="D9E0E7" w:sz="4"/>
          <w:insideH w:val="single" w:color="D9E0E7" w:sz="4"/>
          <w:insideV w:val="single" w:color="D9E0E7" w:sz="4"/>
        </w:tblBorders>
      </w:tblPr>
      <w:tblGrid>
        <w:gridCol w:w="3277"/>
        <w:gridCol w:w="6361"/>
      </w:tblGrid>
      <w:tr>
        <w:trPr>
          <w:tblHeader/>
        </w:trPr>
        <w:tc>
          <w:tcPr>
            <w:tcW w:type="pct" w:w="1700"/>
            <w:shd w:fill="1C3A5C" w:val="clear"/>
            <w:tcMar>
              <w:top w:type="dxa" w:w="80"/>
              <w:left w:type="dxa" w:w="120"/>
              <w:bottom w:type="dxa" w:w="80"/>
              <w:right w:type="dxa" w:w="120"/>
            </w:tcMar>
          </w:tcPr>
          <w:p>
            <w:r>
              <w:rPr>
                <w:b/>
                <w:bCs/>
                <w:color w:val="FFFFFF"/>
                <w:sz w:val="19"/>
                <w:szCs w:val="19"/>
              </w:rPr>
              <w:t xml:space="preserve">Archivo</w:t>
            </w:r>
          </w:p>
        </w:tc>
        <w:tc>
          <w:tcPr>
            <w:tcW w:type="pct" w:w="3300"/>
            <w:shd w:fill="1C3A5C" w:val="clear"/>
            <w:tcMar>
              <w:top w:type="dxa" w:w="80"/>
              <w:left w:type="dxa" w:w="120"/>
              <w:bottom w:type="dxa" w:w="80"/>
              <w:right w:type="dxa" w:w="120"/>
            </w:tcMar>
          </w:tcPr>
          <w:p>
            <w:r>
              <w:rPr>
                <w:b/>
                <w:bCs/>
                <w:color w:val="FFFFFF"/>
                <w:sz w:val="19"/>
                <w:szCs w:val="19"/>
              </w:rPr>
              <w:t xml:space="preserve">Qué tiene</w:t>
            </w:r>
          </w:p>
        </w:tc>
      </w:tr>
      <w:tr>
        <w:trPr>
          <w:cantSplit/>
        </w:trPr>
        <w:tc>
          <w:tcPr>
            <w:tcW w:type="pct" w:w="1700"/>
            <w:shd w:fill="FFFFFF" w:val="clear"/>
            <w:tcMar>
              <w:top w:type="dxa" w:w="70"/>
              <w:left w:type="dxa" w:w="120"/>
              <w:bottom w:type="dxa" w:w="70"/>
              <w:right w:type="dxa" w:w="120"/>
            </w:tcMar>
          </w:tcPr>
          <w:p>
            <w:r>
              <w:rPr>
                <w:rFonts w:ascii="Consolas" w:cs="Consolas" w:eastAsia="Consolas" w:hAnsi="Consolas"/>
                <w:color w:val="1C3A5C"/>
                <w:sz w:val="19"/>
                <w:szCs w:val="19"/>
              </w:rPr>
              <w:t xml:space="preserve">dataset_mercado.csv</w:t>
            </w:r>
          </w:p>
        </w:tc>
        <w:tc>
          <w:tcPr>
            <w:tcW w:type="pct" w:w="3300"/>
            <w:shd w:fill="FFFFFF" w:val="clear"/>
            <w:tcMar>
              <w:top w:type="dxa" w:w="70"/>
              <w:left w:type="dxa" w:w="120"/>
              <w:bottom w:type="dxa" w:w="70"/>
              <w:right w:type="dxa" w:w="120"/>
            </w:tcMar>
          </w:tcPr>
          <w:p>
            <w:r>
              <w:rPr>
                <w:sz w:val="19"/>
                <w:szCs w:val="19"/>
              </w:rPr>
              <w:t xml:space="preserve">244 ruedas × 29 columnas</w:t>
            </w:r>
          </w:p>
        </w:tc>
      </w:tr>
      <w:tr>
        <w:trPr>
          <w:cantSplit/>
        </w:trPr>
        <w:tc>
          <w:tcPr>
            <w:tcW w:type="pct" w:w="1700"/>
            <w:shd w:fill="FAFCFD" w:val="clear"/>
            <w:tcMar>
              <w:top w:type="dxa" w:w="70"/>
              <w:left w:type="dxa" w:w="120"/>
              <w:bottom w:type="dxa" w:w="70"/>
              <w:right w:type="dxa" w:w="120"/>
            </w:tcMar>
          </w:tcPr>
          <w:p>
            <w:r>
              <w:rPr>
                <w:rFonts w:ascii="Consolas" w:cs="Consolas" w:eastAsia="Consolas" w:hAnsi="Consolas"/>
                <w:color w:val="1C3A5C"/>
                <w:sz w:val="19"/>
                <w:szCs w:val="19"/>
              </w:rPr>
              <w:t xml:space="preserve">dataset_panel.csv</w:t>
            </w:r>
          </w:p>
        </w:tc>
        <w:tc>
          <w:tcPr>
            <w:tcW w:type="pct" w:w="3300"/>
            <w:shd w:fill="FAFCFD" w:val="clear"/>
            <w:tcMar>
              <w:top w:type="dxa" w:w="70"/>
              <w:left w:type="dxa" w:w="120"/>
              <w:bottom w:type="dxa" w:w="70"/>
              <w:right w:type="dxa" w:w="120"/>
            </w:tcMar>
          </w:tcPr>
          <w:p>
            <w:r>
              <w:rPr>
                <w:sz w:val="19"/>
                <w:szCs w:val="19"/>
              </w:rPr>
              <w:t xml:space="preserve">11.468 filas (47 acciones × 244 ruedas) × 39 columnas</w:t>
            </w:r>
          </w:p>
        </w:tc>
      </w:tr>
      <w:tr>
        <w:trPr>
          <w:cantSplit/>
        </w:trPr>
        <w:tc>
          <w:tcPr>
            <w:tcW w:type="pct" w:w="1700"/>
            <w:shd w:fill="FFFFFF" w:val="clear"/>
            <w:tcMar>
              <w:top w:type="dxa" w:w="70"/>
              <w:left w:type="dxa" w:w="120"/>
              <w:bottom w:type="dxa" w:w="70"/>
              <w:right w:type="dxa" w:w="120"/>
            </w:tcMar>
          </w:tcPr>
          <w:p>
            <w:r>
              <w:rPr>
                <w:rFonts w:ascii="Consolas" w:cs="Consolas" w:eastAsia="Consolas" w:hAnsi="Consolas"/>
                <w:color w:val="1C3A5C"/>
                <w:sz w:val="19"/>
                <w:szCs w:val="19"/>
              </w:rPr>
              <w:t xml:space="preserve">diccionario_variables.csv</w:t>
            </w:r>
          </w:p>
        </w:tc>
        <w:tc>
          <w:tcPr>
            <w:tcW w:type="pct" w:w="3300"/>
            <w:shd w:fill="FFFFFF" w:val="clear"/>
            <w:tcMar>
              <w:top w:type="dxa" w:w="70"/>
              <w:left w:type="dxa" w:w="120"/>
              <w:bottom w:type="dxa" w:w="70"/>
              <w:right w:type="dxa" w:w="120"/>
            </w:tcMar>
          </w:tcPr>
          <w:p>
            <w:r>
              <w:rPr>
                <w:sz w:val="19"/>
                <w:szCs w:val="19"/>
              </w:rPr>
              <w:t xml:space="preserve">Qué es cada columna, su unidad y de dónde sale (anexo de este documento)</w:t>
            </w:r>
          </w:p>
        </w:tc>
      </w:tr>
      <w:tr>
        <w:trPr>
          <w:cantSplit/>
        </w:trPr>
        <w:tc>
          <w:tcPr>
            <w:tcW w:type="pct" w:w="1700"/>
            <w:shd w:fill="FAFCFD" w:val="clear"/>
            <w:tcMar>
              <w:top w:type="dxa" w:w="70"/>
              <w:left w:type="dxa" w:w="120"/>
              <w:bottom w:type="dxa" w:w="70"/>
              <w:right w:type="dxa" w:w="120"/>
            </w:tcMar>
          </w:tcPr>
          <w:p>
            <w:r>
              <w:rPr>
                <w:rFonts w:ascii="Consolas" w:cs="Consolas" w:eastAsia="Consolas" w:hAnsi="Consolas"/>
                <w:color w:val="1C3A5C"/>
                <w:sz w:val="19"/>
                <w:szCs w:val="19"/>
              </w:rPr>
              <w:t xml:space="preserve">descriptivos.csv</w:t>
            </w:r>
          </w:p>
        </w:tc>
        <w:tc>
          <w:tcPr>
            <w:tcW w:type="pct" w:w="3300"/>
            <w:shd w:fill="FAFCFD" w:val="clear"/>
            <w:tcMar>
              <w:top w:type="dxa" w:w="70"/>
              <w:left w:type="dxa" w:w="120"/>
              <w:bottom w:type="dxa" w:w="70"/>
              <w:right w:type="dxa" w:w="120"/>
            </w:tcMar>
          </w:tcPr>
          <w:p>
            <w:r>
              <w:rPr>
                <w:sz w:val="19"/>
                <w:szCs w:val="19"/>
              </w:rPr>
              <w:t xml:space="preserve">Media, desvío, mínimo, mediana y máximo de las variables principales</w:t>
            </w:r>
          </w:p>
        </w:tc>
      </w:tr>
      <w:tr>
        <w:trPr>
          <w:cantSplit/>
        </w:trPr>
        <w:tc>
          <w:tcPr>
            <w:tcW w:type="pct" w:w="1700"/>
            <w:shd w:fill="FFFFFF" w:val="clear"/>
            <w:tcMar>
              <w:top w:type="dxa" w:w="70"/>
              <w:left w:type="dxa" w:w="120"/>
              <w:bottom w:type="dxa" w:w="70"/>
              <w:right w:type="dxa" w:w="120"/>
            </w:tcMar>
          </w:tcPr>
          <w:p>
            <w:r>
              <w:rPr>
                <w:rFonts w:ascii="Consolas" w:cs="Consolas" w:eastAsia="Consolas" w:hAnsi="Consolas"/>
                <w:color w:val="1C3A5C"/>
                <w:sz w:val="19"/>
                <w:szCs w:val="19"/>
              </w:rPr>
              <w:t xml:space="preserve">resumen_u4.csv</w:t>
            </w:r>
            <w:r>
              <w:t xml:space="preserve">, </w:t>
            </w:r>
            <w:r>
              <w:rPr>
                <w:rFonts w:ascii="Consolas" w:cs="Consolas" w:eastAsia="Consolas" w:hAnsi="Consolas"/>
                <w:color w:val="1C3A5C"/>
                <w:sz w:val="19"/>
                <w:szCs w:val="19"/>
              </w:rPr>
              <w:t xml:space="preserve">verificaciones.csv</w:t>
            </w:r>
          </w:p>
        </w:tc>
        <w:tc>
          <w:tcPr>
            <w:tcW w:type="pct" w:w="3300"/>
            <w:shd w:fill="FFFFFF" w:val="clear"/>
            <w:tcMar>
              <w:top w:type="dxa" w:w="70"/>
              <w:left w:type="dxa" w:w="120"/>
              <w:bottom w:type="dxa" w:w="70"/>
              <w:right w:type="dxa" w:w="120"/>
            </w:tcMar>
          </w:tcPr>
          <w:p>
            <w:r>
              <w:rPr>
                <w:sz w:val="19"/>
                <w:szCs w:val="19"/>
              </w:rPr>
              <w:t xml:space="preserve">Las cifras y los controles de este documento</w:t>
            </w:r>
          </w:p>
        </w:tc>
      </w:tr>
      <w:tr>
        <w:trPr>
          <w:cantSplit/>
        </w:trPr>
        <w:tc>
          <w:tcPr>
            <w:tcW w:type="pct" w:w="1700"/>
            <w:shd w:fill="FAFCFD" w:val="clear"/>
            <w:tcMar>
              <w:top w:type="dxa" w:w="70"/>
              <w:left w:type="dxa" w:w="120"/>
              <w:bottom w:type="dxa" w:w="70"/>
              <w:right w:type="dxa" w:w="120"/>
            </w:tcMar>
          </w:tcPr>
          <w:p>
            <w:r>
              <w:rPr>
                <w:rFonts w:ascii="Consolas" w:cs="Consolas" w:eastAsia="Consolas" w:hAnsi="Consolas"/>
                <w:color w:val="1C3A5C"/>
                <w:sz w:val="19"/>
                <w:szCs w:val="19"/>
              </w:rPr>
              <w:t xml:space="preserve">u4_panorama.png</w:t>
            </w:r>
          </w:p>
        </w:tc>
        <w:tc>
          <w:tcPr>
            <w:tcW w:type="pct" w:w="3300"/>
            <w:shd w:fill="FAFCFD" w:val="clear"/>
            <w:tcMar>
              <w:top w:type="dxa" w:w="70"/>
              <w:left w:type="dxa" w:w="120"/>
              <w:bottom w:type="dxa" w:w="70"/>
              <w:right w:type="dxa" w:w="120"/>
            </w:tcMar>
          </w:tcPr>
          <w:p>
            <w:r>
              <w:rPr>
                <w:sz w:val="19"/>
                <w:szCs w:val="19"/>
              </w:rPr>
              <w:t xml:space="preserve">La figura de la sección 6</w:t>
            </w:r>
          </w:p>
        </w:tc>
      </w:tr>
    </w:tbl>
    <w:p>
      <w:pPr>
        <w:pStyle w:val="Heading1"/>
        <w:keepNext/>
        <w:spacing w:after="160" w:before="360"/>
      </w:pPr>
      <w:r>
        <w:t xml:space="preserve">10. Limitaciones</w:t>
      </w:r>
    </w:p>
    <w:p>
      <w:pPr>
        <w:spacing w:after="160" w:line="300"/>
        <w:ind w:left="360" w:hanging="240"/>
      </w:pPr>
      <w:r>
        <w:t xml:space="preserve">•  Precios, retornos y montos están en pesos nominales: incluyen inflación y tipo de cambio (la versión en dólares queda como trabajo futuro). Las variables anormales comparan con las 20 ruedas previas, lo que descuenta la tendencia lenta.</w:t>
      </w:r>
    </w:p>
    <w:p>
      <w:pPr>
        <w:spacing w:after="160" w:line="300"/>
        <w:ind w:left="360" w:hanging="240"/>
      </w:pPr>
      <w:r>
        <w:t xml:space="preserve">•  El monto operado del mercado es el de las 47 acciones del panel, no el total de BYMA.</w:t>
      </w:r>
    </w:p>
    <w:p>
      <w:pPr>
        <w:spacing w:after="160" w:line="300"/>
        <w:ind w:left="360" w:hanging="240"/>
      </w:pPr>
      <w:r>
        <w:t xml:space="preserve">•  El retorno del mercado es el del Merval; el event study lo usa como referencia para cada acción.</w:t>
      </w:r>
    </w:p>
    <w:p>
      <w:pPr>
        <w:pStyle w:val="Heading1"/>
        <w:keepNext/>
        <w:spacing w:after="160" w:before="360"/>
      </w:pPr>
      <w:r>
        <w:t xml:space="preserve">Anexo · Diccionario de variables</w:t>
      </w:r>
    </w:p>
    <w:tbl>
      <w:tblPr>
        <w:tblW w:type="pct" w:w="5000"/>
        <w:tblBorders>
          <w:top w:val="single" w:color="D9E0E7" w:sz="4"/>
          <w:left w:val="single" w:color="D9E0E7" w:sz="4"/>
          <w:bottom w:val="single" w:color="D9E0E7" w:sz="4"/>
          <w:right w:val="single" w:color="D9E0E7" w:sz="4"/>
          <w:insideH w:val="single" w:color="D9E0E7" w:sz="4"/>
          <w:insideV w:val="single" w:color="D9E0E7" w:sz="4"/>
        </w:tblBorders>
      </w:tblPr>
      <w:tblGrid>
        <w:gridCol w:w="2120"/>
        <w:gridCol w:w="1157"/>
        <w:gridCol w:w="3277"/>
        <w:gridCol w:w="1157"/>
        <w:gridCol w:w="1928"/>
      </w:tblGrid>
      <w:tr>
        <w:trPr>
          <w:tblHeader/>
        </w:trPr>
        <w:tc>
          <w:tcPr>
            <w:tcW w:type="pct" w:w="1100"/>
            <w:shd w:fill="1C3A5C" w:val="clear"/>
            <w:tcMar>
              <w:top w:type="dxa" w:w="80"/>
              <w:left w:type="dxa" w:w="120"/>
              <w:bottom w:type="dxa" w:w="80"/>
              <w:right w:type="dxa" w:w="120"/>
            </w:tcMar>
          </w:tcPr>
          <w:p>
            <w:r>
              <w:rPr>
                <w:b/>
                <w:bCs/>
                <w:color w:val="FFFFFF"/>
                <w:sz w:val="19"/>
                <w:szCs w:val="19"/>
              </w:rPr>
              <w:t xml:space="preserve">Variable</w:t>
            </w:r>
          </w:p>
        </w:tc>
        <w:tc>
          <w:tcPr>
            <w:tcW w:type="pct" w:w="600"/>
            <w:shd w:fill="1C3A5C" w:val="clear"/>
            <w:tcMar>
              <w:top w:type="dxa" w:w="80"/>
              <w:left w:type="dxa" w:w="120"/>
              <w:bottom w:type="dxa" w:w="80"/>
              <w:right w:type="dxa" w:w="120"/>
            </w:tcMar>
          </w:tcPr>
          <w:p>
            <w:r>
              <w:rPr>
                <w:b/>
                <w:bCs/>
                <w:color w:val="FFFFFF"/>
                <w:sz w:val="19"/>
                <w:szCs w:val="19"/>
              </w:rPr>
              <w:t xml:space="preserve">Tabla</w:t>
            </w:r>
          </w:p>
        </w:tc>
        <w:tc>
          <w:tcPr>
            <w:tcW w:type="pct" w:w="1700"/>
            <w:shd w:fill="1C3A5C" w:val="clear"/>
            <w:tcMar>
              <w:top w:type="dxa" w:w="80"/>
              <w:left w:type="dxa" w:w="120"/>
              <w:bottom w:type="dxa" w:w="80"/>
              <w:right w:type="dxa" w:w="120"/>
            </w:tcMar>
          </w:tcPr>
          <w:p>
            <w:r>
              <w:rPr>
                <w:b/>
                <w:bCs/>
                <w:color w:val="FFFFFF"/>
                <w:sz w:val="19"/>
                <w:szCs w:val="19"/>
              </w:rPr>
              <w:t xml:space="preserve">Qué es</w:t>
            </w:r>
          </w:p>
        </w:tc>
        <w:tc>
          <w:tcPr>
            <w:tcW w:type="pct" w:w="600"/>
            <w:shd w:fill="1C3A5C" w:val="clear"/>
            <w:tcMar>
              <w:top w:type="dxa" w:w="80"/>
              <w:left w:type="dxa" w:w="120"/>
              <w:bottom w:type="dxa" w:w="80"/>
              <w:right w:type="dxa" w:w="120"/>
            </w:tcMar>
          </w:tcPr>
          <w:p>
            <w:r>
              <w:rPr>
                <w:b/>
                <w:bCs/>
                <w:color w:val="FFFFFF"/>
                <w:sz w:val="19"/>
                <w:szCs w:val="19"/>
              </w:rPr>
              <w:t xml:space="preserve">Unidad</w:t>
            </w:r>
          </w:p>
        </w:tc>
        <w:tc>
          <w:tcPr>
            <w:tcW w:type="pct" w:w="1000"/>
            <w:shd w:fill="1C3A5C" w:val="clear"/>
            <w:tcMar>
              <w:top w:type="dxa" w:w="80"/>
              <w:left w:type="dxa" w:w="120"/>
              <w:bottom w:type="dxa" w:w="80"/>
              <w:right w:type="dxa" w:w="120"/>
            </w:tcMar>
          </w:tcPr>
          <w:p>
            <w:r>
              <w:rPr>
                <w:b/>
                <w:bCs/>
                <w:color w:val="FFFFFF"/>
                <w:sz w:val="19"/>
                <w:szCs w:val="19"/>
              </w:rPr>
              <w:t xml:space="preserve">De dónde sale</w:t>
            </w:r>
          </w:p>
        </w:tc>
      </w:tr>
      <w:tr>
        <w:trPr>
          <w:cantSplit/>
        </w:trPr>
        <w:tc>
          <w:tcPr>
            <w:tcW w:type="pct" w:w="1100"/>
            <w:shd w:fill="FFFFFF" w:val="clear"/>
            <w:tcMar>
              <w:top w:type="dxa" w:w="70"/>
              <w:left w:type="dxa" w:w="120"/>
              <w:bottom w:type="dxa" w:w="70"/>
              <w:right w:type="dxa" w:w="120"/>
            </w:tcMar>
          </w:tcPr>
          <w:p>
            <w:r>
              <w:rPr>
                <w:rFonts w:ascii="Consolas" w:cs="Consolas" w:eastAsia="Consolas" w:hAnsi="Consolas"/>
                <w:color w:val="1C3A5C"/>
                <w:sz w:val="19"/>
                <w:szCs w:val="19"/>
              </w:rPr>
              <w:t xml:space="preserve">rueda</w:t>
            </w:r>
          </w:p>
        </w:tc>
        <w:tc>
          <w:tcPr>
            <w:tcW w:type="pct" w:w="600"/>
            <w:shd w:fill="FFFFFF" w:val="clear"/>
            <w:tcMar>
              <w:top w:type="dxa" w:w="70"/>
              <w:left w:type="dxa" w:w="120"/>
              <w:bottom w:type="dxa" w:w="70"/>
              <w:right w:type="dxa" w:w="120"/>
            </w:tcMar>
          </w:tcPr>
          <w:p>
            <w:r>
              <w:rPr>
                <w:sz w:val="19"/>
                <w:szCs w:val="19"/>
              </w:rPr>
              <w:t xml:space="preserve">ambos</w:t>
            </w:r>
          </w:p>
        </w:tc>
        <w:tc>
          <w:tcPr>
            <w:tcW w:type="pct" w:w="1700"/>
            <w:shd w:fill="FFFFFF" w:val="clear"/>
            <w:tcMar>
              <w:top w:type="dxa" w:w="70"/>
              <w:left w:type="dxa" w:w="120"/>
              <w:bottom w:type="dxa" w:w="70"/>
              <w:right w:type="dxa" w:w="120"/>
            </w:tcMar>
          </w:tcPr>
          <w:p>
            <w:r>
              <w:rPr>
                <w:sz w:val="19"/>
                <w:szCs w:val="19"/>
              </w:rPr>
              <w:t xml:space="preserve">Día de bolsa (BYMA)</w:t>
            </w:r>
          </w:p>
        </w:tc>
        <w:tc>
          <w:tcPr>
            <w:tcW w:type="pct" w:w="600"/>
            <w:shd w:fill="FFFFFF" w:val="clear"/>
            <w:tcMar>
              <w:top w:type="dxa" w:w="70"/>
              <w:left w:type="dxa" w:w="120"/>
              <w:bottom w:type="dxa" w:w="70"/>
              <w:right w:type="dxa" w:w="120"/>
            </w:tcMar>
          </w:tcPr>
          <w:p>
            <w:r>
              <w:rPr>
                <w:sz w:val="19"/>
                <w:szCs w:val="19"/>
              </w:rPr>
              <w:t xml:space="preserve">fecha</w:t>
            </w:r>
          </w:p>
        </w:tc>
        <w:tc>
          <w:tcPr>
            <w:tcW w:type="pct" w:w="1000"/>
            <w:shd w:fill="FFFFFF" w:val="clear"/>
            <w:tcMar>
              <w:top w:type="dxa" w:w="70"/>
              <w:left w:type="dxa" w:w="120"/>
              <w:bottom w:type="dxa" w:w="70"/>
              <w:right w:type="dxa" w:w="120"/>
            </w:tcMar>
          </w:tcPr>
          <w:p>
            <w:r>
              <w:rPr>
                <w:sz w:val="19"/>
                <w:szCs w:val="19"/>
              </w:rPr>
              <w:t xml:space="preserve">Lado Bursatil/03_vix_argentino (calendario de ^MERV)</w:t>
            </w:r>
          </w:p>
        </w:tc>
      </w:tr>
      <w:tr>
        <w:trPr>
          <w:cantSplit/>
        </w:trPr>
        <w:tc>
          <w:tcPr>
            <w:tcW w:type="pct" w:w="1100"/>
            <w:shd w:fill="FAFCFD" w:val="clear"/>
            <w:tcMar>
              <w:top w:type="dxa" w:w="70"/>
              <w:left w:type="dxa" w:w="120"/>
              <w:bottom w:type="dxa" w:w="70"/>
              <w:right w:type="dxa" w:w="120"/>
            </w:tcMar>
          </w:tcPr>
          <w:p>
            <w:r>
              <w:rPr>
                <w:rFonts w:ascii="Consolas" w:cs="Consolas" w:eastAsia="Consolas" w:hAnsi="Consolas"/>
                <w:color w:val="1C3A5C"/>
                <w:sz w:val="19"/>
                <w:szCs w:val="19"/>
              </w:rPr>
              <w:t xml:space="preserve">merv_cierre</w:t>
            </w:r>
          </w:p>
        </w:tc>
        <w:tc>
          <w:tcPr>
            <w:tcW w:type="pct" w:w="600"/>
            <w:shd w:fill="FAFCFD" w:val="clear"/>
            <w:tcMar>
              <w:top w:type="dxa" w:w="70"/>
              <w:left w:type="dxa" w:w="120"/>
              <w:bottom w:type="dxa" w:w="70"/>
              <w:right w:type="dxa" w:w="120"/>
            </w:tcMar>
          </w:tcPr>
          <w:p>
            <w:r>
              <w:rPr>
                <w:sz w:val="19"/>
                <w:szCs w:val="19"/>
              </w:rPr>
              <w:t xml:space="preserve">mercado</w:t>
            </w:r>
          </w:p>
        </w:tc>
        <w:tc>
          <w:tcPr>
            <w:tcW w:type="pct" w:w="1700"/>
            <w:shd w:fill="FAFCFD" w:val="clear"/>
            <w:tcMar>
              <w:top w:type="dxa" w:w="70"/>
              <w:left w:type="dxa" w:w="120"/>
              <w:bottom w:type="dxa" w:w="70"/>
              <w:right w:type="dxa" w:w="120"/>
            </w:tcMar>
          </w:tcPr>
          <w:p>
            <w:r>
              <w:rPr>
                <w:sz w:val="19"/>
                <w:szCs w:val="19"/>
              </w:rPr>
              <w:t xml:space="preserve">Cierre del índice Merval</w:t>
            </w:r>
          </w:p>
        </w:tc>
        <w:tc>
          <w:tcPr>
            <w:tcW w:type="pct" w:w="600"/>
            <w:shd w:fill="FAFCFD" w:val="clear"/>
            <w:tcMar>
              <w:top w:type="dxa" w:w="70"/>
              <w:left w:type="dxa" w:w="120"/>
              <w:bottom w:type="dxa" w:w="70"/>
              <w:right w:type="dxa" w:w="120"/>
            </w:tcMar>
          </w:tcPr>
          <w:p>
            <w:r>
              <w:rPr>
                <w:sz w:val="19"/>
                <w:szCs w:val="19"/>
              </w:rPr>
              <w:t xml:space="preserve">puntos</w:t>
            </w:r>
          </w:p>
        </w:tc>
        <w:tc>
          <w:tcPr>
            <w:tcW w:type="pct" w:w="1000"/>
            <w:shd w:fill="FAFCFD" w:val="clear"/>
            <w:tcMar>
              <w:top w:type="dxa" w:w="70"/>
              <w:left w:type="dxa" w:w="120"/>
              <w:bottom w:type="dxa" w:w="70"/>
              <w:right w:type="dxa" w:w="120"/>
            </w:tcMar>
          </w:tcPr>
          <w:p>
            <w:r>
              <w:rPr>
                <w:sz w:val="19"/>
                <w:szCs w:val="19"/>
              </w:rPr>
              <w:t xml:space="preserve">Lado Bursatil/03_vix_argentino</w:t>
            </w:r>
          </w:p>
        </w:tc>
      </w:tr>
      <w:tr>
        <w:trPr>
          <w:cantSplit/>
        </w:trPr>
        <w:tc>
          <w:tcPr>
            <w:tcW w:type="pct" w:w="1100"/>
            <w:shd w:fill="FFFFFF" w:val="clear"/>
            <w:tcMar>
              <w:top w:type="dxa" w:w="70"/>
              <w:left w:type="dxa" w:w="120"/>
              <w:bottom w:type="dxa" w:w="70"/>
              <w:right w:type="dxa" w:w="120"/>
            </w:tcMar>
          </w:tcPr>
          <w:p>
            <w:r>
              <w:rPr>
                <w:rFonts w:ascii="Consolas" w:cs="Consolas" w:eastAsia="Consolas" w:hAnsi="Consolas"/>
                <w:color w:val="1C3A5C"/>
                <w:sz w:val="19"/>
                <w:szCs w:val="19"/>
              </w:rPr>
              <w:t xml:space="preserve">ret_merval</w:t>
            </w:r>
          </w:p>
        </w:tc>
        <w:tc>
          <w:tcPr>
            <w:tcW w:type="pct" w:w="600"/>
            <w:shd w:fill="FFFFFF" w:val="clear"/>
            <w:tcMar>
              <w:top w:type="dxa" w:w="70"/>
              <w:left w:type="dxa" w:w="120"/>
              <w:bottom w:type="dxa" w:w="70"/>
              <w:right w:type="dxa" w:w="120"/>
            </w:tcMar>
          </w:tcPr>
          <w:p>
            <w:r>
              <w:rPr>
                <w:sz w:val="19"/>
                <w:szCs w:val="19"/>
              </w:rPr>
              <w:t xml:space="preserve">ambos</w:t>
            </w:r>
          </w:p>
        </w:tc>
        <w:tc>
          <w:tcPr>
            <w:tcW w:type="pct" w:w="1700"/>
            <w:shd w:fill="FFFFFF" w:val="clear"/>
            <w:tcMar>
              <w:top w:type="dxa" w:w="70"/>
              <w:left w:type="dxa" w:w="120"/>
              <w:bottom w:type="dxa" w:w="70"/>
              <w:right w:type="dxa" w:w="120"/>
            </w:tcMar>
          </w:tcPr>
          <w:p>
            <w:r>
              <w:rPr>
                <w:sz w:val="19"/>
                <w:szCs w:val="19"/>
              </w:rPr>
              <w:t xml:space="preserve">Retorno diario del Merval</w:t>
            </w:r>
          </w:p>
        </w:tc>
        <w:tc>
          <w:tcPr>
            <w:tcW w:type="pct" w:w="600"/>
            <w:shd w:fill="FFFFFF" w:val="clear"/>
            <w:tcMar>
              <w:top w:type="dxa" w:w="70"/>
              <w:left w:type="dxa" w:w="120"/>
              <w:bottom w:type="dxa" w:w="70"/>
              <w:right w:type="dxa" w:w="120"/>
            </w:tcMar>
          </w:tcPr>
          <w:p>
            <w:r>
              <w:rPr>
                <w:sz w:val="19"/>
                <w:szCs w:val="19"/>
              </w:rPr>
              <w:t xml:space="preserve">proporción (0,01 = 1%)</w:t>
            </w:r>
          </w:p>
        </w:tc>
        <w:tc>
          <w:tcPr>
            <w:tcW w:type="pct" w:w="1000"/>
            <w:shd w:fill="FFFFFF" w:val="clear"/>
            <w:tcMar>
              <w:top w:type="dxa" w:w="70"/>
              <w:left w:type="dxa" w:w="120"/>
              <w:bottom w:type="dxa" w:w="70"/>
              <w:right w:type="dxa" w:w="120"/>
            </w:tcMar>
          </w:tcPr>
          <w:p>
            <w:r>
              <w:rPr>
                <w:sz w:val="19"/>
                <w:szCs w:val="19"/>
              </w:rPr>
              <w:t xml:space="preserve">Lado Bursatil/03_vix_argentino</w:t>
            </w:r>
          </w:p>
        </w:tc>
      </w:tr>
      <w:tr>
        <w:trPr>
          <w:cantSplit/>
        </w:trPr>
        <w:tc>
          <w:tcPr>
            <w:tcW w:type="pct" w:w="1100"/>
            <w:shd w:fill="FAFCFD" w:val="clear"/>
            <w:tcMar>
              <w:top w:type="dxa" w:w="70"/>
              <w:left w:type="dxa" w:w="120"/>
              <w:bottom w:type="dxa" w:w="70"/>
              <w:right w:type="dxa" w:w="120"/>
            </w:tcMar>
          </w:tcPr>
          <w:p>
            <w:r>
              <w:rPr>
                <w:rFonts w:ascii="Consolas" w:cs="Consolas" w:eastAsia="Consolas" w:hAnsi="Consolas"/>
                <w:color w:val="1C3A5C"/>
                <w:sz w:val="19"/>
                <w:szCs w:val="19"/>
              </w:rPr>
              <w:t xml:space="preserve">vix_arg</w:t>
            </w:r>
          </w:p>
        </w:tc>
        <w:tc>
          <w:tcPr>
            <w:tcW w:type="pct" w:w="600"/>
            <w:shd w:fill="FAFCFD" w:val="clear"/>
            <w:tcMar>
              <w:top w:type="dxa" w:w="70"/>
              <w:left w:type="dxa" w:w="120"/>
              <w:bottom w:type="dxa" w:w="70"/>
              <w:right w:type="dxa" w:w="120"/>
            </w:tcMar>
          </w:tcPr>
          <w:p>
            <w:r>
              <w:rPr>
                <w:sz w:val="19"/>
                <w:szCs w:val="19"/>
              </w:rPr>
              <w:t xml:space="preserve">ambos</w:t>
            </w:r>
          </w:p>
        </w:tc>
        <w:tc>
          <w:tcPr>
            <w:tcW w:type="pct" w:w="1700"/>
            <w:shd w:fill="FAFCFD" w:val="clear"/>
            <w:tcMar>
              <w:top w:type="dxa" w:w="70"/>
              <w:left w:type="dxa" w:w="120"/>
              <w:bottom w:type="dxa" w:w="70"/>
              <w:right w:type="dxa" w:w="120"/>
            </w:tcMar>
          </w:tcPr>
          <w:p>
            <w:r>
              <w:rPr>
                <w:sz w:val="19"/>
                <w:szCs w:val="19"/>
              </w:rPr>
              <w:t xml:space="preserve">VIX argentino: volatilidad realizada de 20 ruedas, anualizada</w:t>
            </w:r>
          </w:p>
        </w:tc>
        <w:tc>
          <w:tcPr>
            <w:tcW w:type="pct" w:w="600"/>
            <w:shd w:fill="FAFCFD" w:val="clear"/>
            <w:tcMar>
              <w:top w:type="dxa" w:w="70"/>
              <w:left w:type="dxa" w:w="120"/>
              <w:bottom w:type="dxa" w:w="70"/>
              <w:right w:type="dxa" w:w="120"/>
            </w:tcMar>
          </w:tcPr>
          <w:p>
            <w:r>
              <w:rPr>
                <w:sz w:val="19"/>
                <w:szCs w:val="19"/>
              </w:rPr>
              <w:t xml:space="preserve">%</w:t>
            </w:r>
          </w:p>
        </w:tc>
        <w:tc>
          <w:tcPr>
            <w:tcW w:type="pct" w:w="1000"/>
            <w:shd w:fill="FAFCFD" w:val="clear"/>
            <w:tcMar>
              <w:top w:type="dxa" w:w="70"/>
              <w:left w:type="dxa" w:w="120"/>
              <w:bottom w:type="dxa" w:w="70"/>
              <w:right w:type="dxa" w:w="120"/>
            </w:tcMar>
          </w:tcPr>
          <w:p>
            <w:r>
              <w:rPr>
                <w:sz w:val="19"/>
                <w:szCs w:val="19"/>
              </w:rPr>
              <w:t xml:space="preserve">Lado Bursatil/03_vix_argentino</w:t>
            </w:r>
          </w:p>
        </w:tc>
      </w:tr>
      <w:tr>
        <w:trPr>
          <w:cantSplit/>
        </w:trPr>
        <w:tc>
          <w:tcPr>
            <w:tcW w:type="pct" w:w="1100"/>
            <w:shd w:fill="FFFFFF" w:val="clear"/>
            <w:tcMar>
              <w:top w:type="dxa" w:w="70"/>
              <w:left w:type="dxa" w:w="120"/>
              <w:bottom w:type="dxa" w:w="70"/>
              <w:right w:type="dxa" w:w="120"/>
            </w:tcMar>
          </w:tcPr>
          <w:p>
            <w:r>
              <w:rPr>
                <w:rFonts w:ascii="Consolas" w:cs="Consolas" w:eastAsia="Consolas" w:hAnsi="Consolas"/>
                <w:color w:val="1C3A5C"/>
                <w:sz w:val="19"/>
                <w:szCs w:val="19"/>
              </w:rPr>
              <w:t xml:space="preserve">regimen</w:t>
            </w:r>
          </w:p>
        </w:tc>
        <w:tc>
          <w:tcPr>
            <w:tcW w:type="pct" w:w="600"/>
            <w:shd w:fill="FFFFFF" w:val="clear"/>
            <w:tcMar>
              <w:top w:type="dxa" w:w="70"/>
              <w:left w:type="dxa" w:w="120"/>
              <w:bottom w:type="dxa" w:w="70"/>
              <w:right w:type="dxa" w:w="120"/>
            </w:tcMar>
          </w:tcPr>
          <w:p>
            <w:r>
              <w:rPr>
                <w:sz w:val="19"/>
                <w:szCs w:val="19"/>
              </w:rPr>
              <w:t xml:space="preserve">ambos</w:t>
            </w:r>
          </w:p>
        </w:tc>
        <w:tc>
          <w:tcPr>
            <w:tcW w:type="pct" w:w="1700"/>
            <w:shd w:fill="FFFFFF" w:val="clear"/>
            <w:tcMar>
              <w:top w:type="dxa" w:w="70"/>
              <w:left w:type="dxa" w:w="120"/>
              <w:bottom w:type="dxa" w:w="70"/>
              <w:right w:type="dxa" w:w="120"/>
            </w:tcMar>
          </w:tcPr>
          <w:p>
            <w:r>
              <w:rPr>
                <w:sz w:val="19"/>
                <w:szCs w:val="19"/>
              </w:rPr>
              <w:t xml:space="preserve">Régimen de mercado (HMM, probabilidades suavizadas): Calmo, Moderado o Tenso</w:t>
            </w:r>
          </w:p>
        </w:tc>
        <w:tc>
          <w:tcPr>
            <w:tcW w:type="pct" w:w="600"/>
            <w:shd w:fill="FFFFFF" w:val="clear"/>
            <w:tcMar>
              <w:top w:type="dxa" w:w="70"/>
              <w:left w:type="dxa" w:w="120"/>
              <w:bottom w:type="dxa" w:w="70"/>
              <w:right w:type="dxa" w:w="120"/>
            </w:tcMar>
          </w:tcPr>
          <w:p>
            <w:r>
              <w:rPr>
                <w:sz w:val="19"/>
                <w:szCs w:val="19"/>
              </w:rPr>
              <w:t xml:space="preserve">categoría</w:t>
            </w:r>
          </w:p>
        </w:tc>
        <w:tc>
          <w:tcPr>
            <w:tcW w:type="pct" w:w="1000"/>
            <w:shd w:fill="FFFFFF" w:val="clear"/>
            <w:tcMar>
              <w:top w:type="dxa" w:w="70"/>
              <w:left w:type="dxa" w:w="120"/>
              <w:bottom w:type="dxa" w:w="70"/>
              <w:right w:type="dxa" w:w="120"/>
            </w:tcMar>
          </w:tcPr>
          <w:p>
            <w:r>
              <w:rPr>
                <w:sz w:val="19"/>
                <w:szCs w:val="19"/>
              </w:rPr>
              <w:t xml:space="preserve">Lado Bursatil/06_hmm_regimen_mercado</w:t>
            </w:r>
          </w:p>
        </w:tc>
      </w:tr>
      <w:tr>
        <w:trPr>
          <w:cantSplit/>
        </w:trPr>
        <w:tc>
          <w:tcPr>
            <w:tcW w:type="pct" w:w="1100"/>
            <w:shd w:fill="FAFCFD" w:val="clear"/>
            <w:tcMar>
              <w:top w:type="dxa" w:w="70"/>
              <w:left w:type="dxa" w:w="120"/>
              <w:bottom w:type="dxa" w:w="70"/>
              <w:right w:type="dxa" w:w="120"/>
            </w:tcMar>
          </w:tcPr>
          <w:p>
            <w:r>
              <w:rPr>
                <w:rFonts w:ascii="Consolas" w:cs="Consolas" w:eastAsia="Consolas" w:hAnsi="Consolas"/>
                <w:color w:val="1C3A5C"/>
                <w:sz w:val="19"/>
                <w:szCs w:val="19"/>
              </w:rPr>
              <w:t xml:space="preserve">regimen_filtrado</w:t>
            </w:r>
          </w:p>
        </w:tc>
        <w:tc>
          <w:tcPr>
            <w:tcW w:type="pct" w:w="600"/>
            <w:shd w:fill="FAFCFD" w:val="clear"/>
            <w:tcMar>
              <w:top w:type="dxa" w:w="70"/>
              <w:left w:type="dxa" w:w="120"/>
              <w:bottom w:type="dxa" w:w="70"/>
              <w:right w:type="dxa" w:w="120"/>
            </w:tcMar>
          </w:tcPr>
          <w:p>
            <w:r>
              <w:rPr>
                <w:sz w:val="19"/>
                <w:szCs w:val="19"/>
              </w:rPr>
              <w:t xml:space="preserve">ambos</w:t>
            </w:r>
          </w:p>
        </w:tc>
        <w:tc>
          <w:tcPr>
            <w:tcW w:type="pct" w:w="1700"/>
            <w:shd w:fill="FAFCFD" w:val="clear"/>
            <w:tcMar>
              <w:top w:type="dxa" w:w="70"/>
              <w:left w:type="dxa" w:w="120"/>
              <w:bottom w:type="dxa" w:w="70"/>
              <w:right w:type="dxa" w:w="120"/>
            </w:tcMar>
          </w:tcPr>
          <w:p>
            <w:r>
              <w:rPr>
                <w:sz w:val="19"/>
                <w:szCs w:val="19"/>
              </w:rPr>
              <w:t xml:space="preserve">Régimen con probabilidades filtradas (solo usa información hasta ese día)</w:t>
            </w:r>
          </w:p>
        </w:tc>
        <w:tc>
          <w:tcPr>
            <w:tcW w:type="pct" w:w="600"/>
            <w:shd w:fill="FAFCFD" w:val="clear"/>
            <w:tcMar>
              <w:top w:type="dxa" w:w="70"/>
              <w:left w:type="dxa" w:w="120"/>
              <w:bottom w:type="dxa" w:w="70"/>
              <w:right w:type="dxa" w:w="120"/>
            </w:tcMar>
          </w:tcPr>
          <w:p>
            <w:r>
              <w:rPr>
                <w:sz w:val="19"/>
                <w:szCs w:val="19"/>
              </w:rPr>
              <w:t xml:space="preserve">categoría</w:t>
            </w:r>
          </w:p>
        </w:tc>
        <w:tc>
          <w:tcPr>
            <w:tcW w:type="pct" w:w="1000"/>
            <w:shd w:fill="FAFCFD" w:val="clear"/>
            <w:tcMar>
              <w:top w:type="dxa" w:w="70"/>
              <w:left w:type="dxa" w:w="120"/>
              <w:bottom w:type="dxa" w:w="70"/>
              <w:right w:type="dxa" w:w="120"/>
            </w:tcMar>
          </w:tcPr>
          <w:p>
            <w:r>
              <w:rPr>
                <w:sz w:val="19"/>
                <w:szCs w:val="19"/>
              </w:rPr>
              <w:t xml:space="preserve">Lado Bursatil/06_hmm_regimen_mercado</w:t>
            </w:r>
          </w:p>
        </w:tc>
      </w:tr>
      <w:tr>
        <w:trPr>
          <w:cantSplit/>
        </w:trPr>
        <w:tc>
          <w:tcPr>
            <w:tcW w:type="pct" w:w="1100"/>
            <w:shd w:fill="FFFFFF" w:val="clear"/>
            <w:tcMar>
              <w:top w:type="dxa" w:w="70"/>
              <w:left w:type="dxa" w:w="120"/>
              <w:bottom w:type="dxa" w:w="70"/>
              <w:right w:type="dxa" w:w="120"/>
            </w:tcMar>
          </w:tcPr>
          <w:p>
            <w:r>
              <w:rPr>
                <w:rFonts w:ascii="Consolas" w:cs="Consolas" w:eastAsia="Consolas" w:hAnsi="Consolas"/>
                <w:color w:val="1C3A5C"/>
                <w:sz w:val="19"/>
                <w:szCs w:val="19"/>
              </w:rPr>
              <w:t xml:space="preserve">prob_tenso</w:t>
            </w:r>
          </w:p>
        </w:tc>
        <w:tc>
          <w:tcPr>
            <w:tcW w:type="pct" w:w="600"/>
            <w:shd w:fill="FFFFFF" w:val="clear"/>
            <w:tcMar>
              <w:top w:type="dxa" w:w="70"/>
              <w:left w:type="dxa" w:w="120"/>
              <w:bottom w:type="dxa" w:w="70"/>
              <w:right w:type="dxa" w:w="120"/>
            </w:tcMar>
          </w:tcPr>
          <w:p>
            <w:r>
              <w:rPr>
                <w:sz w:val="19"/>
                <w:szCs w:val="19"/>
              </w:rPr>
              <w:t xml:space="preserve">ambos</w:t>
            </w:r>
          </w:p>
        </w:tc>
        <w:tc>
          <w:tcPr>
            <w:tcW w:type="pct" w:w="1700"/>
            <w:shd w:fill="FFFFFF" w:val="clear"/>
            <w:tcMar>
              <w:top w:type="dxa" w:w="70"/>
              <w:left w:type="dxa" w:w="120"/>
              <w:bottom w:type="dxa" w:w="70"/>
              <w:right w:type="dxa" w:w="120"/>
            </w:tcMar>
          </w:tcPr>
          <w:p>
            <w:r>
              <w:rPr>
                <w:sz w:val="19"/>
                <w:szCs w:val="19"/>
              </w:rPr>
              <w:t xml:space="preserve">Probabilidad suavizada del régimen Tenso</w:t>
            </w:r>
          </w:p>
        </w:tc>
        <w:tc>
          <w:tcPr>
            <w:tcW w:type="pct" w:w="600"/>
            <w:shd w:fill="FFFFFF" w:val="clear"/>
            <w:tcMar>
              <w:top w:type="dxa" w:w="70"/>
              <w:left w:type="dxa" w:w="120"/>
              <w:bottom w:type="dxa" w:w="70"/>
              <w:right w:type="dxa" w:w="120"/>
            </w:tcMar>
          </w:tcPr>
          <w:p>
            <w:r>
              <w:rPr>
                <w:sz w:val="19"/>
                <w:szCs w:val="19"/>
              </w:rPr>
              <w:t xml:space="preserve">0 a 1</w:t>
            </w:r>
          </w:p>
        </w:tc>
        <w:tc>
          <w:tcPr>
            <w:tcW w:type="pct" w:w="1000"/>
            <w:shd w:fill="FFFFFF" w:val="clear"/>
            <w:tcMar>
              <w:top w:type="dxa" w:w="70"/>
              <w:left w:type="dxa" w:w="120"/>
              <w:bottom w:type="dxa" w:w="70"/>
              <w:right w:type="dxa" w:w="120"/>
            </w:tcMar>
          </w:tcPr>
          <w:p>
            <w:r>
              <w:rPr>
                <w:sz w:val="19"/>
                <w:szCs w:val="19"/>
              </w:rPr>
              <w:t xml:space="preserve">Lado Bursatil/06_hmm_regimen_mercado</w:t>
            </w:r>
          </w:p>
        </w:tc>
      </w:tr>
      <w:tr>
        <w:trPr>
          <w:cantSplit/>
        </w:trPr>
        <w:tc>
          <w:tcPr>
            <w:tcW w:type="pct" w:w="1100"/>
            <w:shd w:fill="FAFCFD" w:val="clear"/>
            <w:tcMar>
              <w:top w:type="dxa" w:w="70"/>
              <w:left w:type="dxa" w:w="120"/>
              <w:bottom w:type="dxa" w:w="70"/>
              <w:right w:type="dxa" w:w="120"/>
            </w:tcMar>
          </w:tcPr>
          <w:p>
            <w:r>
              <w:rPr>
                <w:rFonts w:ascii="Consolas" w:cs="Consolas" w:eastAsia="Consolas" w:hAnsi="Consolas"/>
                <w:color w:val="1C3A5C"/>
                <w:sz w:val="19"/>
                <w:szCs w:val="19"/>
              </w:rPr>
              <w:t xml:space="preserve">prob_tenso_filtrada</w:t>
            </w:r>
          </w:p>
        </w:tc>
        <w:tc>
          <w:tcPr>
            <w:tcW w:type="pct" w:w="600"/>
            <w:shd w:fill="FAFCFD" w:val="clear"/>
            <w:tcMar>
              <w:top w:type="dxa" w:w="70"/>
              <w:left w:type="dxa" w:w="120"/>
              <w:bottom w:type="dxa" w:w="70"/>
              <w:right w:type="dxa" w:w="120"/>
            </w:tcMar>
          </w:tcPr>
          <w:p>
            <w:r>
              <w:rPr>
                <w:sz w:val="19"/>
                <w:szCs w:val="19"/>
              </w:rPr>
              <w:t xml:space="preserve">mercado</w:t>
            </w:r>
          </w:p>
        </w:tc>
        <w:tc>
          <w:tcPr>
            <w:tcW w:type="pct" w:w="1700"/>
            <w:shd w:fill="FAFCFD" w:val="clear"/>
            <w:tcMar>
              <w:top w:type="dxa" w:w="70"/>
              <w:left w:type="dxa" w:w="120"/>
              <w:bottom w:type="dxa" w:w="70"/>
              <w:right w:type="dxa" w:w="120"/>
            </w:tcMar>
          </w:tcPr>
          <w:p>
            <w:r>
              <w:rPr>
                <w:sz w:val="19"/>
                <w:szCs w:val="19"/>
              </w:rPr>
              <w:t xml:space="preserve">Probabilidad filtrada del régimen Tenso</w:t>
            </w:r>
          </w:p>
        </w:tc>
        <w:tc>
          <w:tcPr>
            <w:tcW w:type="pct" w:w="600"/>
            <w:shd w:fill="FAFCFD" w:val="clear"/>
            <w:tcMar>
              <w:top w:type="dxa" w:w="70"/>
              <w:left w:type="dxa" w:w="120"/>
              <w:bottom w:type="dxa" w:w="70"/>
              <w:right w:type="dxa" w:w="120"/>
            </w:tcMar>
          </w:tcPr>
          <w:p>
            <w:r>
              <w:rPr>
                <w:sz w:val="19"/>
                <w:szCs w:val="19"/>
              </w:rPr>
              <w:t xml:space="preserve">0 a 1</w:t>
            </w:r>
          </w:p>
        </w:tc>
        <w:tc>
          <w:tcPr>
            <w:tcW w:type="pct" w:w="1000"/>
            <w:shd w:fill="FAFCFD" w:val="clear"/>
            <w:tcMar>
              <w:top w:type="dxa" w:w="70"/>
              <w:left w:type="dxa" w:w="120"/>
              <w:bottom w:type="dxa" w:w="70"/>
              <w:right w:type="dxa" w:w="120"/>
            </w:tcMar>
          </w:tcPr>
          <w:p>
            <w:r>
              <w:rPr>
                <w:sz w:val="19"/>
                <w:szCs w:val="19"/>
              </w:rPr>
              <w:t xml:space="preserve">Lado Bursatil/06_hmm_regimen_mercado</w:t>
            </w:r>
          </w:p>
        </w:tc>
      </w:tr>
      <w:tr>
        <w:trPr>
          <w:cantSplit/>
        </w:trPr>
        <w:tc>
          <w:tcPr>
            <w:tcW w:type="pct" w:w="1100"/>
            <w:shd w:fill="FFFFFF" w:val="clear"/>
            <w:tcMar>
              <w:top w:type="dxa" w:w="70"/>
              <w:left w:type="dxa" w:w="120"/>
              <w:bottom w:type="dxa" w:w="70"/>
              <w:right w:type="dxa" w:w="120"/>
            </w:tcMar>
          </w:tcPr>
          <w:p>
            <w:r>
              <w:rPr>
                <w:rFonts w:ascii="Consolas" w:cs="Consolas" w:eastAsia="Consolas" w:hAnsi="Consolas"/>
                <w:color w:val="1C3A5C"/>
                <w:sz w:val="19"/>
                <w:szCs w:val="19"/>
              </w:rPr>
              <w:t xml:space="preserve">monto_operado</w:t>
            </w:r>
          </w:p>
        </w:tc>
        <w:tc>
          <w:tcPr>
            <w:tcW w:type="pct" w:w="600"/>
            <w:shd w:fill="FFFFFF" w:val="clear"/>
            <w:tcMar>
              <w:top w:type="dxa" w:w="70"/>
              <w:left w:type="dxa" w:w="120"/>
              <w:bottom w:type="dxa" w:w="70"/>
              <w:right w:type="dxa" w:w="120"/>
            </w:tcMar>
          </w:tcPr>
          <w:p>
            <w:r>
              <w:rPr>
                <w:sz w:val="19"/>
                <w:szCs w:val="19"/>
              </w:rPr>
              <w:t xml:space="preserve">mercado</w:t>
            </w:r>
          </w:p>
        </w:tc>
        <w:tc>
          <w:tcPr>
            <w:tcW w:type="pct" w:w="1700"/>
            <w:shd w:fill="FFFFFF" w:val="clear"/>
            <w:tcMar>
              <w:top w:type="dxa" w:w="70"/>
              <w:left w:type="dxa" w:w="120"/>
              <w:bottom w:type="dxa" w:w="70"/>
              <w:right w:type="dxa" w:w="120"/>
            </w:tcMar>
          </w:tcPr>
          <w:p>
            <w:r>
              <w:rPr>
                <w:sz w:val="19"/>
                <w:szCs w:val="19"/>
              </w:rPr>
              <w:t xml:space="preserve">Cierre × volumen, sumado sobre las 47 acciones</w:t>
            </w:r>
          </w:p>
        </w:tc>
        <w:tc>
          <w:tcPr>
            <w:tcW w:type="pct" w:w="600"/>
            <w:shd w:fill="FFFFFF" w:val="clear"/>
            <w:tcMar>
              <w:top w:type="dxa" w:w="70"/>
              <w:left w:type="dxa" w:w="120"/>
              <w:bottom w:type="dxa" w:w="70"/>
              <w:right w:type="dxa" w:w="120"/>
            </w:tcMar>
          </w:tcPr>
          <w:p>
            <w:r>
              <w:rPr>
                <w:sz w:val="19"/>
                <w:szCs w:val="19"/>
              </w:rPr>
              <w:t xml:space="preserve">pesos</w:t>
            </w:r>
          </w:p>
        </w:tc>
        <w:tc>
          <w:tcPr>
            <w:tcW w:type="pct" w:w="1000"/>
            <w:shd w:fill="FFFFFF" w:val="clear"/>
            <w:tcMar>
              <w:top w:type="dxa" w:w="70"/>
              <w:left w:type="dxa" w:w="120"/>
              <w:bottom w:type="dxa" w:w="70"/>
              <w:right w:type="dxa" w:w="120"/>
            </w:tcMar>
          </w:tcPr>
          <w:p>
            <w:r>
              <w:rPr>
                <w:sz w:val="19"/>
                <w:szCs w:val="19"/>
              </w:rPr>
              <w:t xml:space="preserve">Lado Bursatil/01_scraping_acciones (U4)</w:t>
            </w:r>
          </w:p>
        </w:tc>
      </w:tr>
      <w:tr>
        <w:trPr>
          <w:cantSplit/>
        </w:trPr>
        <w:tc>
          <w:tcPr>
            <w:tcW w:type="pct" w:w="1100"/>
            <w:shd w:fill="FAFCFD" w:val="clear"/>
            <w:tcMar>
              <w:top w:type="dxa" w:w="70"/>
              <w:left w:type="dxa" w:w="120"/>
              <w:bottom w:type="dxa" w:w="70"/>
              <w:right w:type="dxa" w:w="120"/>
            </w:tcMar>
          </w:tcPr>
          <w:p>
            <w:r>
              <w:rPr>
                <w:rFonts w:ascii="Consolas" w:cs="Consolas" w:eastAsia="Consolas" w:hAnsi="Consolas"/>
                <w:color w:val="1C3A5C"/>
                <w:sz w:val="19"/>
                <w:szCs w:val="19"/>
              </w:rPr>
              <w:t xml:space="preserve">monto_anormal</w:t>
            </w:r>
          </w:p>
        </w:tc>
        <w:tc>
          <w:tcPr>
            <w:tcW w:type="pct" w:w="600"/>
            <w:shd w:fill="FAFCFD" w:val="clear"/>
            <w:tcMar>
              <w:top w:type="dxa" w:w="70"/>
              <w:left w:type="dxa" w:w="120"/>
              <w:bottom w:type="dxa" w:w="70"/>
              <w:right w:type="dxa" w:w="120"/>
            </w:tcMar>
          </w:tcPr>
          <w:p>
            <w:r>
              <w:rPr>
                <w:sz w:val="19"/>
                <w:szCs w:val="19"/>
              </w:rPr>
              <w:t xml:space="preserve">mercado</w:t>
            </w:r>
          </w:p>
        </w:tc>
        <w:tc>
          <w:tcPr>
            <w:tcW w:type="pct" w:w="1700"/>
            <w:shd w:fill="FAFCFD" w:val="clear"/>
            <w:tcMar>
              <w:top w:type="dxa" w:w="70"/>
              <w:left w:type="dxa" w:w="120"/>
              <w:bottom w:type="dxa" w:w="70"/>
              <w:right w:type="dxa" w:w="120"/>
            </w:tcMar>
          </w:tcPr>
          <w:p>
            <w:r>
              <w:rPr>
                <w:sz w:val="19"/>
                <w:szCs w:val="19"/>
              </w:rPr>
              <w:t xml:space="preserve">log(monto) − promedio de log(monto) de las 20 ruedas previas</w:t>
            </w:r>
          </w:p>
        </w:tc>
        <w:tc>
          <w:tcPr>
            <w:tcW w:type="pct" w:w="600"/>
            <w:shd w:fill="FAFCFD" w:val="clear"/>
            <w:tcMar>
              <w:top w:type="dxa" w:w="70"/>
              <w:left w:type="dxa" w:w="120"/>
              <w:bottom w:type="dxa" w:w="70"/>
              <w:right w:type="dxa" w:w="120"/>
            </w:tcMar>
          </w:tcPr>
          <w:p>
            <w:r>
              <w:rPr>
                <w:sz w:val="19"/>
                <w:szCs w:val="19"/>
              </w:rPr>
              <w:t xml:space="preserve">log (0 = habitual)</w:t>
            </w:r>
          </w:p>
        </w:tc>
        <w:tc>
          <w:tcPr>
            <w:tcW w:type="pct" w:w="1000"/>
            <w:shd w:fill="FAFCFD" w:val="clear"/>
            <w:tcMar>
              <w:top w:type="dxa" w:w="70"/>
              <w:left w:type="dxa" w:w="120"/>
              <w:bottom w:type="dxa" w:w="70"/>
              <w:right w:type="dxa" w:w="120"/>
            </w:tcMar>
          </w:tcPr>
          <w:p>
            <w:r>
              <w:rPr>
                <w:sz w:val="19"/>
                <w:szCs w:val="19"/>
              </w:rPr>
              <w:t xml:space="preserve">U4</w:t>
            </w:r>
          </w:p>
        </w:tc>
      </w:tr>
      <w:tr>
        <w:trPr>
          <w:cantSplit/>
        </w:trPr>
        <w:tc>
          <w:tcPr>
            <w:tcW w:type="pct" w:w="1100"/>
            <w:shd w:fill="FFFFFF" w:val="clear"/>
            <w:tcMar>
              <w:top w:type="dxa" w:w="70"/>
              <w:left w:type="dxa" w:w="120"/>
              <w:bottom w:type="dxa" w:w="70"/>
              <w:right w:type="dxa" w:w="120"/>
            </w:tcMar>
          </w:tcPr>
          <w:p>
            <w:r>
              <w:rPr>
                <w:rFonts w:ascii="Consolas" w:cs="Consolas" w:eastAsia="Consolas" w:hAnsi="Consolas"/>
                <w:color w:val="1C3A5C"/>
                <w:sz w:val="19"/>
                <w:szCs w:val="19"/>
              </w:rPr>
              <w:t xml:space="preserve">n_notas</w:t>
            </w:r>
          </w:p>
        </w:tc>
        <w:tc>
          <w:tcPr>
            <w:tcW w:type="pct" w:w="600"/>
            <w:shd w:fill="FFFFFF" w:val="clear"/>
            <w:tcMar>
              <w:top w:type="dxa" w:w="70"/>
              <w:left w:type="dxa" w:w="120"/>
              <w:bottom w:type="dxa" w:w="70"/>
              <w:right w:type="dxa" w:w="120"/>
            </w:tcMar>
          </w:tcPr>
          <w:p>
            <w:r>
              <w:rPr>
                <w:sz w:val="19"/>
                <w:szCs w:val="19"/>
              </w:rPr>
              <w:t xml:space="preserve">ambos</w:t>
            </w:r>
          </w:p>
        </w:tc>
        <w:tc>
          <w:tcPr>
            <w:tcW w:type="pct" w:w="1700"/>
            <w:shd w:fill="FFFFFF" w:val="clear"/>
            <w:tcMar>
              <w:top w:type="dxa" w:w="70"/>
              <w:left w:type="dxa" w:w="120"/>
              <w:bottom w:type="dxa" w:w="70"/>
              <w:right w:type="dxa" w:w="120"/>
            </w:tcMar>
          </w:tcPr>
          <w:p>
            <w:r>
              <w:rPr>
                <w:sz w:val="19"/>
                <w:szCs w:val="19"/>
              </w:rPr>
              <w:t xml:space="preserve">Notas que recibe la rueda (regla de las 17:00)</w:t>
            </w:r>
          </w:p>
        </w:tc>
        <w:tc>
          <w:tcPr>
            <w:tcW w:type="pct" w:w="600"/>
            <w:shd w:fill="FFFFFF" w:val="clear"/>
            <w:tcMar>
              <w:top w:type="dxa" w:w="70"/>
              <w:left w:type="dxa" w:w="120"/>
              <w:bottom w:type="dxa" w:w="70"/>
              <w:right w:type="dxa" w:w="120"/>
            </w:tcMar>
          </w:tcPr>
          <w:p>
            <w:r>
              <w:rPr>
                <w:sz w:val="19"/>
                <w:szCs w:val="19"/>
              </w:rPr>
              <w:t xml:space="preserve">notas</w:t>
            </w:r>
          </w:p>
        </w:tc>
        <w:tc>
          <w:tcPr>
            <w:tcW w:type="pct" w:w="1000"/>
            <w:shd w:fill="FFFFFF" w:val="clear"/>
            <w:tcMar>
              <w:top w:type="dxa" w:w="70"/>
              <w:left w:type="dxa" w:w="120"/>
              <w:bottom w:type="dxa" w:w="70"/>
              <w:right w:type="dxa" w:w="120"/>
            </w:tcMar>
          </w:tcPr>
          <w:p>
            <w:r>
              <w:rPr>
                <w:sz w:val="19"/>
                <w:szCs w:val="19"/>
              </w:rPr>
              <w:t xml:space="preserve">U1</w:t>
            </w:r>
          </w:p>
        </w:tc>
      </w:tr>
      <w:tr>
        <w:trPr>
          <w:cantSplit/>
        </w:trPr>
        <w:tc>
          <w:tcPr>
            <w:tcW w:type="pct" w:w="1100"/>
            <w:shd w:fill="FAFCFD" w:val="clear"/>
            <w:tcMar>
              <w:top w:type="dxa" w:w="70"/>
              <w:left w:type="dxa" w:w="120"/>
              <w:bottom w:type="dxa" w:w="70"/>
              <w:right w:type="dxa" w:w="120"/>
            </w:tcMar>
          </w:tcPr>
          <w:p>
            <w:r>
              <w:rPr>
                <w:rFonts w:ascii="Consolas" w:cs="Consolas" w:eastAsia="Consolas" w:hAnsi="Consolas"/>
                <w:color w:val="1C3A5C"/>
                <w:sz w:val="19"/>
                <w:szCs w:val="19"/>
              </w:rPr>
              <w:t xml:space="preserve">dias_cubiertos</w:t>
            </w:r>
          </w:p>
        </w:tc>
        <w:tc>
          <w:tcPr>
            <w:tcW w:type="pct" w:w="600"/>
            <w:shd w:fill="FAFCFD" w:val="clear"/>
            <w:tcMar>
              <w:top w:type="dxa" w:w="70"/>
              <w:left w:type="dxa" w:w="120"/>
              <w:bottom w:type="dxa" w:w="70"/>
              <w:right w:type="dxa" w:w="120"/>
            </w:tcMar>
          </w:tcPr>
          <w:p>
            <w:r>
              <w:rPr>
                <w:sz w:val="19"/>
                <w:szCs w:val="19"/>
              </w:rPr>
              <w:t xml:space="preserve">mercado</w:t>
            </w:r>
          </w:p>
        </w:tc>
        <w:tc>
          <w:tcPr>
            <w:tcW w:type="pct" w:w="1700"/>
            <w:shd w:fill="FAFCFD" w:val="clear"/>
            <w:tcMar>
              <w:top w:type="dxa" w:w="70"/>
              <w:left w:type="dxa" w:w="120"/>
              <w:bottom w:type="dxa" w:w="70"/>
              <w:right w:type="dxa" w:w="120"/>
            </w:tcMar>
          </w:tcPr>
          <w:p>
            <w:r>
              <w:rPr>
                <w:sz w:val="19"/>
                <w:szCs w:val="19"/>
              </w:rPr>
              <w:t xml:space="preserve">Días de calendario que junta la rueda (1 normal, 3 un lunes, 4+ tras feriado)</w:t>
            </w:r>
          </w:p>
        </w:tc>
        <w:tc>
          <w:tcPr>
            <w:tcW w:type="pct" w:w="600"/>
            <w:shd w:fill="FAFCFD" w:val="clear"/>
            <w:tcMar>
              <w:top w:type="dxa" w:w="70"/>
              <w:left w:type="dxa" w:w="120"/>
              <w:bottom w:type="dxa" w:w="70"/>
              <w:right w:type="dxa" w:w="120"/>
            </w:tcMar>
          </w:tcPr>
          <w:p>
            <w:r>
              <w:rPr>
                <w:sz w:val="19"/>
                <w:szCs w:val="19"/>
              </w:rPr>
              <w:t xml:space="preserve">días</w:t>
            </w:r>
          </w:p>
        </w:tc>
        <w:tc>
          <w:tcPr>
            <w:tcW w:type="pct" w:w="1000"/>
            <w:shd w:fill="FAFCFD" w:val="clear"/>
            <w:tcMar>
              <w:top w:type="dxa" w:w="70"/>
              <w:left w:type="dxa" w:w="120"/>
              <w:bottom w:type="dxa" w:w="70"/>
              <w:right w:type="dxa" w:w="120"/>
            </w:tcMar>
          </w:tcPr>
          <w:p>
            <w:r>
              <w:rPr>
                <w:sz w:val="19"/>
                <w:szCs w:val="19"/>
              </w:rPr>
              <w:t xml:space="preserve">U2</w:t>
            </w:r>
          </w:p>
        </w:tc>
      </w:tr>
      <w:tr>
        <w:trPr>
          <w:cantSplit/>
        </w:trPr>
        <w:tc>
          <w:tcPr>
            <w:tcW w:type="pct" w:w="1100"/>
            <w:shd w:fill="FFFFFF" w:val="clear"/>
            <w:tcMar>
              <w:top w:type="dxa" w:w="70"/>
              <w:left w:type="dxa" w:w="120"/>
              <w:bottom w:type="dxa" w:w="70"/>
              <w:right w:type="dxa" w:w="120"/>
            </w:tcMar>
          </w:tcPr>
          <w:p>
            <w:r>
              <w:rPr>
                <w:rFonts w:ascii="Consolas" w:cs="Consolas" w:eastAsia="Consolas" w:hAnsi="Consolas"/>
                <w:color w:val="1C3A5C"/>
                <w:sz w:val="19"/>
                <w:szCs w:val="19"/>
              </w:rPr>
              <w:t xml:space="preserve">atencion_anormal</w:t>
            </w:r>
          </w:p>
        </w:tc>
        <w:tc>
          <w:tcPr>
            <w:tcW w:type="pct" w:w="600"/>
            <w:shd w:fill="FFFFFF" w:val="clear"/>
            <w:tcMar>
              <w:top w:type="dxa" w:w="70"/>
              <w:left w:type="dxa" w:w="120"/>
              <w:bottom w:type="dxa" w:w="70"/>
              <w:right w:type="dxa" w:w="120"/>
            </w:tcMar>
          </w:tcPr>
          <w:p>
            <w:r>
              <w:rPr>
                <w:sz w:val="19"/>
                <w:szCs w:val="19"/>
              </w:rPr>
              <w:t xml:space="preserve">ambos</w:t>
            </w:r>
          </w:p>
        </w:tc>
        <w:tc>
          <w:tcPr>
            <w:tcW w:type="pct" w:w="1700"/>
            <w:shd w:fill="FFFFFF" w:val="clear"/>
            <w:tcMar>
              <w:top w:type="dxa" w:w="70"/>
              <w:left w:type="dxa" w:w="120"/>
              <w:bottom w:type="dxa" w:w="70"/>
              <w:right w:type="dxa" w:w="120"/>
            </w:tcMar>
          </w:tcPr>
          <w:p>
            <w:r>
              <w:rPr>
                <w:sz w:val="19"/>
                <w:szCs w:val="19"/>
              </w:rPr>
              <w:t xml:space="preserve">Atención de los medios: notas comparadas con lo habitual para ese tipo de rueda y las 20 previas</w:t>
            </w:r>
          </w:p>
        </w:tc>
        <w:tc>
          <w:tcPr>
            <w:tcW w:type="pct" w:w="600"/>
            <w:shd w:fill="FFFFFF" w:val="clear"/>
            <w:tcMar>
              <w:top w:type="dxa" w:w="70"/>
              <w:left w:type="dxa" w:w="120"/>
              <w:bottom w:type="dxa" w:w="70"/>
              <w:right w:type="dxa" w:w="120"/>
            </w:tcMar>
          </w:tcPr>
          <w:p>
            <w:r>
              <w:rPr>
                <w:sz w:val="19"/>
                <w:szCs w:val="19"/>
              </w:rPr>
              <w:t xml:space="preserve">log (0 = habitual)</w:t>
            </w:r>
          </w:p>
        </w:tc>
        <w:tc>
          <w:tcPr>
            <w:tcW w:type="pct" w:w="1000"/>
            <w:shd w:fill="FFFFFF" w:val="clear"/>
            <w:tcMar>
              <w:top w:type="dxa" w:w="70"/>
              <w:left w:type="dxa" w:w="120"/>
              <w:bottom w:type="dxa" w:w="70"/>
              <w:right w:type="dxa" w:w="120"/>
            </w:tcMar>
          </w:tcPr>
          <w:p>
            <w:r>
              <w:rPr>
                <w:sz w:val="19"/>
                <w:szCs w:val="19"/>
              </w:rPr>
              <w:t xml:space="preserve">U2</w:t>
            </w:r>
          </w:p>
        </w:tc>
      </w:tr>
      <w:tr>
        <w:trPr>
          <w:cantSplit/>
        </w:trPr>
        <w:tc>
          <w:tcPr>
            <w:tcW w:type="pct" w:w="1100"/>
            <w:shd w:fill="FAFCFD" w:val="clear"/>
            <w:tcMar>
              <w:top w:type="dxa" w:w="70"/>
              <w:left w:type="dxa" w:w="120"/>
              <w:bottom w:type="dxa" w:w="70"/>
              <w:right w:type="dxa" w:w="120"/>
            </w:tcMar>
          </w:tcPr>
          <w:p>
            <w:r>
              <w:rPr>
                <w:rFonts w:ascii="Consolas" w:cs="Consolas" w:eastAsia="Consolas" w:hAnsi="Consolas"/>
                <w:color w:val="1C3A5C"/>
                <w:sz w:val="19"/>
                <w:szCs w:val="19"/>
              </w:rPr>
              <w:t xml:space="preserve">sent_neto</w:t>
            </w:r>
          </w:p>
        </w:tc>
        <w:tc>
          <w:tcPr>
            <w:tcW w:type="pct" w:w="600"/>
            <w:shd w:fill="FAFCFD" w:val="clear"/>
            <w:tcMar>
              <w:top w:type="dxa" w:w="70"/>
              <w:left w:type="dxa" w:w="120"/>
              <w:bottom w:type="dxa" w:w="70"/>
              <w:right w:type="dxa" w:w="120"/>
            </w:tcMar>
          </w:tcPr>
          <w:p>
            <w:r>
              <w:rPr>
                <w:sz w:val="19"/>
                <w:szCs w:val="19"/>
              </w:rPr>
              <w:t xml:space="preserve">ambos</w:t>
            </w:r>
          </w:p>
        </w:tc>
        <w:tc>
          <w:tcPr>
            <w:tcW w:type="pct" w:w="1700"/>
            <w:shd w:fill="FAFCFD" w:val="clear"/>
            <w:tcMar>
              <w:top w:type="dxa" w:w="70"/>
              <w:left w:type="dxa" w:w="120"/>
              <w:bottom w:type="dxa" w:w="70"/>
              <w:right w:type="dxa" w:w="120"/>
            </w:tcMar>
          </w:tcPr>
          <w:p>
            <w:r>
              <w:rPr>
                <w:sz w:val="19"/>
                <w:szCs w:val="19"/>
              </w:rPr>
              <w:t xml:space="preserve">Tono de las noticias: promedio del sentimiento neto de las notas de la rueda</w:t>
            </w:r>
          </w:p>
        </w:tc>
        <w:tc>
          <w:tcPr>
            <w:tcW w:type="pct" w:w="600"/>
            <w:shd w:fill="FAFCFD" w:val="clear"/>
            <w:tcMar>
              <w:top w:type="dxa" w:w="70"/>
              <w:left w:type="dxa" w:w="120"/>
              <w:bottom w:type="dxa" w:w="70"/>
              <w:right w:type="dxa" w:w="120"/>
            </w:tcMar>
          </w:tcPr>
          <w:p>
            <w:r>
              <w:rPr>
                <w:sz w:val="19"/>
                <w:szCs w:val="19"/>
              </w:rPr>
              <w:t xml:space="preserve">puntos (−100 a +100)</w:t>
            </w:r>
          </w:p>
        </w:tc>
        <w:tc>
          <w:tcPr>
            <w:tcW w:type="pct" w:w="1000"/>
            <w:shd w:fill="FAFCFD" w:val="clear"/>
            <w:tcMar>
              <w:top w:type="dxa" w:w="70"/>
              <w:left w:type="dxa" w:w="120"/>
              <w:bottom w:type="dxa" w:w="70"/>
              <w:right w:type="dxa" w:w="120"/>
            </w:tcMar>
          </w:tcPr>
          <w:p>
            <w:r>
              <w:rPr>
                <w:sz w:val="19"/>
                <w:szCs w:val="19"/>
              </w:rPr>
              <w:t xml:space="preserve">U2 (sentimiento de Gino)</w:t>
            </w:r>
          </w:p>
        </w:tc>
      </w:tr>
      <w:tr>
        <w:trPr>
          <w:cantSplit/>
        </w:trPr>
        <w:tc>
          <w:tcPr>
            <w:tcW w:type="pct" w:w="1100"/>
            <w:shd w:fill="FFFFFF" w:val="clear"/>
            <w:tcMar>
              <w:top w:type="dxa" w:w="70"/>
              <w:left w:type="dxa" w:w="120"/>
              <w:bottom w:type="dxa" w:w="70"/>
              <w:right w:type="dxa" w:w="120"/>
            </w:tcMar>
          </w:tcPr>
          <w:p>
            <w:r>
              <w:rPr>
                <w:rFonts w:ascii="Consolas" w:cs="Consolas" w:eastAsia="Consolas" w:hAnsi="Consolas"/>
                <w:color w:val="1C3A5C"/>
                <w:sz w:val="19"/>
                <w:szCs w:val="19"/>
              </w:rPr>
              <w:t xml:space="preserve">sent_neto_portal</w:t>
            </w:r>
          </w:p>
        </w:tc>
        <w:tc>
          <w:tcPr>
            <w:tcW w:type="pct" w:w="600"/>
            <w:shd w:fill="FFFFFF" w:val="clear"/>
            <w:tcMar>
              <w:top w:type="dxa" w:w="70"/>
              <w:left w:type="dxa" w:w="120"/>
              <w:bottom w:type="dxa" w:w="70"/>
              <w:right w:type="dxa" w:w="120"/>
            </w:tcMar>
          </w:tcPr>
          <w:p>
            <w:r>
              <w:rPr>
                <w:sz w:val="19"/>
                <w:szCs w:val="19"/>
              </w:rPr>
              <w:t xml:space="preserve">ambos</w:t>
            </w:r>
          </w:p>
        </w:tc>
        <w:tc>
          <w:tcPr>
            <w:tcW w:type="pct" w:w="1700"/>
            <w:shd w:fill="FFFFFF" w:val="clear"/>
            <w:tcMar>
              <w:top w:type="dxa" w:w="70"/>
              <w:left w:type="dxa" w:w="120"/>
              <w:bottom w:type="dxa" w:w="70"/>
              <w:right w:type="dxa" w:w="120"/>
            </w:tcMar>
          </w:tcPr>
          <w:p>
            <w:r>
              <w:rPr>
                <w:sz w:val="19"/>
                <w:szCs w:val="19"/>
              </w:rPr>
              <w:t xml:space="preserve">Tono ajustado por portal (a cada nota se le resta el promedio de su portal)</w:t>
            </w:r>
          </w:p>
        </w:tc>
        <w:tc>
          <w:tcPr>
            <w:tcW w:type="pct" w:w="600"/>
            <w:shd w:fill="FFFFFF" w:val="clear"/>
            <w:tcMar>
              <w:top w:type="dxa" w:w="70"/>
              <w:left w:type="dxa" w:w="120"/>
              <w:bottom w:type="dxa" w:w="70"/>
              <w:right w:type="dxa" w:w="120"/>
            </w:tcMar>
          </w:tcPr>
          <w:p>
            <w:r>
              <w:rPr>
                <w:sz w:val="19"/>
                <w:szCs w:val="19"/>
              </w:rPr>
              <w:t xml:space="preserve">puntos</w:t>
            </w:r>
          </w:p>
        </w:tc>
        <w:tc>
          <w:tcPr>
            <w:tcW w:type="pct" w:w="1000"/>
            <w:shd w:fill="FFFFFF" w:val="clear"/>
            <w:tcMar>
              <w:top w:type="dxa" w:w="70"/>
              <w:left w:type="dxa" w:w="120"/>
              <w:bottom w:type="dxa" w:w="70"/>
              <w:right w:type="dxa" w:w="120"/>
            </w:tcMar>
          </w:tcPr>
          <w:p>
            <w:r>
              <w:rPr>
                <w:sz w:val="19"/>
                <w:szCs w:val="19"/>
              </w:rPr>
              <w:t xml:space="preserve">U2</w:t>
            </w:r>
          </w:p>
        </w:tc>
      </w:tr>
      <w:tr>
        <w:trPr>
          <w:cantSplit/>
        </w:trPr>
        <w:tc>
          <w:tcPr>
            <w:tcW w:type="pct" w:w="1100"/>
            <w:shd w:fill="FAFCFD" w:val="clear"/>
            <w:tcMar>
              <w:top w:type="dxa" w:w="70"/>
              <w:left w:type="dxa" w:w="120"/>
              <w:bottom w:type="dxa" w:w="70"/>
              <w:right w:type="dxa" w:w="120"/>
            </w:tcMar>
          </w:tcPr>
          <w:p>
            <w:r>
              <w:rPr>
                <w:rFonts w:ascii="Consolas" w:cs="Consolas" w:eastAsia="Consolas" w:hAnsi="Consolas"/>
                <w:color w:val="1C3A5C"/>
                <w:sz w:val="19"/>
                <w:szCs w:val="19"/>
              </w:rPr>
              <w:t xml:space="preserve">sent_anormal</w:t>
            </w:r>
          </w:p>
        </w:tc>
        <w:tc>
          <w:tcPr>
            <w:tcW w:type="pct" w:w="600"/>
            <w:shd w:fill="FAFCFD" w:val="clear"/>
            <w:tcMar>
              <w:top w:type="dxa" w:w="70"/>
              <w:left w:type="dxa" w:w="120"/>
              <w:bottom w:type="dxa" w:w="70"/>
              <w:right w:type="dxa" w:w="120"/>
            </w:tcMar>
          </w:tcPr>
          <w:p>
            <w:r>
              <w:rPr>
                <w:sz w:val="19"/>
                <w:szCs w:val="19"/>
              </w:rPr>
              <w:t xml:space="preserve">ambos</w:t>
            </w:r>
          </w:p>
        </w:tc>
        <w:tc>
          <w:tcPr>
            <w:tcW w:type="pct" w:w="1700"/>
            <w:shd w:fill="FAFCFD" w:val="clear"/>
            <w:tcMar>
              <w:top w:type="dxa" w:w="70"/>
              <w:left w:type="dxa" w:w="120"/>
              <w:bottom w:type="dxa" w:w="70"/>
              <w:right w:type="dxa" w:w="120"/>
            </w:tcMar>
          </w:tcPr>
          <w:p>
            <w:r>
              <w:rPr>
                <w:sz w:val="19"/>
                <w:szCs w:val="19"/>
              </w:rPr>
              <w:t xml:space="preserve">Tono anormal: tono de la rueda − promedio del tono de las 20 ruedas previas. Variable de tono del VAR</w:t>
            </w:r>
          </w:p>
        </w:tc>
        <w:tc>
          <w:tcPr>
            <w:tcW w:type="pct" w:w="600"/>
            <w:shd w:fill="FAFCFD" w:val="clear"/>
            <w:tcMar>
              <w:top w:type="dxa" w:w="70"/>
              <w:left w:type="dxa" w:w="120"/>
              <w:bottom w:type="dxa" w:w="70"/>
              <w:right w:type="dxa" w:w="120"/>
            </w:tcMar>
          </w:tcPr>
          <w:p>
            <w:r>
              <w:rPr>
                <w:sz w:val="19"/>
                <w:szCs w:val="19"/>
              </w:rPr>
              <w:t xml:space="preserve">puntos (0 = habitual)</w:t>
            </w:r>
          </w:p>
        </w:tc>
        <w:tc>
          <w:tcPr>
            <w:tcW w:type="pct" w:w="1000"/>
            <w:shd w:fill="FAFCFD" w:val="clear"/>
            <w:tcMar>
              <w:top w:type="dxa" w:w="70"/>
              <w:left w:type="dxa" w:w="120"/>
              <w:bottom w:type="dxa" w:w="70"/>
              <w:right w:type="dxa" w:w="120"/>
            </w:tcMar>
          </w:tcPr>
          <w:p>
            <w:r>
              <w:rPr>
                <w:sz w:val="19"/>
                <w:szCs w:val="19"/>
              </w:rPr>
              <w:t xml:space="preserve">U4 (decisión de U5)</w:t>
            </w:r>
          </w:p>
        </w:tc>
      </w:tr>
      <w:tr>
        <w:trPr>
          <w:cantSplit/>
        </w:trPr>
        <w:tc>
          <w:tcPr>
            <w:tcW w:type="pct" w:w="1100"/>
            <w:shd w:fill="FFFFFF" w:val="clear"/>
            <w:tcMar>
              <w:top w:type="dxa" w:w="70"/>
              <w:left w:type="dxa" w:w="120"/>
              <w:bottom w:type="dxa" w:w="70"/>
              <w:right w:type="dxa" w:w="120"/>
            </w:tcMar>
          </w:tcPr>
          <w:p>
            <w:r>
              <w:rPr>
                <w:rFonts w:ascii="Consolas" w:cs="Consolas" w:eastAsia="Consolas" w:hAnsi="Consolas"/>
                <w:color w:val="1C3A5C"/>
                <w:sz w:val="19"/>
                <w:szCs w:val="19"/>
              </w:rPr>
              <w:t xml:space="preserve">sent_portal_anormal</w:t>
            </w:r>
          </w:p>
        </w:tc>
        <w:tc>
          <w:tcPr>
            <w:tcW w:type="pct" w:w="600"/>
            <w:shd w:fill="FFFFFF" w:val="clear"/>
            <w:tcMar>
              <w:top w:type="dxa" w:w="70"/>
              <w:left w:type="dxa" w:w="120"/>
              <w:bottom w:type="dxa" w:w="70"/>
              <w:right w:type="dxa" w:w="120"/>
            </w:tcMar>
          </w:tcPr>
          <w:p>
            <w:r>
              <w:rPr>
                <w:sz w:val="19"/>
                <w:szCs w:val="19"/>
              </w:rPr>
              <w:t xml:space="preserve">ambos</w:t>
            </w:r>
          </w:p>
        </w:tc>
        <w:tc>
          <w:tcPr>
            <w:tcW w:type="pct" w:w="1700"/>
            <w:shd w:fill="FFFFFF" w:val="clear"/>
            <w:tcMar>
              <w:top w:type="dxa" w:w="70"/>
              <w:left w:type="dxa" w:w="120"/>
              <w:bottom w:type="dxa" w:w="70"/>
              <w:right w:type="dxa" w:w="120"/>
            </w:tcMar>
          </w:tcPr>
          <w:p>
            <w:r>
              <w:rPr>
                <w:sz w:val="19"/>
                <w:szCs w:val="19"/>
              </w:rPr>
              <w:t xml:space="preserve">Lo mismo con el tono ajustado por portal</w:t>
            </w:r>
          </w:p>
        </w:tc>
        <w:tc>
          <w:tcPr>
            <w:tcW w:type="pct" w:w="600"/>
            <w:shd w:fill="FFFFFF" w:val="clear"/>
            <w:tcMar>
              <w:top w:type="dxa" w:w="70"/>
              <w:left w:type="dxa" w:w="120"/>
              <w:bottom w:type="dxa" w:w="70"/>
              <w:right w:type="dxa" w:w="120"/>
            </w:tcMar>
          </w:tcPr>
          <w:p>
            <w:r>
              <w:rPr>
                <w:sz w:val="19"/>
                <w:szCs w:val="19"/>
              </w:rPr>
              <w:t xml:space="preserve">puntos (0 = habitual)</w:t>
            </w:r>
          </w:p>
        </w:tc>
        <w:tc>
          <w:tcPr>
            <w:tcW w:type="pct" w:w="1000"/>
            <w:shd w:fill="FFFFFF" w:val="clear"/>
            <w:tcMar>
              <w:top w:type="dxa" w:w="70"/>
              <w:left w:type="dxa" w:w="120"/>
              <w:bottom w:type="dxa" w:w="70"/>
              <w:right w:type="dxa" w:w="120"/>
            </w:tcMar>
          </w:tcPr>
          <w:p>
            <w:r>
              <w:rPr>
                <w:sz w:val="19"/>
                <w:szCs w:val="19"/>
              </w:rPr>
              <w:t xml:space="preserve">U4 (decisión de U5)</w:t>
            </w:r>
          </w:p>
        </w:tc>
      </w:tr>
      <w:tr>
        <w:trPr>
          <w:cantSplit/>
        </w:trPr>
        <w:tc>
          <w:tcPr>
            <w:tcW w:type="pct" w:w="1100"/>
            <w:shd w:fill="FAFCFD" w:val="clear"/>
            <w:tcMar>
              <w:top w:type="dxa" w:w="70"/>
              <w:left w:type="dxa" w:w="120"/>
              <w:bottom w:type="dxa" w:w="70"/>
              <w:right w:type="dxa" w:w="120"/>
            </w:tcMar>
          </w:tcPr>
          <w:p>
            <w:r>
              <w:rPr>
                <w:rFonts w:ascii="Consolas" w:cs="Consolas" w:eastAsia="Consolas" w:hAnsi="Consolas"/>
                <w:color w:val="1C3A5C"/>
                <w:sz w:val="19"/>
                <w:szCs w:val="19"/>
              </w:rPr>
              <w:t xml:space="preserve">pct_pos, pct_neg, pct_neu, pct_mixto</w:t>
            </w:r>
          </w:p>
        </w:tc>
        <w:tc>
          <w:tcPr>
            <w:tcW w:type="pct" w:w="600"/>
            <w:shd w:fill="FAFCFD" w:val="clear"/>
            <w:tcMar>
              <w:top w:type="dxa" w:w="70"/>
              <w:left w:type="dxa" w:w="120"/>
              <w:bottom w:type="dxa" w:w="70"/>
              <w:right w:type="dxa" w:w="120"/>
            </w:tcMar>
          </w:tcPr>
          <w:p>
            <w:r>
              <w:rPr>
                <w:sz w:val="19"/>
                <w:szCs w:val="19"/>
              </w:rPr>
              <w:t xml:space="preserve">mercado</w:t>
            </w:r>
          </w:p>
        </w:tc>
        <w:tc>
          <w:tcPr>
            <w:tcW w:type="pct" w:w="1700"/>
            <w:shd w:fill="FAFCFD" w:val="clear"/>
            <w:tcMar>
              <w:top w:type="dxa" w:w="70"/>
              <w:left w:type="dxa" w:w="120"/>
              <w:bottom w:type="dxa" w:w="70"/>
              <w:right w:type="dxa" w:w="120"/>
            </w:tcMar>
          </w:tcPr>
          <w:p>
            <w:r>
              <w:rPr>
                <w:sz w:val="19"/>
                <w:szCs w:val="19"/>
              </w:rPr>
              <w:t xml:space="preserve">Porcentaje promedio de oraciones de cada clase en las notas de la rueda</w:t>
            </w:r>
          </w:p>
        </w:tc>
        <w:tc>
          <w:tcPr>
            <w:tcW w:type="pct" w:w="600"/>
            <w:shd w:fill="FAFCFD" w:val="clear"/>
            <w:tcMar>
              <w:top w:type="dxa" w:w="70"/>
              <w:left w:type="dxa" w:w="120"/>
              <w:bottom w:type="dxa" w:w="70"/>
              <w:right w:type="dxa" w:w="120"/>
            </w:tcMar>
          </w:tcPr>
          <w:p>
            <w:r>
              <w:rPr>
                <w:sz w:val="19"/>
                <w:szCs w:val="19"/>
              </w:rPr>
              <w:t xml:space="preserve">%</w:t>
            </w:r>
          </w:p>
        </w:tc>
        <w:tc>
          <w:tcPr>
            <w:tcW w:type="pct" w:w="1000"/>
            <w:shd w:fill="FAFCFD" w:val="clear"/>
            <w:tcMar>
              <w:top w:type="dxa" w:w="70"/>
              <w:left w:type="dxa" w:w="120"/>
              <w:bottom w:type="dxa" w:w="70"/>
              <w:right w:type="dxa" w:w="120"/>
            </w:tcMar>
          </w:tcPr>
          <w:p>
            <w:r>
              <w:rPr>
                <w:sz w:val="19"/>
                <w:szCs w:val="19"/>
              </w:rPr>
              <w:t xml:space="preserve">U2</w:t>
            </w:r>
          </w:p>
        </w:tc>
      </w:tr>
      <w:tr>
        <w:trPr>
          <w:cantSplit/>
        </w:trPr>
        <w:tc>
          <w:tcPr>
            <w:tcW w:type="pct" w:w="1100"/>
            <w:shd w:fill="FFFFFF" w:val="clear"/>
            <w:tcMar>
              <w:top w:type="dxa" w:w="70"/>
              <w:left w:type="dxa" w:w="120"/>
              <w:bottom w:type="dxa" w:w="70"/>
              <w:right w:type="dxa" w:w="120"/>
            </w:tcMar>
          </w:tcPr>
          <w:p>
            <w:r>
              <w:rPr>
                <w:rFonts w:ascii="Consolas" w:cs="Consolas" w:eastAsia="Consolas" w:hAnsi="Consolas"/>
                <w:color w:val="1C3A5C"/>
                <w:sz w:val="19"/>
                <w:szCs w:val="19"/>
              </w:rPr>
              <w:t xml:space="preserve">z_shock</w:t>
            </w:r>
          </w:p>
        </w:tc>
        <w:tc>
          <w:tcPr>
            <w:tcW w:type="pct" w:w="600"/>
            <w:shd w:fill="FFFFFF" w:val="clear"/>
            <w:tcMar>
              <w:top w:type="dxa" w:w="70"/>
              <w:left w:type="dxa" w:w="120"/>
              <w:bottom w:type="dxa" w:w="70"/>
              <w:right w:type="dxa" w:w="120"/>
            </w:tcMar>
          </w:tcPr>
          <w:p>
            <w:r>
              <w:rPr>
                <w:sz w:val="19"/>
                <w:szCs w:val="19"/>
              </w:rPr>
              <w:t xml:space="preserve">mercado</w:t>
            </w:r>
          </w:p>
        </w:tc>
        <w:tc>
          <w:tcPr>
            <w:tcW w:type="pct" w:w="1700"/>
            <w:shd w:fill="FFFFFF" w:val="clear"/>
            <w:tcMar>
              <w:top w:type="dxa" w:w="70"/>
              <w:left w:type="dxa" w:w="120"/>
              <w:bottom w:type="dxa" w:w="70"/>
              <w:right w:type="dxa" w:w="120"/>
            </w:tcMar>
          </w:tcPr>
          <w:p>
            <w:r>
              <w:rPr>
                <w:sz w:val="19"/>
                <w:szCs w:val="19"/>
              </w:rPr>
              <w:t xml:space="preserve">Distancia del tono a lo habitual, en veces el error esperable por la cantidad de notas</w:t>
            </w:r>
          </w:p>
        </w:tc>
        <w:tc>
          <w:tcPr>
            <w:tcW w:type="pct" w:w="600"/>
            <w:shd w:fill="FFFFFF" w:val="clear"/>
            <w:tcMar>
              <w:top w:type="dxa" w:w="70"/>
              <w:left w:type="dxa" w:w="120"/>
              <w:bottom w:type="dxa" w:w="70"/>
              <w:right w:type="dxa" w:w="120"/>
            </w:tcMar>
          </w:tcPr>
          <w:p>
            <w:r>
              <w:rPr>
                <w:sz w:val="19"/>
                <w:szCs w:val="19"/>
              </w:rPr>
              <w:t xml:space="preserve">veces</w:t>
            </w:r>
          </w:p>
        </w:tc>
        <w:tc>
          <w:tcPr>
            <w:tcW w:type="pct" w:w="1000"/>
            <w:shd w:fill="FFFFFF" w:val="clear"/>
            <w:tcMar>
              <w:top w:type="dxa" w:w="70"/>
              <w:left w:type="dxa" w:w="120"/>
              <w:bottom w:type="dxa" w:w="70"/>
              <w:right w:type="dxa" w:w="120"/>
            </w:tcMar>
          </w:tcPr>
          <w:p>
            <w:r>
              <w:rPr>
                <w:sz w:val="19"/>
                <w:szCs w:val="19"/>
              </w:rPr>
              <w:t xml:space="preserve">U2</w:t>
            </w:r>
          </w:p>
        </w:tc>
      </w:tr>
      <w:tr>
        <w:trPr>
          <w:cantSplit/>
        </w:trPr>
        <w:tc>
          <w:tcPr>
            <w:tcW w:type="pct" w:w="1100"/>
            <w:shd w:fill="FAFCFD" w:val="clear"/>
            <w:tcMar>
              <w:top w:type="dxa" w:w="70"/>
              <w:left w:type="dxa" w:w="120"/>
              <w:bottom w:type="dxa" w:w="70"/>
              <w:right w:type="dxa" w:w="120"/>
            </w:tcMar>
          </w:tcPr>
          <w:p>
            <w:r>
              <w:rPr>
                <w:rFonts w:ascii="Consolas" w:cs="Consolas" w:eastAsia="Consolas" w:hAnsi="Consolas"/>
                <w:color w:val="1C3A5C"/>
                <w:sz w:val="19"/>
                <w:szCs w:val="19"/>
              </w:rPr>
              <w:t xml:space="preserve">shock, shock_pos, shock_neg</w:t>
            </w:r>
          </w:p>
        </w:tc>
        <w:tc>
          <w:tcPr>
            <w:tcW w:type="pct" w:w="600"/>
            <w:shd w:fill="FAFCFD" w:val="clear"/>
            <w:tcMar>
              <w:top w:type="dxa" w:w="70"/>
              <w:left w:type="dxa" w:w="120"/>
              <w:bottom w:type="dxa" w:w="70"/>
              <w:right w:type="dxa" w:w="120"/>
            </w:tcMar>
          </w:tcPr>
          <w:p>
            <w:r>
              <w:rPr>
                <w:sz w:val="19"/>
                <w:szCs w:val="19"/>
              </w:rPr>
              <w:t xml:space="preserve">ambos</w:t>
            </w:r>
          </w:p>
        </w:tc>
        <w:tc>
          <w:tcPr>
            <w:tcW w:type="pct" w:w="1700"/>
            <w:shd w:fill="FAFCFD" w:val="clear"/>
            <w:tcMar>
              <w:top w:type="dxa" w:w="70"/>
              <w:left w:type="dxa" w:w="120"/>
              <w:bottom w:type="dxa" w:w="70"/>
              <w:right w:type="dxa" w:w="120"/>
            </w:tcMar>
          </w:tcPr>
          <w:p>
            <w:r>
              <w:rPr>
                <w:sz w:val="19"/>
                <w:szCs w:val="19"/>
              </w:rPr>
              <w:t xml:space="preserve">Rueda de tono extremo (|z| &gt; 2,5), total, positiva y negativa</w:t>
            </w:r>
          </w:p>
        </w:tc>
        <w:tc>
          <w:tcPr>
            <w:tcW w:type="pct" w:w="600"/>
            <w:shd w:fill="FAFCFD" w:val="clear"/>
            <w:tcMar>
              <w:top w:type="dxa" w:w="70"/>
              <w:left w:type="dxa" w:w="120"/>
              <w:bottom w:type="dxa" w:w="70"/>
              <w:right w:type="dxa" w:w="120"/>
            </w:tcMar>
          </w:tcPr>
          <w:p>
            <w:r>
              <w:rPr>
                <w:sz w:val="19"/>
                <w:szCs w:val="19"/>
              </w:rPr>
              <w:t xml:space="preserve">0/1</w:t>
            </w:r>
          </w:p>
        </w:tc>
        <w:tc>
          <w:tcPr>
            <w:tcW w:type="pct" w:w="1000"/>
            <w:shd w:fill="FAFCFD" w:val="clear"/>
            <w:tcMar>
              <w:top w:type="dxa" w:w="70"/>
              <w:left w:type="dxa" w:w="120"/>
              <w:bottom w:type="dxa" w:w="70"/>
              <w:right w:type="dxa" w:w="120"/>
            </w:tcMar>
          </w:tcPr>
          <w:p>
            <w:r>
              <w:rPr>
                <w:sz w:val="19"/>
                <w:szCs w:val="19"/>
              </w:rPr>
              <w:t xml:space="preserve">U2</w:t>
            </w:r>
          </w:p>
        </w:tc>
      </w:tr>
      <w:tr>
        <w:trPr>
          <w:cantSplit/>
        </w:trPr>
        <w:tc>
          <w:tcPr>
            <w:tcW w:type="pct" w:w="1100"/>
            <w:shd w:fill="FFFFFF" w:val="clear"/>
            <w:tcMar>
              <w:top w:type="dxa" w:w="70"/>
              <w:left w:type="dxa" w:w="120"/>
              <w:bottom w:type="dxa" w:w="70"/>
              <w:right w:type="dxa" w:w="120"/>
            </w:tcMar>
          </w:tcPr>
          <w:p>
            <w:r>
              <w:rPr>
                <w:rFonts w:ascii="Consolas" w:cs="Consolas" w:eastAsia="Consolas" w:hAnsi="Consolas"/>
                <w:color w:val="1C3A5C"/>
                <w:sz w:val="19"/>
                <w:szCs w:val="19"/>
              </w:rPr>
              <w:t xml:space="preserve">evento_id</w:t>
            </w:r>
          </w:p>
        </w:tc>
        <w:tc>
          <w:tcPr>
            <w:tcW w:type="pct" w:w="600"/>
            <w:shd w:fill="FFFFFF" w:val="clear"/>
            <w:tcMar>
              <w:top w:type="dxa" w:w="70"/>
              <w:left w:type="dxa" w:w="120"/>
              <w:bottom w:type="dxa" w:w="70"/>
              <w:right w:type="dxa" w:w="120"/>
            </w:tcMar>
          </w:tcPr>
          <w:p>
            <w:r>
              <w:rPr>
                <w:sz w:val="19"/>
                <w:szCs w:val="19"/>
              </w:rPr>
              <w:t xml:space="preserve">ambos</w:t>
            </w:r>
          </w:p>
        </w:tc>
        <w:tc>
          <w:tcPr>
            <w:tcW w:type="pct" w:w="1700"/>
            <w:shd w:fill="FFFFFF" w:val="clear"/>
            <w:tcMar>
              <w:top w:type="dxa" w:w="70"/>
              <w:left w:type="dxa" w:w="120"/>
              <w:bottom w:type="dxa" w:w="70"/>
              <w:right w:type="dxa" w:w="120"/>
            </w:tcMar>
          </w:tcPr>
          <w:p>
            <w:r>
              <w:rPr>
                <w:sz w:val="19"/>
                <w:szCs w:val="19"/>
              </w:rPr>
              <w:t xml:space="preserve">Número de evento (shocks del mismo signo en ruedas seguidas = un evento); 0 si no hay</w:t>
            </w:r>
          </w:p>
        </w:tc>
        <w:tc>
          <w:tcPr>
            <w:tcW w:type="pct" w:w="600"/>
            <w:shd w:fill="FFFFFF" w:val="clear"/>
            <w:tcMar>
              <w:top w:type="dxa" w:w="70"/>
              <w:left w:type="dxa" w:w="120"/>
              <w:bottom w:type="dxa" w:w="70"/>
              <w:right w:type="dxa" w:w="120"/>
            </w:tcMar>
          </w:tcPr>
          <w:p>
            <w:r>
              <w:rPr>
                <w:sz w:val="19"/>
                <w:szCs w:val="19"/>
              </w:rPr>
              <w:t xml:space="preserve">número</w:t>
            </w:r>
          </w:p>
        </w:tc>
        <w:tc>
          <w:tcPr>
            <w:tcW w:type="pct" w:w="1000"/>
            <w:shd w:fill="FFFFFF" w:val="clear"/>
            <w:tcMar>
              <w:top w:type="dxa" w:w="70"/>
              <w:left w:type="dxa" w:w="120"/>
              <w:bottom w:type="dxa" w:w="70"/>
              <w:right w:type="dxa" w:w="120"/>
            </w:tcMar>
          </w:tcPr>
          <w:p>
            <w:r>
              <w:rPr>
                <w:sz w:val="19"/>
                <w:szCs w:val="19"/>
              </w:rPr>
              <w:t xml:space="preserve">U2</w:t>
            </w:r>
          </w:p>
        </w:tc>
      </w:tr>
      <w:tr>
        <w:trPr>
          <w:cantSplit/>
        </w:trPr>
        <w:tc>
          <w:tcPr>
            <w:tcW w:type="pct" w:w="1100"/>
            <w:shd w:fill="FAFCFD" w:val="clear"/>
            <w:tcMar>
              <w:top w:type="dxa" w:w="70"/>
              <w:left w:type="dxa" w:w="120"/>
              <w:bottom w:type="dxa" w:w="70"/>
              <w:right w:type="dxa" w:w="120"/>
            </w:tcMar>
          </w:tcPr>
          <w:p>
            <w:r>
              <w:rPr>
                <w:rFonts w:ascii="Consolas" w:cs="Consolas" w:eastAsia="Consolas" w:hAnsi="Consolas"/>
                <w:color w:val="1C3A5C"/>
                <w:sz w:val="19"/>
                <w:szCs w:val="19"/>
              </w:rPr>
              <w:t xml:space="preserve">dia_electoral</w:t>
            </w:r>
          </w:p>
        </w:tc>
        <w:tc>
          <w:tcPr>
            <w:tcW w:type="pct" w:w="600"/>
            <w:shd w:fill="FAFCFD" w:val="clear"/>
            <w:tcMar>
              <w:top w:type="dxa" w:w="70"/>
              <w:left w:type="dxa" w:w="120"/>
              <w:bottom w:type="dxa" w:w="70"/>
              <w:right w:type="dxa" w:w="120"/>
            </w:tcMar>
          </w:tcPr>
          <w:p>
            <w:r>
              <w:rPr>
                <w:sz w:val="19"/>
                <w:szCs w:val="19"/>
              </w:rPr>
              <w:t xml:space="preserve">ambos</w:t>
            </w:r>
          </w:p>
        </w:tc>
        <w:tc>
          <w:tcPr>
            <w:tcW w:type="pct" w:w="1700"/>
            <w:shd w:fill="FAFCFD" w:val="clear"/>
            <w:tcMar>
              <w:top w:type="dxa" w:w="70"/>
              <w:left w:type="dxa" w:w="120"/>
              <w:bottom w:type="dxa" w:w="70"/>
              <w:right w:type="dxa" w:w="120"/>
            </w:tcMar>
          </w:tcPr>
          <w:p>
            <w:r>
              <w:rPr>
                <w:sz w:val="19"/>
                <w:szCs w:val="19"/>
              </w:rPr>
              <w:t xml:space="preserve">Rueda posterior a una elección (08/09/2025 y 27/10/2025)</w:t>
            </w:r>
          </w:p>
        </w:tc>
        <w:tc>
          <w:tcPr>
            <w:tcW w:type="pct" w:w="600"/>
            <w:shd w:fill="FAFCFD" w:val="clear"/>
            <w:tcMar>
              <w:top w:type="dxa" w:w="70"/>
              <w:left w:type="dxa" w:w="120"/>
              <w:bottom w:type="dxa" w:w="70"/>
              <w:right w:type="dxa" w:w="120"/>
            </w:tcMar>
          </w:tcPr>
          <w:p>
            <w:r>
              <w:rPr>
                <w:sz w:val="19"/>
                <w:szCs w:val="19"/>
              </w:rPr>
              <w:t xml:space="preserve">texto</w:t>
            </w:r>
          </w:p>
        </w:tc>
        <w:tc>
          <w:tcPr>
            <w:tcW w:type="pct" w:w="1000"/>
            <w:shd w:fill="FAFCFD" w:val="clear"/>
            <w:tcMar>
              <w:top w:type="dxa" w:w="70"/>
              <w:left w:type="dxa" w:w="120"/>
              <w:bottom w:type="dxa" w:w="70"/>
              <w:right w:type="dxa" w:w="120"/>
            </w:tcMar>
          </w:tcPr>
          <w:p>
            <w:r>
              <w:rPr>
                <w:sz w:val="19"/>
                <w:szCs w:val="19"/>
              </w:rPr>
              <w:t xml:space="preserve">U2</w:t>
            </w:r>
          </w:p>
        </w:tc>
      </w:tr>
      <w:tr>
        <w:trPr>
          <w:cantSplit/>
        </w:trPr>
        <w:tc>
          <w:tcPr>
            <w:tcW w:type="pct" w:w="1100"/>
            <w:shd w:fill="FFFFFF" w:val="clear"/>
            <w:tcMar>
              <w:top w:type="dxa" w:w="70"/>
              <w:left w:type="dxa" w:w="120"/>
              <w:bottom w:type="dxa" w:w="70"/>
              <w:right w:type="dxa" w:w="120"/>
            </w:tcMar>
          </w:tcPr>
          <w:p>
            <w:r>
              <w:rPr>
                <w:rFonts w:ascii="Consolas" w:cs="Consolas" w:eastAsia="Consolas" w:hAnsi="Consolas"/>
                <w:color w:val="1C3A5C"/>
                <w:sz w:val="19"/>
                <w:szCs w:val="19"/>
              </w:rPr>
              <w:t xml:space="preserve">eco_electoral</w:t>
            </w:r>
          </w:p>
        </w:tc>
        <w:tc>
          <w:tcPr>
            <w:tcW w:type="pct" w:w="600"/>
            <w:shd w:fill="FFFFFF" w:val="clear"/>
            <w:tcMar>
              <w:top w:type="dxa" w:w="70"/>
              <w:left w:type="dxa" w:w="120"/>
              <w:bottom w:type="dxa" w:w="70"/>
              <w:right w:type="dxa" w:w="120"/>
            </w:tcMar>
          </w:tcPr>
          <w:p>
            <w:r>
              <w:rPr>
                <w:sz w:val="19"/>
                <w:szCs w:val="19"/>
              </w:rPr>
              <w:t xml:space="preserve">ambos</w:t>
            </w:r>
          </w:p>
        </w:tc>
        <w:tc>
          <w:tcPr>
            <w:tcW w:type="pct" w:w="1700"/>
            <w:shd w:fill="FFFFFF" w:val="clear"/>
            <w:tcMar>
              <w:top w:type="dxa" w:w="70"/>
              <w:left w:type="dxa" w:w="120"/>
              <w:bottom w:type="dxa" w:w="70"/>
              <w:right w:type="dxa" w:w="120"/>
            </w:tcMar>
          </w:tcPr>
          <w:p>
            <w:r>
              <w:rPr>
                <w:sz w:val="19"/>
                <w:szCs w:val="19"/>
              </w:rPr>
              <w:t xml:space="preserve">Rueda dentro de las 20 posteriores a un día electoral (eco en el VIX y el régimen)</w:t>
            </w:r>
          </w:p>
        </w:tc>
        <w:tc>
          <w:tcPr>
            <w:tcW w:type="pct" w:w="600"/>
            <w:shd w:fill="FFFFFF" w:val="clear"/>
            <w:tcMar>
              <w:top w:type="dxa" w:w="70"/>
              <w:left w:type="dxa" w:w="120"/>
              <w:bottom w:type="dxa" w:w="70"/>
              <w:right w:type="dxa" w:w="120"/>
            </w:tcMar>
          </w:tcPr>
          <w:p>
            <w:r>
              <w:rPr>
                <w:sz w:val="19"/>
                <w:szCs w:val="19"/>
              </w:rPr>
              <w:t xml:space="preserve">0/1</w:t>
            </w:r>
          </w:p>
        </w:tc>
        <w:tc>
          <w:tcPr>
            <w:tcW w:type="pct" w:w="1000"/>
            <w:shd w:fill="FFFFFF" w:val="clear"/>
            <w:tcMar>
              <w:top w:type="dxa" w:w="70"/>
              <w:left w:type="dxa" w:w="120"/>
              <w:bottom w:type="dxa" w:w="70"/>
              <w:right w:type="dxa" w:w="120"/>
            </w:tcMar>
          </w:tcPr>
          <w:p>
            <w:r>
              <w:rPr>
                <w:sz w:val="19"/>
                <w:szCs w:val="19"/>
              </w:rPr>
              <w:t xml:space="preserve">U4</w:t>
            </w:r>
          </w:p>
        </w:tc>
      </w:tr>
      <w:tr>
        <w:trPr>
          <w:cantSplit/>
        </w:trPr>
        <w:tc>
          <w:tcPr>
            <w:tcW w:type="pct" w:w="1100"/>
            <w:shd w:fill="FAFCFD" w:val="clear"/>
            <w:tcMar>
              <w:top w:type="dxa" w:w="70"/>
              <w:left w:type="dxa" w:w="120"/>
              <w:bottom w:type="dxa" w:w="70"/>
              <w:right w:type="dxa" w:w="120"/>
            </w:tcMar>
          </w:tcPr>
          <w:p>
            <w:r>
              <w:rPr>
                <w:rFonts w:ascii="Consolas" w:cs="Consolas" w:eastAsia="Consolas" w:hAnsi="Consolas"/>
                <w:color w:val="1C3A5C"/>
                <w:sz w:val="19"/>
                <w:szCs w:val="19"/>
              </w:rPr>
              <w:t xml:space="preserve">abril_2026</w:t>
            </w:r>
          </w:p>
        </w:tc>
        <w:tc>
          <w:tcPr>
            <w:tcW w:type="pct" w:w="600"/>
            <w:shd w:fill="FAFCFD" w:val="clear"/>
            <w:tcMar>
              <w:top w:type="dxa" w:w="70"/>
              <w:left w:type="dxa" w:w="120"/>
              <w:bottom w:type="dxa" w:w="70"/>
              <w:right w:type="dxa" w:w="120"/>
            </w:tcMar>
          </w:tcPr>
          <w:p>
            <w:r>
              <w:rPr>
                <w:sz w:val="19"/>
                <w:szCs w:val="19"/>
              </w:rPr>
              <w:t xml:space="preserve">ambos</w:t>
            </w:r>
          </w:p>
        </w:tc>
        <w:tc>
          <w:tcPr>
            <w:tcW w:type="pct" w:w="1700"/>
            <w:shd w:fill="FAFCFD" w:val="clear"/>
            <w:tcMar>
              <w:top w:type="dxa" w:w="70"/>
              <w:left w:type="dxa" w:w="120"/>
              <w:bottom w:type="dxa" w:w="70"/>
              <w:right w:type="dxa" w:w="120"/>
            </w:tcMar>
          </w:tcPr>
          <w:p>
            <w:r>
              <w:rPr>
                <w:sz w:val="19"/>
                <w:szCs w:val="19"/>
              </w:rPr>
              <w:t xml:space="preserve">Rueda de abril de 2026 (hueco de iProfesional en el corpus)</w:t>
            </w:r>
          </w:p>
        </w:tc>
        <w:tc>
          <w:tcPr>
            <w:tcW w:type="pct" w:w="600"/>
            <w:shd w:fill="FAFCFD" w:val="clear"/>
            <w:tcMar>
              <w:top w:type="dxa" w:w="70"/>
              <w:left w:type="dxa" w:w="120"/>
              <w:bottom w:type="dxa" w:w="70"/>
              <w:right w:type="dxa" w:w="120"/>
            </w:tcMar>
          </w:tcPr>
          <w:p>
            <w:r>
              <w:rPr>
                <w:sz w:val="19"/>
                <w:szCs w:val="19"/>
              </w:rPr>
              <w:t xml:space="preserve">0/1</w:t>
            </w:r>
          </w:p>
        </w:tc>
        <w:tc>
          <w:tcPr>
            <w:tcW w:type="pct" w:w="1000"/>
            <w:shd w:fill="FAFCFD" w:val="clear"/>
            <w:tcMar>
              <w:top w:type="dxa" w:w="70"/>
              <w:left w:type="dxa" w:w="120"/>
              <w:bottom w:type="dxa" w:w="70"/>
              <w:right w:type="dxa" w:w="120"/>
            </w:tcMar>
          </w:tcPr>
          <w:p>
            <w:r>
              <w:rPr>
                <w:sz w:val="19"/>
                <w:szCs w:val="19"/>
              </w:rPr>
              <w:t xml:space="preserve">U4</w:t>
            </w:r>
          </w:p>
        </w:tc>
      </w:tr>
      <w:tr>
        <w:trPr>
          <w:cantSplit/>
        </w:trPr>
        <w:tc>
          <w:tcPr>
            <w:tcW w:type="pct" w:w="1100"/>
            <w:shd w:fill="FFFFFF" w:val="clear"/>
            <w:tcMar>
              <w:top w:type="dxa" w:w="70"/>
              <w:left w:type="dxa" w:w="120"/>
              <w:bottom w:type="dxa" w:w="70"/>
              <w:right w:type="dxa" w:w="120"/>
            </w:tcMar>
          </w:tcPr>
          <w:p>
            <w:r>
              <w:rPr>
                <w:rFonts w:ascii="Consolas" w:cs="Consolas" w:eastAsia="Consolas" w:hAnsi="Consolas"/>
                <w:color w:val="1C3A5C"/>
                <w:sz w:val="19"/>
                <w:szCs w:val="19"/>
              </w:rPr>
              <w:t xml:space="preserve">ticker, empresa, sector, oficial</w:t>
            </w:r>
          </w:p>
        </w:tc>
        <w:tc>
          <w:tcPr>
            <w:tcW w:type="pct" w:w="600"/>
            <w:shd w:fill="FFFFFF" w:val="clear"/>
            <w:tcMar>
              <w:top w:type="dxa" w:w="70"/>
              <w:left w:type="dxa" w:w="120"/>
              <w:bottom w:type="dxa" w:w="70"/>
              <w:right w:type="dxa" w:w="120"/>
            </w:tcMar>
          </w:tcPr>
          <w:p>
            <w:r>
              <w:rPr>
                <w:sz w:val="19"/>
                <w:szCs w:val="19"/>
              </w:rPr>
              <w:t xml:space="preserve">panel</w:t>
            </w:r>
          </w:p>
        </w:tc>
        <w:tc>
          <w:tcPr>
            <w:tcW w:type="pct" w:w="1700"/>
            <w:shd w:fill="FFFFFF" w:val="clear"/>
            <w:tcMar>
              <w:top w:type="dxa" w:w="70"/>
              <w:left w:type="dxa" w:w="120"/>
              <w:bottom w:type="dxa" w:w="70"/>
              <w:right w:type="dxa" w:w="120"/>
            </w:tcMar>
          </w:tcPr>
          <w:p>
            <w:r>
              <w:rPr>
                <w:sz w:val="19"/>
                <w:szCs w:val="19"/>
              </w:rPr>
              <w:t xml:space="preserve">Identificación de la acción; oficial = está en el S&amp;P Merval</w:t>
            </w:r>
          </w:p>
        </w:tc>
        <w:tc>
          <w:tcPr>
            <w:tcW w:type="pct" w:w="600"/>
            <w:shd w:fill="FFFFFF" w:val="clear"/>
            <w:tcMar>
              <w:top w:type="dxa" w:w="70"/>
              <w:left w:type="dxa" w:w="120"/>
              <w:bottom w:type="dxa" w:w="70"/>
              <w:right w:type="dxa" w:w="120"/>
            </w:tcMar>
          </w:tcPr>
          <w:p>
            <w:r>
              <w:rPr>
                <w:sz w:val="19"/>
                <w:szCs w:val="19"/>
              </w:rPr>
              <w:t xml:space="preserve">texto</w:t>
            </w:r>
          </w:p>
        </w:tc>
        <w:tc>
          <w:tcPr>
            <w:tcW w:type="pct" w:w="1000"/>
            <w:shd w:fill="FFFFFF" w:val="clear"/>
            <w:tcMar>
              <w:top w:type="dxa" w:w="70"/>
              <w:left w:type="dxa" w:w="120"/>
              <w:bottom w:type="dxa" w:w="70"/>
              <w:right w:type="dxa" w:w="120"/>
            </w:tcMar>
          </w:tcPr>
          <w:p>
            <w:r>
              <w:rPr>
                <w:sz w:val="19"/>
                <w:szCs w:val="19"/>
              </w:rPr>
              <w:t xml:space="preserve">Lado Bursatil/01_scraping_acciones</w:t>
            </w:r>
          </w:p>
        </w:tc>
      </w:tr>
      <w:tr>
        <w:trPr>
          <w:cantSplit/>
        </w:trPr>
        <w:tc>
          <w:tcPr>
            <w:tcW w:type="pct" w:w="1100"/>
            <w:shd w:fill="FAFCFD" w:val="clear"/>
            <w:tcMar>
              <w:top w:type="dxa" w:w="70"/>
              <w:left w:type="dxa" w:w="120"/>
              <w:bottom w:type="dxa" w:w="70"/>
              <w:right w:type="dxa" w:w="120"/>
            </w:tcMar>
          </w:tcPr>
          <w:p>
            <w:r>
              <w:rPr>
                <w:rFonts w:ascii="Consolas" w:cs="Consolas" w:eastAsia="Consolas" w:hAnsi="Consolas"/>
                <w:color w:val="1C3A5C"/>
                <w:sz w:val="19"/>
                <w:szCs w:val="19"/>
              </w:rPr>
              <w:t xml:space="preserve">grupo_baja_liquidez</w:t>
            </w:r>
          </w:p>
        </w:tc>
        <w:tc>
          <w:tcPr>
            <w:tcW w:type="pct" w:w="600"/>
            <w:shd w:fill="FAFCFD" w:val="clear"/>
            <w:tcMar>
              <w:top w:type="dxa" w:w="70"/>
              <w:left w:type="dxa" w:w="120"/>
              <w:bottom w:type="dxa" w:w="70"/>
              <w:right w:type="dxa" w:w="120"/>
            </w:tcMar>
          </w:tcPr>
          <w:p>
            <w:r>
              <w:rPr>
                <w:sz w:val="19"/>
                <w:szCs w:val="19"/>
              </w:rPr>
              <w:t xml:space="preserve">panel</w:t>
            </w:r>
          </w:p>
        </w:tc>
        <w:tc>
          <w:tcPr>
            <w:tcW w:type="pct" w:w="1700"/>
            <w:shd w:fill="FAFCFD" w:val="clear"/>
            <w:tcMar>
              <w:top w:type="dxa" w:w="70"/>
              <w:left w:type="dxa" w:w="120"/>
              <w:bottom w:type="dxa" w:w="70"/>
              <w:right w:type="dxa" w:w="120"/>
            </w:tcMar>
          </w:tcPr>
          <w:p>
            <w:r>
              <w:rPr>
                <w:sz w:val="19"/>
                <w:szCs w:val="19"/>
              </w:rPr>
              <w:t xml:space="preserve">Integra el grupo de 8 del clustering, explicado por baja liquidez</w:t>
            </w:r>
          </w:p>
        </w:tc>
        <w:tc>
          <w:tcPr>
            <w:tcW w:type="pct" w:w="600"/>
            <w:shd w:fill="FAFCFD" w:val="clear"/>
            <w:tcMar>
              <w:top w:type="dxa" w:w="70"/>
              <w:left w:type="dxa" w:w="120"/>
              <w:bottom w:type="dxa" w:w="70"/>
              <w:right w:type="dxa" w:w="120"/>
            </w:tcMar>
          </w:tcPr>
          <w:p>
            <w:r>
              <w:rPr>
                <w:sz w:val="19"/>
                <w:szCs w:val="19"/>
              </w:rPr>
              <w:t xml:space="preserve">0/1</w:t>
            </w:r>
          </w:p>
        </w:tc>
        <w:tc>
          <w:tcPr>
            <w:tcW w:type="pct" w:w="1000"/>
            <w:shd w:fill="FAFCFD" w:val="clear"/>
            <w:tcMar>
              <w:top w:type="dxa" w:w="70"/>
              <w:left w:type="dxa" w:w="120"/>
              <w:bottom w:type="dxa" w:w="70"/>
              <w:right w:type="dxa" w:w="120"/>
            </w:tcMar>
          </w:tcPr>
          <w:p>
            <w:r>
              <w:rPr>
                <w:sz w:val="19"/>
                <w:szCs w:val="19"/>
              </w:rPr>
              <w:t xml:space="preserve">Lado Bursatil/02_clustering_acciones</w:t>
            </w:r>
          </w:p>
        </w:tc>
      </w:tr>
      <w:tr>
        <w:trPr>
          <w:cantSplit/>
        </w:trPr>
        <w:tc>
          <w:tcPr>
            <w:tcW w:type="pct" w:w="1100"/>
            <w:shd w:fill="FFFFFF" w:val="clear"/>
            <w:tcMar>
              <w:top w:type="dxa" w:w="70"/>
              <w:left w:type="dxa" w:w="120"/>
              <w:bottom w:type="dxa" w:w="70"/>
              <w:right w:type="dxa" w:w="120"/>
            </w:tcMar>
          </w:tcPr>
          <w:p>
            <w:r>
              <w:rPr>
                <w:rFonts w:ascii="Consolas" w:cs="Consolas" w:eastAsia="Consolas" w:hAnsi="Consolas"/>
                <w:color w:val="1C3A5C"/>
                <w:sz w:val="19"/>
                <w:szCs w:val="19"/>
              </w:rPr>
              <w:t xml:space="preserve">cuatro_iliquidas</w:t>
            </w:r>
          </w:p>
        </w:tc>
        <w:tc>
          <w:tcPr>
            <w:tcW w:type="pct" w:w="600"/>
            <w:shd w:fill="FFFFFF" w:val="clear"/>
            <w:tcMar>
              <w:top w:type="dxa" w:w="70"/>
              <w:left w:type="dxa" w:w="120"/>
              <w:bottom w:type="dxa" w:w="70"/>
              <w:right w:type="dxa" w:w="120"/>
            </w:tcMar>
          </w:tcPr>
          <w:p>
            <w:r>
              <w:rPr>
                <w:sz w:val="19"/>
                <w:szCs w:val="19"/>
              </w:rPr>
              <w:t xml:space="preserve">panel</w:t>
            </w:r>
          </w:p>
        </w:tc>
        <w:tc>
          <w:tcPr>
            <w:tcW w:type="pct" w:w="1700"/>
            <w:shd w:fill="FFFFFF" w:val="clear"/>
            <w:tcMar>
              <w:top w:type="dxa" w:w="70"/>
              <w:left w:type="dxa" w:w="120"/>
              <w:bottom w:type="dxa" w:w="70"/>
              <w:right w:type="dxa" w:w="120"/>
            </w:tcMar>
          </w:tcPr>
          <w:p>
            <w:r>
              <w:rPr>
                <w:sz w:val="19"/>
                <w:szCs w:val="19"/>
              </w:rPr>
              <w:t xml:space="preserve">Es una de las 4 acciones con más días sin operar (GCDI, RIGO, GRIM, GARO)</w:t>
            </w:r>
          </w:p>
        </w:tc>
        <w:tc>
          <w:tcPr>
            <w:tcW w:type="pct" w:w="600"/>
            <w:shd w:fill="FFFFFF" w:val="clear"/>
            <w:tcMar>
              <w:top w:type="dxa" w:w="70"/>
              <w:left w:type="dxa" w:w="120"/>
              <w:bottom w:type="dxa" w:w="70"/>
              <w:right w:type="dxa" w:w="120"/>
            </w:tcMar>
          </w:tcPr>
          <w:p>
            <w:r>
              <w:rPr>
                <w:sz w:val="19"/>
                <w:szCs w:val="19"/>
              </w:rPr>
              <w:t xml:space="preserve">0/1</w:t>
            </w:r>
          </w:p>
        </w:tc>
        <w:tc>
          <w:tcPr>
            <w:tcW w:type="pct" w:w="1000"/>
            <w:shd w:fill="FFFFFF" w:val="clear"/>
            <w:tcMar>
              <w:top w:type="dxa" w:w="70"/>
              <w:left w:type="dxa" w:w="120"/>
              <w:bottom w:type="dxa" w:w="70"/>
              <w:right w:type="dxa" w:w="120"/>
            </w:tcMar>
          </w:tcPr>
          <w:p>
            <w:r>
              <w:rPr>
                <w:sz w:val="19"/>
                <w:szCs w:val="19"/>
              </w:rPr>
              <w:t xml:space="preserve">Lado Bursatil/02_clustering_acciones</w:t>
            </w:r>
          </w:p>
        </w:tc>
      </w:tr>
      <w:tr>
        <w:trPr>
          <w:cantSplit/>
        </w:trPr>
        <w:tc>
          <w:tcPr>
            <w:tcW w:type="pct" w:w="1100"/>
            <w:shd w:fill="FAFCFD" w:val="clear"/>
            <w:tcMar>
              <w:top w:type="dxa" w:w="70"/>
              <w:left w:type="dxa" w:w="120"/>
              <w:bottom w:type="dxa" w:w="70"/>
              <w:right w:type="dxa" w:w="120"/>
            </w:tcMar>
          </w:tcPr>
          <w:p>
            <w:r>
              <w:rPr>
                <w:rFonts w:ascii="Consolas" w:cs="Consolas" w:eastAsia="Consolas" w:hAnsi="Consolas"/>
                <w:color w:val="1C3A5C"/>
                <w:sz w:val="19"/>
                <w:szCs w:val="19"/>
              </w:rPr>
              <w:t xml:space="preserve">cierre</w:t>
            </w:r>
          </w:p>
        </w:tc>
        <w:tc>
          <w:tcPr>
            <w:tcW w:type="pct" w:w="600"/>
            <w:shd w:fill="FAFCFD" w:val="clear"/>
            <w:tcMar>
              <w:top w:type="dxa" w:w="70"/>
              <w:left w:type="dxa" w:w="120"/>
              <w:bottom w:type="dxa" w:w="70"/>
              <w:right w:type="dxa" w:w="120"/>
            </w:tcMar>
          </w:tcPr>
          <w:p>
            <w:r>
              <w:rPr>
                <w:sz w:val="19"/>
                <w:szCs w:val="19"/>
              </w:rPr>
              <w:t xml:space="preserve">panel</w:t>
            </w:r>
          </w:p>
        </w:tc>
        <w:tc>
          <w:tcPr>
            <w:tcW w:type="pct" w:w="1700"/>
            <w:shd w:fill="FAFCFD" w:val="clear"/>
            <w:tcMar>
              <w:top w:type="dxa" w:w="70"/>
              <w:left w:type="dxa" w:w="120"/>
              <w:bottom w:type="dxa" w:w="70"/>
              <w:right w:type="dxa" w:w="120"/>
            </w:tcMar>
          </w:tcPr>
          <w:p>
            <w:r>
              <w:rPr>
                <w:sz w:val="19"/>
                <w:szCs w:val="19"/>
              </w:rPr>
              <w:t xml:space="preserve">Precio de cierre ajustado</w:t>
            </w:r>
          </w:p>
        </w:tc>
        <w:tc>
          <w:tcPr>
            <w:tcW w:type="pct" w:w="600"/>
            <w:shd w:fill="FAFCFD" w:val="clear"/>
            <w:tcMar>
              <w:top w:type="dxa" w:w="70"/>
              <w:left w:type="dxa" w:w="120"/>
              <w:bottom w:type="dxa" w:w="70"/>
              <w:right w:type="dxa" w:w="120"/>
            </w:tcMar>
          </w:tcPr>
          <w:p>
            <w:r>
              <w:rPr>
                <w:sz w:val="19"/>
                <w:szCs w:val="19"/>
              </w:rPr>
              <w:t xml:space="preserve">pesos</w:t>
            </w:r>
          </w:p>
        </w:tc>
        <w:tc>
          <w:tcPr>
            <w:tcW w:type="pct" w:w="1000"/>
            <w:shd w:fill="FAFCFD" w:val="clear"/>
            <w:tcMar>
              <w:top w:type="dxa" w:w="70"/>
              <w:left w:type="dxa" w:w="120"/>
              <w:bottom w:type="dxa" w:w="70"/>
              <w:right w:type="dxa" w:w="120"/>
            </w:tcMar>
          </w:tcPr>
          <w:p>
            <w:r>
              <w:rPr>
                <w:sz w:val="19"/>
                <w:szCs w:val="19"/>
              </w:rPr>
              <w:t xml:space="preserve">Lado Bursatil/01_scraping_acciones</w:t>
            </w:r>
          </w:p>
        </w:tc>
      </w:tr>
      <w:tr>
        <w:trPr>
          <w:cantSplit/>
        </w:trPr>
        <w:tc>
          <w:tcPr>
            <w:tcW w:type="pct" w:w="1100"/>
            <w:shd w:fill="FFFFFF" w:val="clear"/>
            <w:tcMar>
              <w:top w:type="dxa" w:w="70"/>
              <w:left w:type="dxa" w:w="120"/>
              <w:bottom w:type="dxa" w:w="70"/>
              <w:right w:type="dxa" w:w="120"/>
            </w:tcMar>
          </w:tcPr>
          <w:p>
            <w:r>
              <w:rPr>
                <w:rFonts w:ascii="Consolas" w:cs="Consolas" w:eastAsia="Consolas" w:hAnsi="Consolas"/>
                <w:color w:val="1C3A5C"/>
                <w:sz w:val="19"/>
                <w:szCs w:val="19"/>
              </w:rPr>
              <w:t xml:space="preserve">retorno</w:t>
            </w:r>
          </w:p>
        </w:tc>
        <w:tc>
          <w:tcPr>
            <w:tcW w:type="pct" w:w="600"/>
            <w:shd w:fill="FFFFFF" w:val="clear"/>
            <w:tcMar>
              <w:top w:type="dxa" w:w="70"/>
              <w:left w:type="dxa" w:w="120"/>
              <w:bottom w:type="dxa" w:w="70"/>
              <w:right w:type="dxa" w:w="120"/>
            </w:tcMar>
          </w:tcPr>
          <w:p>
            <w:r>
              <w:rPr>
                <w:sz w:val="19"/>
                <w:szCs w:val="19"/>
              </w:rPr>
              <w:t xml:space="preserve">panel</w:t>
            </w:r>
          </w:p>
        </w:tc>
        <w:tc>
          <w:tcPr>
            <w:tcW w:type="pct" w:w="1700"/>
            <w:shd w:fill="FFFFFF" w:val="clear"/>
            <w:tcMar>
              <w:top w:type="dxa" w:w="70"/>
              <w:left w:type="dxa" w:w="120"/>
              <w:bottom w:type="dxa" w:w="70"/>
              <w:right w:type="dxa" w:w="120"/>
            </w:tcMar>
          </w:tcPr>
          <w:p>
            <w:r>
              <w:rPr>
                <w:sz w:val="19"/>
                <w:szCs w:val="19"/>
              </w:rPr>
              <w:t xml:space="preserve">Retorno diario de la acción (pct_change sobre la serie completa)</w:t>
            </w:r>
          </w:p>
        </w:tc>
        <w:tc>
          <w:tcPr>
            <w:tcW w:type="pct" w:w="600"/>
            <w:shd w:fill="FFFFFF" w:val="clear"/>
            <w:tcMar>
              <w:top w:type="dxa" w:w="70"/>
              <w:left w:type="dxa" w:w="120"/>
              <w:bottom w:type="dxa" w:w="70"/>
              <w:right w:type="dxa" w:w="120"/>
            </w:tcMar>
          </w:tcPr>
          <w:p>
            <w:r>
              <w:rPr>
                <w:sz w:val="19"/>
                <w:szCs w:val="19"/>
              </w:rPr>
              <w:t xml:space="preserve">proporción</w:t>
            </w:r>
          </w:p>
        </w:tc>
        <w:tc>
          <w:tcPr>
            <w:tcW w:type="pct" w:w="1000"/>
            <w:shd w:fill="FFFFFF" w:val="clear"/>
            <w:tcMar>
              <w:top w:type="dxa" w:w="70"/>
              <w:left w:type="dxa" w:w="120"/>
              <w:bottom w:type="dxa" w:w="70"/>
              <w:right w:type="dxa" w:w="120"/>
            </w:tcMar>
          </w:tcPr>
          <w:p>
            <w:r>
              <w:rPr>
                <w:sz w:val="19"/>
                <w:szCs w:val="19"/>
              </w:rPr>
              <w:t xml:space="preserve">U4 (misma definición que la carpeta 04)</w:t>
            </w:r>
          </w:p>
        </w:tc>
      </w:tr>
      <w:tr>
        <w:trPr>
          <w:cantSplit/>
        </w:trPr>
        <w:tc>
          <w:tcPr>
            <w:tcW w:type="pct" w:w="1100"/>
            <w:shd w:fill="FAFCFD" w:val="clear"/>
            <w:tcMar>
              <w:top w:type="dxa" w:w="70"/>
              <w:left w:type="dxa" w:w="120"/>
              <w:bottom w:type="dxa" w:w="70"/>
              <w:right w:type="dxa" w:w="120"/>
            </w:tcMar>
          </w:tcPr>
          <w:p>
            <w:r>
              <w:rPr>
                <w:rFonts w:ascii="Consolas" w:cs="Consolas" w:eastAsia="Consolas" w:hAnsi="Consolas"/>
                <w:color w:val="1C3A5C"/>
                <w:sz w:val="19"/>
                <w:szCs w:val="19"/>
              </w:rPr>
              <w:t xml:space="preserve">volumen</w:t>
            </w:r>
          </w:p>
        </w:tc>
        <w:tc>
          <w:tcPr>
            <w:tcW w:type="pct" w:w="600"/>
            <w:shd w:fill="FAFCFD" w:val="clear"/>
            <w:tcMar>
              <w:top w:type="dxa" w:w="70"/>
              <w:left w:type="dxa" w:w="120"/>
              <w:bottom w:type="dxa" w:w="70"/>
              <w:right w:type="dxa" w:w="120"/>
            </w:tcMar>
          </w:tcPr>
          <w:p>
            <w:r>
              <w:rPr>
                <w:sz w:val="19"/>
                <w:szCs w:val="19"/>
              </w:rPr>
              <w:t xml:space="preserve">panel</w:t>
            </w:r>
          </w:p>
        </w:tc>
        <w:tc>
          <w:tcPr>
            <w:tcW w:type="pct" w:w="1700"/>
            <w:shd w:fill="FAFCFD" w:val="clear"/>
            <w:tcMar>
              <w:top w:type="dxa" w:w="70"/>
              <w:left w:type="dxa" w:w="120"/>
              <w:bottom w:type="dxa" w:w="70"/>
              <w:right w:type="dxa" w:w="120"/>
            </w:tcMar>
          </w:tcPr>
          <w:p>
            <w:r>
              <w:rPr>
                <w:sz w:val="19"/>
                <w:szCs w:val="19"/>
              </w:rPr>
              <w:t xml:space="preserve">Acciones operadas en la rueda</w:t>
            </w:r>
          </w:p>
        </w:tc>
        <w:tc>
          <w:tcPr>
            <w:tcW w:type="pct" w:w="600"/>
            <w:shd w:fill="FAFCFD" w:val="clear"/>
            <w:tcMar>
              <w:top w:type="dxa" w:w="70"/>
              <w:left w:type="dxa" w:w="120"/>
              <w:bottom w:type="dxa" w:w="70"/>
              <w:right w:type="dxa" w:w="120"/>
            </w:tcMar>
          </w:tcPr>
          <w:p>
            <w:r>
              <w:rPr>
                <w:sz w:val="19"/>
                <w:szCs w:val="19"/>
              </w:rPr>
              <w:t xml:space="preserve">acciones</w:t>
            </w:r>
          </w:p>
        </w:tc>
        <w:tc>
          <w:tcPr>
            <w:tcW w:type="pct" w:w="1000"/>
            <w:shd w:fill="FAFCFD" w:val="clear"/>
            <w:tcMar>
              <w:top w:type="dxa" w:w="70"/>
              <w:left w:type="dxa" w:w="120"/>
              <w:bottom w:type="dxa" w:w="70"/>
              <w:right w:type="dxa" w:w="120"/>
            </w:tcMar>
          </w:tcPr>
          <w:p>
            <w:r>
              <w:rPr>
                <w:sz w:val="19"/>
                <w:szCs w:val="19"/>
              </w:rPr>
              <w:t xml:space="preserve">Lado Bursatil/01_scraping_acciones</w:t>
            </w:r>
          </w:p>
        </w:tc>
      </w:tr>
      <w:tr>
        <w:trPr>
          <w:cantSplit/>
        </w:trPr>
        <w:tc>
          <w:tcPr>
            <w:tcW w:type="pct" w:w="1100"/>
            <w:shd w:fill="FFFFFF" w:val="clear"/>
            <w:tcMar>
              <w:top w:type="dxa" w:w="70"/>
              <w:left w:type="dxa" w:w="120"/>
              <w:bottom w:type="dxa" w:w="70"/>
              <w:right w:type="dxa" w:w="120"/>
            </w:tcMar>
          </w:tcPr>
          <w:p>
            <w:r>
              <w:rPr>
                <w:rFonts w:ascii="Consolas" w:cs="Consolas" w:eastAsia="Consolas" w:hAnsi="Consolas"/>
                <w:color w:val="1C3A5C"/>
                <w:sz w:val="19"/>
                <w:szCs w:val="19"/>
              </w:rPr>
              <w:t xml:space="preserve">monto</w:t>
            </w:r>
          </w:p>
        </w:tc>
        <w:tc>
          <w:tcPr>
            <w:tcW w:type="pct" w:w="600"/>
            <w:shd w:fill="FFFFFF" w:val="clear"/>
            <w:tcMar>
              <w:top w:type="dxa" w:w="70"/>
              <w:left w:type="dxa" w:w="120"/>
              <w:bottom w:type="dxa" w:w="70"/>
              <w:right w:type="dxa" w:w="120"/>
            </w:tcMar>
          </w:tcPr>
          <w:p>
            <w:r>
              <w:rPr>
                <w:sz w:val="19"/>
                <w:szCs w:val="19"/>
              </w:rPr>
              <w:t xml:space="preserve">panel</w:t>
            </w:r>
          </w:p>
        </w:tc>
        <w:tc>
          <w:tcPr>
            <w:tcW w:type="pct" w:w="1700"/>
            <w:shd w:fill="FFFFFF" w:val="clear"/>
            <w:tcMar>
              <w:top w:type="dxa" w:w="70"/>
              <w:left w:type="dxa" w:w="120"/>
              <w:bottom w:type="dxa" w:w="70"/>
              <w:right w:type="dxa" w:w="120"/>
            </w:tcMar>
          </w:tcPr>
          <w:p>
            <w:r>
              <w:rPr>
                <w:sz w:val="19"/>
                <w:szCs w:val="19"/>
              </w:rPr>
              <w:t xml:space="preserve">Cierre × volumen</w:t>
            </w:r>
          </w:p>
        </w:tc>
        <w:tc>
          <w:tcPr>
            <w:tcW w:type="pct" w:w="600"/>
            <w:shd w:fill="FFFFFF" w:val="clear"/>
            <w:tcMar>
              <w:top w:type="dxa" w:w="70"/>
              <w:left w:type="dxa" w:w="120"/>
              <w:bottom w:type="dxa" w:w="70"/>
              <w:right w:type="dxa" w:w="120"/>
            </w:tcMar>
          </w:tcPr>
          <w:p>
            <w:r>
              <w:rPr>
                <w:sz w:val="19"/>
                <w:szCs w:val="19"/>
              </w:rPr>
              <w:t xml:space="preserve">pesos</w:t>
            </w:r>
          </w:p>
        </w:tc>
        <w:tc>
          <w:tcPr>
            <w:tcW w:type="pct" w:w="1000"/>
            <w:shd w:fill="FFFFFF" w:val="clear"/>
            <w:tcMar>
              <w:top w:type="dxa" w:w="70"/>
              <w:left w:type="dxa" w:w="120"/>
              <w:bottom w:type="dxa" w:w="70"/>
              <w:right w:type="dxa" w:w="120"/>
            </w:tcMar>
          </w:tcPr>
          <w:p>
            <w:r>
              <w:rPr>
                <w:sz w:val="19"/>
                <w:szCs w:val="19"/>
              </w:rPr>
              <w:t xml:space="preserve">U4</w:t>
            </w:r>
          </w:p>
        </w:tc>
      </w:tr>
      <w:tr>
        <w:trPr>
          <w:cantSplit/>
        </w:trPr>
        <w:tc>
          <w:tcPr>
            <w:tcW w:type="pct" w:w="1100"/>
            <w:shd w:fill="FAFCFD" w:val="clear"/>
            <w:tcMar>
              <w:top w:type="dxa" w:w="70"/>
              <w:left w:type="dxa" w:w="120"/>
              <w:bottom w:type="dxa" w:w="70"/>
              <w:right w:type="dxa" w:w="120"/>
            </w:tcMar>
          </w:tcPr>
          <w:p>
            <w:r>
              <w:rPr>
                <w:rFonts w:ascii="Consolas" w:cs="Consolas" w:eastAsia="Consolas" w:hAnsi="Consolas"/>
                <w:color w:val="1C3A5C"/>
                <w:sz w:val="19"/>
                <w:szCs w:val="19"/>
              </w:rPr>
              <w:t xml:space="preserve">vol_anormal</w:t>
            </w:r>
          </w:p>
        </w:tc>
        <w:tc>
          <w:tcPr>
            <w:tcW w:type="pct" w:w="600"/>
            <w:shd w:fill="FAFCFD" w:val="clear"/>
            <w:tcMar>
              <w:top w:type="dxa" w:w="70"/>
              <w:left w:type="dxa" w:w="120"/>
              <w:bottom w:type="dxa" w:w="70"/>
              <w:right w:type="dxa" w:w="120"/>
            </w:tcMar>
          </w:tcPr>
          <w:p>
            <w:r>
              <w:rPr>
                <w:sz w:val="19"/>
                <w:szCs w:val="19"/>
              </w:rPr>
              <w:t xml:space="preserve">panel</w:t>
            </w:r>
          </w:p>
        </w:tc>
        <w:tc>
          <w:tcPr>
            <w:tcW w:type="pct" w:w="1700"/>
            <w:shd w:fill="FAFCFD" w:val="clear"/>
            <w:tcMar>
              <w:top w:type="dxa" w:w="70"/>
              <w:left w:type="dxa" w:w="120"/>
              <w:bottom w:type="dxa" w:w="70"/>
              <w:right w:type="dxa" w:w="120"/>
            </w:tcMar>
          </w:tcPr>
          <w:p>
            <w:r>
              <w:rPr>
                <w:sz w:val="19"/>
                <w:szCs w:val="19"/>
              </w:rPr>
              <w:t xml:space="preserve">log(1 + volumen) − promedio de log(1 + volumen) de las 20 ruedas previas</w:t>
            </w:r>
          </w:p>
        </w:tc>
        <w:tc>
          <w:tcPr>
            <w:tcW w:type="pct" w:w="600"/>
            <w:shd w:fill="FAFCFD" w:val="clear"/>
            <w:tcMar>
              <w:top w:type="dxa" w:w="70"/>
              <w:left w:type="dxa" w:w="120"/>
              <w:bottom w:type="dxa" w:w="70"/>
              <w:right w:type="dxa" w:w="120"/>
            </w:tcMar>
          </w:tcPr>
          <w:p>
            <w:r>
              <w:rPr>
                <w:sz w:val="19"/>
                <w:szCs w:val="19"/>
              </w:rPr>
              <w:t xml:space="preserve">log (0 = habitual)</w:t>
            </w:r>
          </w:p>
        </w:tc>
        <w:tc>
          <w:tcPr>
            <w:tcW w:type="pct" w:w="1000"/>
            <w:shd w:fill="FAFCFD" w:val="clear"/>
            <w:tcMar>
              <w:top w:type="dxa" w:w="70"/>
              <w:left w:type="dxa" w:w="120"/>
              <w:bottom w:type="dxa" w:w="70"/>
              <w:right w:type="dxa" w:w="120"/>
            </w:tcMar>
          </w:tcPr>
          <w:p>
            <w:r>
              <w:rPr>
                <w:sz w:val="19"/>
                <w:szCs w:val="19"/>
              </w:rPr>
              <w:t xml:space="preserve">U4</w:t>
            </w:r>
          </w:p>
        </w:tc>
      </w:tr>
      <w:tr>
        <w:trPr>
          <w:cantSplit/>
        </w:trPr>
        <w:tc>
          <w:tcPr>
            <w:tcW w:type="pct" w:w="1100"/>
            <w:shd w:fill="FFFFFF" w:val="clear"/>
            <w:tcMar>
              <w:top w:type="dxa" w:w="70"/>
              <w:left w:type="dxa" w:w="120"/>
              <w:bottom w:type="dxa" w:w="70"/>
              <w:right w:type="dxa" w:w="120"/>
            </w:tcMar>
          </w:tcPr>
          <w:p>
            <w:r>
              <w:rPr>
                <w:rFonts w:ascii="Consolas" w:cs="Consolas" w:eastAsia="Consolas" w:hAnsi="Consolas"/>
                <w:color w:val="1C3A5C"/>
                <w:sz w:val="19"/>
                <w:szCs w:val="19"/>
              </w:rPr>
              <w:t xml:space="preserve">sin_operar</w:t>
            </w:r>
          </w:p>
        </w:tc>
        <w:tc>
          <w:tcPr>
            <w:tcW w:type="pct" w:w="600"/>
            <w:shd w:fill="FFFFFF" w:val="clear"/>
            <w:tcMar>
              <w:top w:type="dxa" w:w="70"/>
              <w:left w:type="dxa" w:w="120"/>
              <w:bottom w:type="dxa" w:w="70"/>
              <w:right w:type="dxa" w:w="120"/>
            </w:tcMar>
          </w:tcPr>
          <w:p>
            <w:r>
              <w:rPr>
                <w:sz w:val="19"/>
                <w:szCs w:val="19"/>
              </w:rPr>
              <w:t xml:space="preserve">panel</w:t>
            </w:r>
          </w:p>
        </w:tc>
        <w:tc>
          <w:tcPr>
            <w:tcW w:type="pct" w:w="1700"/>
            <w:shd w:fill="FFFFFF" w:val="clear"/>
            <w:tcMar>
              <w:top w:type="dxa" w:w="70"/>
              <w:left w:type="dxa" w:w="120"/>
              <w:bottom w:type="dxa" w:w="70"/>
              <w:right w:type="dxa" w:w="120"/>
            </w:tcMar>
          </w:tcPr>
          <w:p>
            <w:r>
              <w:rPr>
                <w:sz w:val="19"/>
                <w:szCs w:val="19"/>
              </w:rPr>
              <w:t xml:space="preserve">La acción no operó (volumen 0)</w:t>
            </w:r>
          </w:p>
        </w:tc>
        <w:tc>
          <w:tcPr>
            <w:tcW w:type="pct" w:w="600"/>
            <w:shd w:fill="FFFFFF" w:val="clear"/>
            <w:tcMar>
              <w:top w:type="dxa" w:w="70"/>
              <w:left w:type="dxa" w:w="120"/>
              <w:bottom w:type="dxa" w:w="70"/>
              <w:right w:type="dxa" w:w="120"/>
            </w:tcMar>
          </w:tcPr>
          <w:p>
            <w:r>
              <w:rPr>
                <w:sz w:val="19"/>
                <w:szCs w:val="19"/>
              </w:rPr>
              <w:t xml:space="preserve">0/1</w:t>
            </w:r>
          </w:p>
        </w:tc>
        <w:tc>
          <w:tcPr>
            <w:tcW w:type="pct" w:w="1000"/>
            <w:shd w:fill="FFFFFF" w:val="clear"/>
            <w:tcMar>
              <w:top w:type="dxa" w:w="70"/>
              <w:left w:type="dxa" w:w="120"/>
              <w:bottom w:type="dxa" w:w="70"/>
              <w:right w:type="dxa" w:w="120"/>
            </w:tcMar>
          </w:tcPr>
          <w:p>
            <w:r>
              <w:rPr>
                <w:sz w:val="19"/>
                <w:szCs w:val="19"/>
              </w:rPr>
              <w:t xml:space="preserve">U4</w:t>
            </w:r>
          </w:p>
        </w:tc>
      </w:tr>
      <w:tr>
        <w:trPr>
          <w:cantSplit/>
        </w:trPr>
        <w:tc>
          <w:tcPr>
            <w:tcW w:type="pct" w:w="1100"/>
            <w:shd w:fill="FAFCFD" w:val="clear"/>
            <w:tcMar>
              <w:top w:type="dxa" w:w="70"/>
              <w:left w:type="dxa" w:w="120"/>
              <w:bottom w:type="dxa" w:w="70"/>
              <w:right w:type="dxa" w:w="120"/>
            </w:tcMar>
          </w:tcPr>
          <w:p>
            <w:r>
              <w:rPr>
                <w:rFonts w:ascii="Consolas" w:cs="Consolas" w:eastAsia="Consolas" w:hAnsi="Consolas"/>
                <w:color w:val="1C3A5C"/>
                <w:sz w:val="19"/>
                <w:szCs w:val="19"/>
              </w:rPr>
              <w:t xml:space="preserve">precio_quieto</w:t>
            </w:r>
          </w:p>
        </w:tc>
        <w:tc>
          <w:tcPr>
            <w:tcW w:type="pct" w:w="600"/>
            <w:shd w:fill="FAFCFD" w:val="clear"/>
            <w:tcMar>
              <w:top w:type="dxa" w:w="70"/>
              <w:left w:type="dxa" w:w="120"/>
              <w:bottom w:type="dxa" w:w="70"/>
              <w:right w:type="dxa" w:w="120"/>
            </w:tcMar>
          </w:tcPr>
          <w:p>
            <w:r>
              <w:rPr>
                <w:sz w:val="19"/>
                <w:szCs w:val="19"/>
              </w:rPr>
              <w:t xml:space="preserve">panel</w:t>
            </w:r>
          </w:p>
        </w:tc>
        <w:tc>
          <w:tcPr>
            <w:tcW w:type="pct" w:w="1700"/>
            <w:shd w:fill="FAFCFD" w:val="clear"/>
            <w:tcMar>
              <w:top w:type="dxa" w:w="70"/>
              <w:left w:type="dxa" w:w="120"/>
              <w:bottom w:type="dxa" w:w="70"/>
              <w:right w:type="dxa" w:w="120"/>
            </w:tcMar>
          </w:tcPr>
          <w:p>
            <w:r>
              <w:rPr>
                <w:sz w:val="19"/>
                <w:szCs w:val="19"/>
              </w:rPr>
              <w:t xml:space="preserve">El cierre es igual al de la rueda anterior</w:t>
            </w:r>
          </w:p>
        </w:tc>
        <w:tc>
          <w:tcPr>
            <w:tcW w:type="pct" w:w="600"/>
            <w:shd w:fill="FAFCFD" w:val="clear"/>
            <w:tcMar>
              <w:top w:type="dxa" w:w="70"/>
              <w:left w:type="dxa" w:w="120"/>
              <w:bottom w:type="dxa" w:w="70"/>
              <w:right w:type="dxa" w:w="120"/>
            </w:tcMar>
          </w:tcPr>
          <w:p>
            <w:r>
              <w:rPr>
                <w:sz w:val="19"/>
                <w:szCs w:val="19"/>
              </w:rPr>
              <w:t xml:space="preserve">0/1</w:t>
            </w:r>
          </w:p>
        </w:tc>
        <w:tc>
          <w:tcPr>
            <w:tcW w:type="pct" w:w="1000"/>
            <w:shd w:fill="FAFCFD" w:val="clear"/>
            <w:tcMar>
              <w:top w:type="dxa" w:w="70"/>
              <w:left w:type="dxa" w:w="120"/>
              <w:bottom w:type="dxa" w:w="70"/>
              <w:right w:type="dxa" w:w="120"/>
            </w:tcMar>
          </w:tcPr>
          <w:p>
            <w:r>
              <w:rPr>
                <w:sz w:val="19"/>
                <w:szCs w:val="19"/>
              </w:rPr>
              <w:t xml:space="preserve">U4</w:t>
            </w:r>
          </w:p>
        </w:tc>
      </w:tr>
      <w:tr>
        <w:trPr>
          <w:cantSplit/>
        </w:trPr>
        <w:tc>
          <w:tcPr>
            <w:tcW w:type="pct" w:w="1100"/>
            <w:shd w:fill="FFFFFF" w:val="clear"/>
            <w:tcMar>
              <w:top w:type="dxa" w:w="70"/>
              <w:left w:type="dxa" w:w="120"/>
              <w:bottom w:type="dxa" w:w="70"/>
              <w:right w:type="dxa" w:w="120"/>
            </w:tcMar>
          </w:tcPr>
          <w:p>
            <w:r>
              <w:rPr>
                <w:rFonts w:ascii="Consolas" w:cs="Consolas" w:eastAsia="Consolas" w:hAnsi="Consolas"/>
                <w:color w:val="1C3A5C"/>
                <w:sz w:val="19"/>
                <w:szCs w:val="19"/>
              </w:rPr>
              <w:t xml:space="preserve">hubo_noticia</w:t>
            </w:r>
          </w:p>
        </w:tc>
        <w:tc>
          <w:tcPr>
            <w:tcW w:type="pct" w:w="600"/>
            <w:shd w:fill="FFFFFF" w:val="clear"/>
            <w:tcMar>
              <w:top w:type="dxa" w:w="70"/>
              <w:left w:type="dxa" w:w="120"/>
              <w:bottom w:type="dxa" w:w="70"/>
              <w:right w:type="dxa" w:w="120"/>
            </w:tcMar>
          </w:tcPr>
          <w:p>
            <w:r>
              <w:rPr>
                <w:sz w:val="19"/>
                <w:szCs w:val="19"/>
              </w:rPr>
              <w:t xml:space="preserve">panel</w:t>
            </w:r>
          </w:p>
        </w:tc>
        <w:tc>
          <w:tcPr>
            <w:tcW w:type="pct" w:w="1700"/>
            <w:shd w:fill="FFFFFF" w:val="clear"/>
            <w:tcMar>
              <w:top w:type="dxa" w:w="70"/>
              <w:left w:type="dxa" w:w="120"/>
              <w:bottom w:type="dxa" w:w="70"/>
              <w:right w:type="dxa" w:w="120"/>
            </w:tcMar>
          </w:tcPr>
          <w:p>
            <w:r>
              <w:rPr>
                <w:sz w:val="19"/>
                <w:szCs w:val="19"/>
              </w:rPr>
              <w:t xml:space="preserve">Al menos una oración de las notas de la rueda menciona a la empresa</w:t>
            </w:r>
          </w:p>
        </w:tc>
        <w:tc>
          <w:tcPr>
            <w:tcW w:type="pct" w:w="600"/>
            <w:shd w:fill="FFFFFF" w:val="clear"/>
            <w:tcMar>
              <w:top w:type="dxa" w:w="70"/>
              <w:left w:type="dxa" w:w="120"/>
              <w:bottom w:type="dxa" w:w="70"/>
              <w:right w:type="dxa" w:w="120"/>
            </w:tcMar>
          </w:tcPr>
          <w:p>
            <w:r>
              <w:rPr>
                <w:sz w:val="19"/>
                <w:szCs w:val="19"/>
              </w:rPr>
              <w:t xml:space="preserve">0/1</w:t>
            </w:r>
          </w:p>
        </w:tc>
        <w:tc>
          <w:tcPr>
            <w:tcW w:type="pct" w:w="1000"/>
            <w:shd w:fill="FFFFFF" w:val="clear"/>
            <w:tcMar>
              <w:top w:type="dxa" w:w="70"/>
              <w:left w:type="dxa" w:w="120"/>
              <w:bottom w:type="dxa" w:w="70"/>
              <w:right w:type="dxa" w:w="120"/>
            </w:tcMar>
          </w:tcPr>
          <w:p>
            <w:r>
              <w:rPr>
                <w:sz w:val="19"/>
                <w:szCs w:val="19"/>
              </w:rPr>
              <w:t xml:space="preserve">U3</w:t>
            </w:r>
          </w:p>
        </w:tc>
      </w:tr>
      <w:tr>
        <w:trPr>
          <w:cantSplit/>
        </w:trPr>
        <w:tc>
          <w:tcPr>
            <w:tcW w:type="pct" w:w="1100"/>
            <w:shd w:fill="FAFCFD" w:val="clear"/>
            <w:tcMar>
              <w:top w:type="dxa" w:w="70"/>
              <w:left w:type="dxa" w:w="120"/>
              <w:bottom w:type="dxa" w:w="70"/>
              <w:right w:type="dxa" w:w="120"/>
            </w:tcMar>
          </w:tcPr>
          <w:p>
            <w:r>
              <w:rPr>
                <w:rFonts w:ascii="Consolas" w:cs="Consolas" w:eastAsia="Consolas" w:hAnsi="Consolas"/>
                <w:color w:val="1C3A5C"/>
                <w:sz w:val="19"/>
                <w:szCs w:val="19"/>
              </w:rPr>
              <w:t xml:space="preserve">sentimiento_propio</w:t>
            </w:r>
          </w:p>
        </w:tc>
        <w:tc>
          <w:tcPr>
            <w:tcW w:type="pct" w:w="600"/>
            <w:shd w:fill="FAFCFD" w:val="clear"/>
            <w:tcMar>
              <w:top w:type="dxa" w:w="70"/>
              <w:left w:type="dxa" w:w="120"/>
              <w:bottom w:type="dxa" w:w="70"/>
              <w:right w:type="dxa" w:w="120"/>
            </w:tcMar>
          </w:tcPr>
          <w:p>
            <w:r>
              <w:rPr>
                <w:sz w:val="19"/>
                <w:szCs w:val="19"/>
              </w:rPr>
              <w:t xml:space="preserve">panel</w:t>
            </w:r>
          </w:p>
        </w:tc>
        <w:tc>
          <w:tcPr>
            <w:tcW w:type="pct" w:w="1700"/>
            <w:shd w:fill="FAFCFD" w:val="clear"/>
            <w:tcMar>
              <w:top w:type="dxa" w:w="70"/>
              <w:left w:type="dxa" w:w="120"/>
              <w:bottom w:type="dxa" w:w="70"/>
              <w:right w:type="dxa" w:w="120"/>
            </w:tcMar>
          </w:tcPr>
          <w:p>
            <w:r>
              <w:rPr>
                <w:sz w:val="19"/>
                <w:szCs w:val="19"/>
              </w:rPr>
              <w:t xml:space="preserve">La empresa tiene noticias en al menos 90 ruedas y usa su propio sentimiento</w:t>
            </w:r>
          </w:p>
        </w:tc>
        <w:tc>
          <w:tcPr>
            <w:tcW w:type="pct" w:w="600"/>
            <w:shd w:fill="FAFCFD" w:val="clear"/>
            <w:tcMar>
              <w:top w:type="dxa" w:w="70"/>
              <w:left w:type="dxa" w:w="120"/>
              <w:bottom w:type="dxa" w:w="70"/>
              <w:right w:type="dxa" w:w="120"/>
            </w:tcMar>
          </w:tcPr>
          <w:p>
            <w:r>
              <w:rPr>
                <w:sz w:val="19"/>
                <w:szCs w:val="19"/>
              </w:rPr>
              <w:t xml:space="preserve">0/1</w:t>
            </w:r>
          </w:p>
        </w:tc>
        <w:tc>
          <w:tcPr>
            <w:tcW w:type="pct" w:w="1000"/>
            <w:shd w:fill="FAFCFD" w:val="clear"/>
            <w:tcMar>
              <w:top w:type="dxa" w:w="70"/>
              <w:left w:type="dxa" w:w="120"/>
              <w:bottom w:type="dxa" w:w="70"/>
              <w:right w:type="dxa" w:w="120"/>
            </w:tcMar>
          </w:tcPr>
          <w:p>
            <w:r>
              <w:rPr>
                <w:sz w:val="19"/>
                <w:szCs w:val="19"/>
              </w:rPr>
              <w:t xml:space="preserve">U3</w:t>
            </w:r>
          </w:p>
        </w:tc>
      </w:tr>
      <w:tr>
        <w:trPr>
          <w:cantSplit/>
        </w:trPr>
        <w:tc>
          <w:tcPr>
            <w:tcW w:type="pct" w:w="1100"/>
            <w:shd w:fill="FFFFFF" w:val="clear"/>
            <w:tcMar>
              <w:top w:type="dxa" w:w="70"/>
              <w:left w:type="dxa" w:w="120"/>
              <w:bottom w:type="dxa" w:w="70"/>
              <w:right w:type="dxa" w:w="120"/>
            </w:tcMar>
          </w:tcPr>
          <w:p>
            <w:r>
              <w:rPr>
                <w:rFonts w:ascii="Consolas" w:cs="Consolas" w:eastAsia="Consolas" w:hAnsi="Consolas"/>
                <w:color w:val="1C3A5C"/>
                <w:sz w:val="19"/>
                <w:szCs w:val="19"/>
              </w:rPr>
              <w:t xml:space="preserve">n_articulos_empresa, n_oraciones_empresa</w:t>
            </w:r>
          </w:p>
        </w:tc>
        <w:tc>
          <w:tcPr>
            <w:tcW w:type="pct" w:w="600"/>
            <w:shd w:fill="FFFFFF" w:val="clear"/>
            <w:tcMar>
              <w:top w:type="dxa" w:w="70"/>
              <w:left w:type="dxa" w:w="120"/>
              <w:bottom w:type="dxa" w:w="70"/>
              <w:right w:type="dxa" w:w="120"/>
            </w:tcMar>
          </w:tcPr>
          <w:p>
            <w:r>
              <w:rPr>
                <w:sz w:val="19"/>
                <w:szCs w:val="19"/>
              </w:rPr>
              <w:t xml:space="preserve">panel</w:t>
            </w:r>
          </w:p>
        </w:tc>
        <w:tc>
          <w:tcPr>
            <w:tcW w:type="pct" w:w="1700"/>
            <w:shd w:fill="FFFFFF" w:val="clear"/>
            <w:tcMar>
              <w:top w:type="dxa" w:w="70"/>
              <w:left w:type="dxa" w:w="120"/>
              <w:bottom w:type="dxa" w:w="70"/>
              <w:right w:type="dxa" w:w="120"/>
            </w:tcMar>
          </w:tcPr>
          <w:p>
            <w:r>
              <w:rPr>
                <w:sz w:val="19"/>
                <w:szCs w:val="19"/>
              </w:rPr>
              <w:t xml:space="preserve">Notas y oraciones de la rueda que mencionan a la empresa</w:t>
            </w:r>
          </w:p>
        </w:tc>
        <w:tc>
          <w:tcPr>
            <w:tcW w:type="pct" w:w="600"/>
            <w:shd w:fill="FFFFFF" w:val="clear"/>
            <w:tcMar>
              <w:top w:type="dxa" w:w="70"/>
              <w:left w:type="dxa" w:w="120"/>
              <w:bottom w:type="dxa" w:w="70"/>
              <w:right w:type="dxa" w:w="120"/>
            </w:tcMar>
          </w:tcPr>
          <w:p>
            <w:r>
              <w:rPr>
                <w:sz w:val="19"/>
                <w:szCs w:val="19"/>
              </w:rPr>
              <w:t xml:space="preserve">cantidad</w:t>
            </w:r>
          </w:p>
        </w:tc>
        <w:tc>
          <w:tcPr>
            <w:tcW w:type="pct" w:w="1000"/>
            <w:shd w:fill="FFFFFF" w:val="clear"/>
            <w:tcMar>
              <w:top w:type="dxa" w:w="70"/>
              <w:left w:type="dxa" w:w="120"/>
              <w:bottom w:type="dxa" w:w="70"/>
              <w:right w:type="dxa" w:w="120"/>
            </w:tcMar>
          </w:tcPr>
          <w:p>
            <w:r>
              <w:rPr>
                <w:sz w:val="19"/>
                <w:szCs w:val="19"/>
              </w:rPr>
              <w:t xml:space="preserve">U3</w:t>
            </w:r>
          </w:p>
        </w:tc>
      </w:tr>
      <w:tr>
        <w:trPr>
          <w:cantSplit/>
        </w:trPr>
        <w:tc>
          <w:tcPr>
            <w:tcW w:type="pct" w:w="1100"/>
            <w:shd w:fill="FAFCFD" w:val="clear"/>
            <w:tcMar>
              <w:top w:type="dxa" w:w="70"/>
              <w:left w:type="dxa" w:w="120"/>
              <w:bottom w:type="dxa" w:w="70"/>
              <w:right w:type="dxa" w:w="120"/>
            </w:tcMar>
          </w:tcPr>
          <w:p>
            <w:r>
              <w:rPr>
                <w:rFonts w:ascii="Consolas" w:cs="Consolas" w:eastAsia="Consolas" w:hAnsi="Consolas"/>
                <w:color w:val="1C3A5C"/>
                <w:sz w:val="19"/>
                <w:szCs w:val="19"/>
              </w:rPr>
              <w:t xml:space="preserve">sent_neto_empresa</w:t>
            </w:r>
          </w:p>
        </w:tc>
        <w:tc>
          <w:tcPr>
            <w:tcW w:type="pct" w:w="600"/>
            <w:shd w:fill="FAFCFD" w:val="clear"/>
            <w:tcMar>
              <w:top w:type="dxa" w:w="70"/>
              <w:left w:type="dxa" w:w="120"/>
              <w:bottom w:type="dxa" w:w="70"/>
              <w:right w:type="dxa" w:w="120"/>
            </w:tcMar>
          </w:tcPr>
          <w:p>
            <w:r>
              <w:rPr>
                <w:sz w:val="19"/>
                <w:szCs w:val="19"/>
              </w:rPr>
              <w:t xml:space="preserve">panel</w:t>
            </w:r>
          </w:p>
        </w:tc>
        <w:tc>
          <w:tcPr>
            <w:tcW w:type="pct" w:w="1700"/>
            <w:shd w:fill="FAFCFD" w:val="clear"/>
            <w:tcMar>
              <w:top w:type="dxa" w:w="70"/>
              <w:left w:type="dxa" w:w="120"/>
              <w:bottom w:type="dxa" w:w="70"/>
              <w:right w:type="dxa" w:w="120"/>
            </w:tcMar>
          </w:tcPr>
          <w:p>
            <w:r>
              <w:rPr>
                <w:sz w:val="19"/>
                <w:szCs w:val="19"/>
              </w:rPr>
              <w:t xml:space="preserve">Tono de las oraciones que mencionan a la empresa; vacío si no hubo noticia</w:t>
            </w:r>
          </w:p>
        </w:tc>
        <w:tc>
          <w:tcPr>
            <w:tcW w:type="pct" w:w="600"/>
            <w:shd w:fill="FAFCFD" w:val="clear"/>
            <w:tcMar>
              <w:top w:type="dxa" w:w="70"/>
              <w:left w:type="dxa" w:w="120"/>
              <w:bottom w:type="dxa" w:w="70"/>
              <w:right w:type="dxa" w:w="120"/>
            </w:tcMar>
          </w:tcPr>
          <w:p>
            <w:r>
              <w:rPr>
                <w:sz w:val="19"/>
                <w:szCs w:val="19"/>
              </w:rPr>
              <w:t xml:space="preserve">puntos</w:t>
            </w:r>
          </w:p>
        </w:tc>
        <w:tc>
          <w:tcPr>
            <w:tcW w:type="pct" w:w="1000"/>
            <w:shd w:fill="FAFCFD" w:val="clear"/>
            <w:tcMar>
              <w:top w:type="dxa" w:w="70"/>
              <w:left w:type="dxa" w:w="120"/>
              <w:bottom w:type="dxa" w:w="70"/>
              <w:right w:type="dxa" w:w="120"/>
            </w:tcMar>
          </w:tcPr>
          <w:p>
            <w:r>
              <w:rPr>
                <w:sz w:val="19"/>
                <w:szCs w:val="19"/>
              </w:rPr>
              <w:t xml:space="preserve">U3 (cruce de Gino)</w:t>
            </w:r>
          </w:p>
        </w:tc>
      </w:tr>
      <w:tr>
        <w:trPr>
          <w:cantSplit/>
        </w:trPr>
        <w:tc>
          <w:tcPr>
            <w:tcW w:type="pct" w:w="1100"/>
            <w:shd w:fill="FFFFFF" w:val="clear"/>
            <w:tcMar>
              <w:top w:type="dxa" w:w="70"/>
              <w:left w:type="dxa" w:w="120"/>
              <w:bottom w:type="dxa" w:w="70"/>
              <w:right w:type="dxa" w:w="120"/>
            </w:tcMar>
          </w:tcPr>
          <w:p>
            <w:r>
              <w:rPr>
                <w:rFonts w:ascii="Consolas" w:cs="Consolas" w:eastAsia="Consolas" w:hAnsi="Consolas"/>
                <w:color w:val="1C3A5C"/>
                <w:sz w:val="19"/>
                <w:szCs w:val="19"/>
              </w:rPr>
              <w:t xml:space="preserve">peso_tono_propio</w:t>
            </w:r>
          </w:p>
        </w:tc>
        <w:tc>
          <w:tcPr>
            <w:tcW w:type="pct" w:w="600"/>
            <w:shd w:fill="FFFFFF" w:val="clear"/>
            <w:tcMar>
              <w:top w:type="dxa" w:w="70"/>
              <w:left w:type="dxa" w:w="120"/>
              <w:bottom w:type="dxa" w:w="70"/>
              <w:right w:type="dxa" w:w="120"/>
            </w:tcMar>
          </w:tcPr>
          <w:p>
            <w:r>
              <w:rPr>
                <w:sz w:val="19"/>
                <w:szCs w:val="19"/>
              </w:rPr>
              <w:t xml:space="preserve">panel</w:t>
            </w:r>
          </w:p>
        </w:tc>
        <w:tc>
          <w:tcPr>
            <w:tcW w:type="pct" w:w="1700"/>
            <w:shd w:fill="FFFFFF" w:val="clear"/>
            <w:tcMar>
              <w:top w:type="dxa" w:w="70"/>
              <w:left w:type="dxa" w:w="120"/>
              <w:bottom w:type="dxa" w:w="70"/>
              <w:right w:type="dxa" w:w="120"/>
            </w:tcMar>
          </w:tcPr>
          <w:p>
            <w:r>
              <w:rPr>
                <w:sz w:val="19"/>
                <w:szCs w:val="19"/>
              </w:rPr>
              <w:t xml:space="preserve">Cuánto se confía en las oraciones de la empresa: n / (n + K), con K estimado de los datos</w:t>
            </w:r>
          </w:p>
        </w:tc>
        <w:tc>
          <w:tcPr>
            <w:tcW w:type="pct" w:w="600"/>
            <w:shd w:fill="FFFFFF" w:val="clear"/>
            <w:tcMar>
              <w:top w:type="dxa" w:w="70"/>
              <w:left w:type="dxa" w:w="120"/>
              <w:bottom w:type="dxa" w:w="70"/>
              <w:right w:type="dxa" w:w="120"/>
            </w:tcMar>
          </w:tcPr>
          <w:p>
            <w:r>
              <w:rPr>
                <w:sz w:val="19"/>
                <w:szCs w:val="19"/>
              </w:rPr>
              <w:t xml:space="preserve">0 a 1</w:t>
            </w:r>
          </w:p>
        </w:tc>
        <w:tc>
          <w:tcPr>
            <w:tcW w:type="pct" w:w="1000"/>
            <w:shd w:fill="FFFFFF" w:val="clear"/>
            <w:tcMar>
              <w:top w:type="dxa" w:w="70"/>
              <w:left w:type="dxa" w:w="120"/>
              <w:bottom w:type="dxa" w:w="70"/>
              <w:right w:type="dxa" w:w="120"/>
            </w:tcMar>
          </w:tcPr>
          <w:p>
            <w:r>
              <w:rPr>
                <w:sz w:val="19"/>
                <w:szCs w:val="19"/>
              </w:rPr>
              <w:t xml:space="preserve">U4 (decisión de U6)</w:t>
            </w:r>
          </w:p>
        </w:tc>
      </w:tr>
      <w:tr>
        <w:trPr>
          <w:cantSplit/>
        </w:trPr>
        <w:tc>
          <w:tcPr>
            <w:tcW w:type="pct" w:w="1100"/>
            <w:shd w:fill="FAFCFD" w:val="clear"/>
            <w:tcMar>
              <w:top w:type="dxa" w:w="70"/>
              <w:left w:type="dxa" w:w="120"/>
              <w:bottom w:type="dxa" w:w="70"/>
              <w:right w:type="dxa" w:w="120"/>
            </w:tcMar>
          </w:tcPr>
          <w:p>
            <w:r>
              <w:rPr>
                <w:rFonts w:ascii="Consolas" w:cs="Consolas" w:eastAsia="Consolas" w:hAnsi="Consolas"/>
                <w:color w:val="1C3A5C"/>
                <w:sz w:val="19"/>
                <w:szCs w:val="19"/>
              </w:rPr>
              <w:t xml:space="preserve">tono_propio</w:t>
            </w:r>
          </w:p>
        </w:tc>
        <w:tc>
          <w:tcPr>
            <w:tcW w:type="pct" w:w="600"/>
            <w:shd w:fill="FAFCFD" w:val="clear"/>
            <w:tcMar>
              <w:top w:type="dxa" w:w="70"/>
              <w:left w:type="dxa" w:w="120"/>
              <w:bottom w:type="dxa" w:w="70"/>
              <w:right w:type="dxa" w:w="120"/>
            </w:tcMar>
          </w:tcPr>
          <w:p>
            <w:r>
              <w:rPr>
                <w:sz w:val="19"/>
                <w:szCs w:val="19"/>
              </w:rPr>
              <w:t xml:space="preserve">panel</w:t>
            </w:r>
          </w:p>
        </w:tc>
        <w:tc>
          <w:tcPr>
            <w:tcW w:type="pct" w:w="1700"/>
            <w:shd w:fill="FAFCFD" w:val="clear"/>
            <w:tcMar>
              <w:top w:type="dxa" w:w="70"/>
              <w:left w:type="dxa" w:w="120"/>
              <w:bottom w:type="dxa" w:w="70"/>
              <w:right w:type="dxa" w:w="120"/>
            </w:tcMar>
          </w:tcPr>
          <w:p>
            <w:r>
              <w:rPr>
                <w:sz w:val="19"/>
                <w:szCs w:val="19"/>
              </w:rPr>
              <w:t xml:space="preserve">Tono propio: peso × (tono de la empresa − tono del mercado); 0 si no hubo noticia. Variable de empresa del VAR</w:t>
            </w:r>
          </w:p>
        </w:tc>
        <w:tc>
          <w:tcPr>
            <w:tcW w:type="pct" w:w="600"/>
            <w:shd w:fill="FAFCFD" w:val="clear"/>
            <w:tcMar>
              <w:top w:type="dxa" w:w="70"/>
              <w:left w:type="dxa" w:w="120"/>
              <w:bottom w:type="dxa" w:w="70"/>
              <w:right w:type="dxa" w:w="120"/>
            </w:tcMar>
          </w:tcPr>
          <w:p>
            <w:r>
              <w:rPr>
                <w:sz w:val="19"/>
                <w:szCs w:val="19"/>
              </w:rPr>
              <w:t xml:space="preserve">puntos (0 = como el mercado)</w:t>
            </w:r>
          </w:p>
        </w:tc>
        <w:tc>
          <w:tcPr>
            <w:tcW w:type="pct" w:w="1000"/>
            <w:shd w:fill="FAFCFD" w:val="clear"/>
            <w:tcMar>
              <w:top w:type="dxa" w:w="70"/>
              <w:left w:type="dxa" w:w="120"/>
              <w:bottom w:type="dxa" w:w="70"/>
              <w:right w:type="dxa" w:w="120"/>
            </w:tcMar>
          </w:tcPr>
          <w:p>
            <w:r>
              <w:rPr>
                <w:sz w:val="19"/>
                <w:szCs w:val="19"/>
              </w:rPr>
              <w:t xml:space="preserve">U4 (decisión de U6)</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C6B7A"/>
        <w:sz w:val="16"/>
        <w:szCs w:val="16"/>
      </w:rPr>
      <w:t xml:space="preserve">Nicolás Diddi · Gino Frigoni · Página </w:t>
    </w:r>
    <w:r>
      <w:rPr>
        <w:color w:val="5C6B7A"/>
        <w:sz w:val="16"/>
        <w:szCs w:val="16"/>
      </w:rPr>
      <w:fldChar w:fldCharType="begin"/>
      <w:instrText xml:space="preserve">PAGE</w:instrText>
      <w:fldChar w:fldCharType="separate"/>
      <w:fldChar w:fldCharType="end"/>
    </w:r>
    <w:r>
      <w:rPr>
        <w:color w:val="5C6B7A"/>
        <w:sz w:val="16"/>
        <w:szCs w:val="16"/>
      </w:rPr>
      <w:t xml:space="preserve"> de </w:t>
    </w:r>
    <w:r>
      <w:rPr>
        <w:color w:val="5C6B7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C6B7A"/>
        <w:sz w:val="16"/>
        <w:szCs w:val="16"/>
      </w:rPr>
      <w:t xml:space="preserve">U4 · Datasets unificados — tesis version 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40798C" w:sz="6" w:space="4"/>
      </w:pBdr>
      <w:spacing w:after="160" w:before="360"/>
    </w:pPr>
    <w:rPr>
      <w:rFonts w:ascii="Cambria" w:cs="Cambria" w:eastAsia="Cambria" w:hAnsi="Cambria"/>
      <w:b/>
      <w:bCs/>
      <w:color w:val="12263A"/>
      <w:sz w:val="30"/>
      <w:szCs w:val="3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28d779982ad5d3177d828a818664bd3390810f5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2026-10-24T05:25:57.029Z</dcterms:created>
  <dcterms:modified xsi:type="dcterms:W3CDTF">2026-10-24T05:25:57.029Z</dcterms:modified>
</cp:coreProperties>
</file>

<file path=docProps/custom.xml><?xml version="1.0" encoding="utf-8"?>
<Properties xmlns="http://schemas.openxmlformats.org/officeDocument/2006/custom-properties" xmlns:vt="http://schemas.openxmlformats.org/officeDocument/2006/docPropsVTypes"/>
</file>