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2263A"/>
          <w:sz w:val="44"/>
          <w:szCs w:val="44"/>
        </w:rPr>
        <w:t xml:space="preserve">U5 · Estacionariedad en la ventana de la unión</w:t>
      </w:r>
    </w:p>
    <w:p>
      <w:pPr>
        <w:spacing w:after="200"/>
      </w:pPr>
      <w:r>
        <w:rPr>
          <w:rFonts w:ascii="Cambria" w:cs="Cambria" w:eastAsia="Cambria" w:hAnsi="Cambria"/>
          <w:i/>
          <w:iCs/>
          <w:color w:val="1C3A5C"/>
          <w:sz w:val="24"/>
          <w:szCs w:val="24"/>
        </w:rPr>
        <w:t xml:space="preserve">Qué series se pueden usar en el VAR tal como están y cuál hubo que transformar</w:t>
      </w:r>
    </w:p>
    <w:p>
      <w:pPr>
        <w:pBdr>
          <w:bottom w:val="single" w:color="D9E0E7" w:sz="4" w:space="8"/>
        </w:pBdr>
        <w:spacing w:after="200"/>
      </w:pPr>
      <w:r>
        <w:rPr>
          <w:color w:val="5C6B7A"/>
          <w:sz w:val="19"/>
          <w:szCs w:val="19"/>
        </w:rPr>
        <w:t xml:space="preserve">Tesina — Impacto de shocks informativos en acciones argentinas (BYMA / S&amp;P Merval). Documento de la unión: lee el lado bursátil y el lado de noticias sin modificarlos.</w:t>
      </w:r>
    </w:p>
    <w:p>
      <w:pPr>
        <w:spacing w:after="160" w:line="300"/>
      </w:pPr>
      <w:r>
        <w:rPr>
          <w:b/>
          <w:bCs/>
        </w:rPr>
        <w:t xml:space="preserve">Ubicación. </w:t>
      </w:r>
      <w:r>
        <w:rPr>
          <w:rFonts w:ascii="Consolas" w:cs="Consolas" w:eastAsia="Consolas" w:hAnsi="Consolas"/>
          <w:color w:val="1C3A5C"/>
          <w:sz w:val="19"/>
          <w:szCs w:val="19"/>
        </w:rPr>
        <w:t xml:space="preserve">D:\2.Tesina\tesis version 3.0\Unión\05_adf_union\</w:t>
      </w:r>
      <w:r>
        <w:t xml:space="preserve">. Script: </w:t>
      </w:r>
      <w:r>
        <w:rPr>
          <w:rFonts w:ascii="Consolas" w:cs="Consolas" w:eastAsia="Consolas" w:hAnsi="Consolas"/>
          <w:color w:val="1C3A5C"/>
          <w:sz w:val="19"/>
          <w:szCs w:val="19"/>
        </w:rPr>
        <w:t xml:space="preserve">adf_union.py</w:t>
      </w:r>
      <w:r>
        <w:t xml:space="preserve">.</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En una frase</w:t>
            </w:r>
          </w:p>
          <w:p>
            <w:pPr>
              <w:spacing w:after="60" w:line="276"/>
            </w:pPr>
            <w:r>
              <w:t xml:space="preserve">Se probaron 156 series en las 244 ruedas de la unión. Retornos, volumen y tono de cada empresa son estables. El tono general de las noticias dio inconcluso porque cambia en ciclos de meses; por eso el VAR usa el tono anormal (comparado con las 20 ruedas previas), que es estable sin discusión. Decisión del 24/10/2026.</w:t>
            </w:r>
          </w:p>
        </w:tc>
      </w:tr>
    </w:tbl>
    <w:p>
      <w:pPr>
        <w:pStyle w:val="Heading1"/>
        <w:keepNext/>
        <w:spacing w:after="160" w:before="360"/>
      </w:pPr>
      <w:r>
        <w:t xml:space="preserve">1. Para qué sirve este paso</w:t>
      </w:r>
    </w:p>
    <w:p>
      <w:pPr>
        <w:spacing w:after="160" w:line="300"/>
      </w:pPr>
      <w:r>
        <w:t xml:space="preserve">El VAR, que es el análisis principal de la tesis, necesita series estables (estacionarias): que suban y bajen alrededor de un mismo nivel, sin irse corriendo. Si una serie se va corriendo, el VAR puede encontrar relaciones que no existen, solo porque dos series se movieron en la misma dirección.</w:t>
      </w:r>
    </w:p>
    <w:p>
      <w:pPr>
        <w:spacing w:after="160" w:line="300"/>
      </w:pPr>
      <w:r>
        <w:t xml:space="preserve">La carpeta 04 del lado bursátil ya mostró, con 3 años de datos, que hay que trabajar con retornos y no con precios. Este paso repite la prueba en el tramo exacto de la unión (244 ruedas) y la extiende a las series nuevas: tono de las noticias, atención y volumen.</w:t>
      </w:r>
    </w:p>
    <w:p>
      <w:pPr>
        <w:pStyle w:val="Heading1"/>
        <w:keepNext/>
        <w:spacing w:after="160" w:before="360"/>
      </w:pPr>
      <w:r>
        <w:t xml:space="preserve">2. Cómo se prueba</w:t>
      </w:r>
    </w:p>
    <w:p>
      <w:pPr>
        <w:spacing w:after="160" w:line="300"/>
      </w:pPr>
      <w:r>
        <w:rPr>
          <w:b/>
          <w:bCs/>
        </w:rPr>
        <w:t xml:space="preserve">ADF </w:t>
      </w:r>
      <w:r>
        <w:t xml:space="preserve">(el mismo test y la misma especificación que la carpeta 04: con constante y rezagos elegidos por AIC). Puede decir "es estable" o "no puedo afirmarlo", pero nunca prueba que una serie no sea estable.</w:t>
      </w:r>
    </w:p>
    <w:p>
      <w:pPr>
        <w:spacing w:after="160" w:line="300"/>
      </w:pPr>
      <w:r>
        <w:rPr>
          <w:b/>
          <w:bCs/>
        </w:rPr>
        <w:t xml:space="preserve">KPSS </w:t>
      </w:r>
      <w:r>
        <w:t xml:space="preserve">(confirmación). Hace la pregunta al revés: parte de suponer que la serie es estable y busca evidencia en contra. Con los dos juntos hay cuatro resultados posibles: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699"/>
        <w:gridCol w:w="2891"/>
        <w:gridCol w:w="4048"/>
      </w:tblGrid>
      <w:tr>
        <w:trPr>
          <w:tblHeader/>
        </w:trPr>
        <w:tc>
          <w:tcPr>
            <w:tcW w:type="pct" w:w="1400"/>
            <w:shd w:fill="1C3A5C" w:val="clear"/>
            <w:tcMar>
              <w:top w:type="dxa" w:w="80"/>
              <w:left w:type="dxa" w:w="120"/>
              <w:bottom w:type="dxa" w:w="80"/>
              <w:right w:type="dxa" w:w="120"/>
            </w:tcMar>
          </w:tcPr>
          <w:p>
            <w:r>
              <w:rPr>
                <w:b/>
                <w:bCs/>
                <w:color w:val="FFFFFF"/>
                <w:sz w:val="19"/>
                <w:szCs w:val="19"/>
              </w:rPr>
              <w:t xml:space="preserve">ADF</w:t>
            </w:r>
          </w:p>
        </w:tc>
        <w:tc>
          <w:tcPr>
            <w:tcW w:type="pct" w:w="1500"/>
            <w:shd w:fill="1C3A5C" w:val="clear"/>
            <w:tcMar>
              <w:top w:type="dxa" w:w="80"/>
              <w:left w:type="dxa" w:w="120"/>
              <w:bottom w:type="dxa" w:w="80"/>
              <w:right w:type="dxa" w:w="120"/>
            </w:tcMar>
          </w:tcPr>
          <w:p>
            <w:r>
              <w:rPr>
                <w:b/>
                <w:bCs/>
                <w:color w:val="FFFFFF"/>
                <w:sz w:val="19"/>
                <w:szCs w:val="19"/>
              </w:rPr>
              <w:t xml:space="preserve">KPSS</w:t>
            </w:r>
          </w:p>
        </w:tc>
        <w:tc>
          <w:tcPr>
            <w:tcW w:type="pct" w:w="2100"/>
            <w:shd w:fill="1C3A5C" w:val="clear"/>
            <w:tcMar>
              <w:top w:type="dxa" w:w="80"/>
              <w:left w:type="dxa" w:w="120"/>
              <w:bottom w:type="dxa" w:w="80"/>
              <w:right w:type="dxa" w:w="120"/>
            </w:tcMar>
          </w:tcPr>
          <w:p>
            <w:r>
              <w:rPr>
                <w:b/>
                <w:bCs/>
                <w:color w:val="FFFFFF"/>
                <w:sz w:val="19"/>
                <w:szCs w:val="19"/>
              </w:rPr>
              <w:t xml:space="preserve">Conclusión</w:t>
            </w:r>
          </w:p>
        </w:tc>
      </w:tr>
      <w:tr>
        <w:trPr>
          <w:cantSplit/>
        </w:trPr>
        <w:tc>
          <w:tcPr>
            <w:tcW w:type="pct" w:w="1400"/>
            <w:shd w:fill="FFFFFF" w:val="clear"/>
            <w:tcMar>
              <w:top w:type="dxa" w:w="70"/>
              <w:left w:type="dxa" w:w="120"/>
              <w:bottom w:type="dxa" w:w="70"/>
              <w:right w:type="dxa" w:w="120"/>
            </w:tcMar>
          </w:tcPr>
          <w:p>
            <w:r>
              <w:rPr>
                <w:sz w:val="19"/>
                <w:szCs w:val="19"/>
              </w:rPr>
              <w:t xml:space="preserve">Dice que es estable</w:t>
            </w:r>
          </w:p>
        </w:tc>
        <w:tc>
          <w:tcPr>
            <w:tcW w:type="pct" w:w="1500"/>
            <w:shd w:fill="FFFFFF" w:val="clear"/>
            <w:tcMar>
              <w:top w:type="dxa" w:w="70"/>
              <w:left w:type="dxa" w:w="120"/>
              <w:bottom w:type="dxa" w:w="70"/>
              <w:right w:type="dxa" w:w="120"/>
            </w:tcMar>
          </w:tcPr>
          <w:p>
            <w:r>
              <w:rPr>
                <w:sz w:val="19"/>
                <w:szCs w:val="19"/>
              </w:rPr>
              <w:t xml:space="preserve">No encuentra problemas</w:t>
            </w:r>
          </w:p>
        </w:tc>
        <w:tc>
          <w:tcPr>
            <w:tcW w:type="pct" w:w="2100"/>
            <w:shd w:fill="FFFFFF" w:val="clear"/>
            <w:tcMar>
              <w:top w:type="dxa" w:w="70"/>
              <w:left w:type="dxa" w:w="120"/>
              <w:bottom w:type="dxa" w:w="70"/>
              <w:right w:type="dxa" w:w="120"/>
            </w:tcMar>
          </w:tcPr>
          <w:p>
            <w:r>
              <w:rPr>
                <w:sz w:val="19"/>
                <w:szCs w:val="19"/>
              </w:rPr>
              <w:t xml:space="preserve">Estacionaria</w:t>
            </w:r>
          </w:p>
        </w:tc>
      </w:tr>
      <w:tr>
        <w:trPr>
          <w:cantSplit/>
        </w:trPr>
        <w:tc>
          <w:tcPr>
            <w:tcW w:type="pct" w:w="1400"/>
            <w:shd w:fill="FAFCFD" w:val="clear"/>
            <w:tcMar>
              <w:top w:type="dxa" w:w="70"/>
              <w:left w:type="dxa" w:w="120"/>
              <w:bottom w:type="dxa" w:w="70"/>
              <w:right w:type="dxa" w:w="120"/>
            </w:tcMar>
          </w:tcPr>
          <w:p>
            <w:r>
              <w:rPr>
                <w:sz w:val="19"/>
                <w:szCs w:val="19"/>
              </w:rPr>
              <w:t xml:space="preserve">Dice que es estable</w:t>
            </w:r>
          </w:p>
        </w:tc>
        <w:tc>
          <w:tcPr>
            <w:tcW w:type="pct" w:w="1500"/>
            <w:shd w:fill="FAFCFD" w:val="clear"/>
            <w:tcMar>
              <w:top w:type="dxa" w:w="70"/>
              <w:left w:type="dxa" w:w="120"/>
              <w:bottom w:type="dxa" w:w="70"/>
              <w:right w:type="dxa" w:w="120"/>
            </w:tcMar>
          </w:tcPr>
          <w:p>
            <w:r>
              <w:rPr>
                <w:sz w:val="19"/>
                <w:szCs w:val="19"/>
              </w:rPr>
              <w:t xml:space="preserve">Encuentra algo de persistencia</w:t>
            </w:r>
          </w:p>
        </w:tc>
        <w:tc>
          <w:tcPr>
            <w:tcW w:type="pct" w:w="2100"/>
            <w:shd w:fill="FAFCFD" w:val="clear"/>
            <w:tcMar>
              <w:top w:type="dxa" w:w="70"/>
              <w:left w:type="dxa" w:w="120"/>
              <w:bottom w:type="dxa" w:w="70"/>
              <w:right w:type="dxa" w:w="120"/>
            </w:tcMar>
          </w:tcPr>
          <w:p>
            <w:r>
              <w:rPr>
                <w:sz w:val="19"/>
                <w:szCs w:val="19"/>
              </w:rPr>
              <w:t xml:space="preserve">Estacionaria (ADF): estable, con memoria</w:t>
            </w:r>
          </w:p>
        </w:tc>
      </w:tr>
      <w:tr>
        <w:trPr>
          <w:cantSplit/>
        </w:trPr>
        <w:tc>
          <w:tcPr>
            <w:tcW w:type="pct" w:w="1400"/>
            <w:shd w:fill="FFFFFF" w:val="clear"/>
            <w:tcMar>
              <w:top w:type="dxa" w:w="70"/>
              <w:left w:type="dxa" w:w="120"/>
              <w:bottom w:type="dxa" w:w="70"/>
              <w:right w:type="dxa" w:w="120"/>
            </w:tcMar>
          </w:tcPr>
          <w:p>
            <w:r>
              <w:rPr>
                <w:sz w:val="19"/>
                <w:szCs w:val="19"/>
              </w:rPr>
              <w:t xml:space="preserve">No puede afirmarlo</w:t>
            </w:r>
          </w:p>
        </w:tc>
        <w:tc>
          <w:tcPr>
            <w:tcW w:type="pct" w:w="1500"/>
            <w:shd w:fill="FFFFFF" w:val="clear"/>
            <w:tcMar>
              <w:top w:type="dxa" w:w="70"/>
              <w:left w:type="dxa" w:w="120"/>
              <w:bottom w:type="dxa" w:w="70"/>
              <w:right w:type="dxa" w:w="120"/>
            </w:tcMar>
          </w:tcPr>
          <w:p>
            <w:r>
              <w:rPr>
                <w:sz w:val="19"/>
                <w:szCs w:val="19"/>
              </w:rPr>
              <w:t xml:space="preserve">No encuentra problemas</w:t>
            </w:r>
          </w:p>
        </w:tc>
        <w:tc>
          <w:tcPr>
            <w:tcW w:type="pct" w:w="2100"/>
            <w:shd w:fill="FFFFFF" w:val="clear"/>
            <w:tcMar>
              <w:top w:type="dxa" w:w="70"/>
              <w:left w:type="dxa" w:w="120"/>
              <w:bottom w:type="dxa" w:w="70"/>
              <w:right w:type="dxa" w:w="120"/>
            </w:tcMar>
          </w:tcPr>
          <w:p>
            <w:r>
              <w:rPr>
                <w:sz w:val="19"/>
                <w:szCs w:val="19"/>
              </w:rPr>
              <w:t xml:space="preserve">Inconclusa: los datos no alcanzan para decidir</w:t>
            </w:r>
          </w:p>
        </w:tc>
      </w:tr>
      <w:tr>
        <w:trPr>
          <w:cantSplit/>
        </w:trPr>
        <w:tc>
          <w:tcPr>
            <w:tcW w:type="pct" w:w="1400"/>
            <w:shd w:fill="FAFCFD" w:val="clear"/>
            <w:tcMar>
              <w:top w:type="dxa" w:w="70"/>
              <w:left w:type="dxa" w:w="120"/>
              <w:bottom w:type="dxa" w:w="70"/>
              <w:right w:type="dxa" w:w="120"/>
            </w:tcMar>
          </w:tcPr>
          <w:p>
            <w:r>
              <w:rPr>
                <w:sz w:val="19"/>
                <w:szCs w:val="19"/>
              </w:rPr>
              <w:t xml:space="preserve">No puede afirmarlo</w:t>
            </w:r>
          </w:p>
        </w:tc>
        <w:tc>
          <w:tcPr>
            <w:tcW w:type="pct" w:w="1500"/>
            <w:shd w:fill="FAFCFD" w:val="clear"/>
            <w:tcMar>
              <w:top w:type="dxa" w:w="70"/>
              <w:left w:type="dxa" w:w="120"/>
              <w:bottom w:type="dxa" w:w="70"/>
              <w:right w:type="dxa" w:w="120"/>
            </w:tcMar>
          </w:tcPr>
          <w:p>
            <w:r>
              <w:rPr>
                <w:sz w:val="19"/>
                <w:szCs w:val="19"/>
              </w:rPr>
              <w:t xml:space="preserve">Encuentra problemas</w:t>
            </w:r>
          </w:p>
        </w:tc>
        <w:tc>
          <w:tcPr>
            <w:tcW w:type="pct" w:w="2100"/>
            <w:shd w:fill="FAFCFD" w:val="clear"/>
            <w:tcMar>
              <w:top w:type="dxa" w:w="70"/>
              <w:left w:type="dxa" w:w="120"/>
              <w:bottom w:type="dxa" w:w="70"/>
              <w:right w:type="dxa" w:w="120"/>
            </w:tcMar>
          </w:tcPr>
          <w:p>
            <w:r>
              <w:rPr>
                <w:sz w:val="19"/>
                <w:szCs w:val="19"/>
              </w:rPr>
              <w:t xml:space="preserve">No estacionaria</w:t>
            </w:r>
          </w:p>
        </w:tc>
      </w:tr>
    </w:tbl>
    <w:p>
      <w:pPr>
        <w:pStyle w:val="Heading1"/>
        <w:keepNext/>
        <w:spacing w:after="160" w:before="360"/>
      </w:pPr>
      <w:r>
        <w:t xml:space="preserve">3. Series del mercado</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470"/>
        <w:gridCol w:w="964"/>
        <w:gridCol w:w="1446"/>
        <w:gridCol w:w="1446"/>
        <w:gridCol w:w="2313"/>
      </w:tblGrid>
      <w:tr>
        <w:trPr>
          <w:tblHeader/>
        </w:trPr>
        <w:tc>
          <w:tcPr>
            <w:tcW w:type="pct" w:w="1800"/>
            <w:shd w:fill="1C3A5C" w:val="clear"/>
            <w:tcMar>
              <w:top w:type="dxa" w:w="80"/>
              <w:left w:type="dxa" w:w="120"/>
              <w:bottom w:type="dxa" w:w="80"/>
              <w:right w:type="dxa" w:w="120"/>
            </w:tcMar>
          </w:tcPr>
          <w:p>
            <w:r>
              <w:rPr>
                <w:b/>
                <w:bCs/>
                <w:color w:val="FFFFFF"/>
                <w:sz w:val="19"/>
                <w:szCs w:val="19"/>
              </w:rPr>
              <w:t xml:space="preserve">Serie</w:t>
            </w:r>
          </w:p>
        </w:tc>
        <w:tc>
          <w:tcPr>
            <w:tcW w:type="pct" w:w="500"/>
            <w:shd w:fill="1C3A5C" w:val="clear"/>
            <w:tcMar>
              <w:top w:type="dxa" w:w="80"/>
              <w:left w:type="dxa" w:w="120"/>
              <w:bottom w:type="dxa" w:w="80"/>
              <w:right w:type="dxa" w:w="120"/>
            </w:tcMar>
          </w:tcPr>
          <w:p>
            <w:r>
              <w:rPr>
                <w:b/>
                <w:bCs/>
                <w:color w:val="FFFFFF"/>
                <w:sz w:val="19"/>
                <w:szCs w:val="19"/>
              </w:rPr>
              <w:t xml:space="preserve">Datos</w:t>
            </w:r>
          </w:p>
        </w:tc>
        <w:tc>
          <w:tcPr>
            <w:tcW w:type="pct" w:w="750"/>
            <w:shd w:fill="1C3A5C" w:val="clear"/>
            <w:tcMar>
              <w:top w:type="dxa" w:w="80"/>
              <w:left w:type="dxa" w:w="120"/>
              <w:bottom w:type="dxa" w:w="80"/>
              <w:right w:type="dxa" w:w="120"/>
            </w:tcMar>
          </w:tcPr>
          <w:p>
            <w:r>
              <w:rPr>
                <w:b/>
                <w:bCs/>
                <w:color w:val="FFFFFF"/>
                <w:sz w:val="19"/>
                <w:szCs w:val="19"/>
              </w:rPr>
              <w:t xml:space="preserve">ADF (p)</w:t>
            </w:r>
          </w:p>
        </w:tc>
        <w:tc>
          <w:tcPr>
            <w:tcW w:type="pct" w:w="750"/>
            <w:shd w:fill="1C3A5C" w:val="clear"/>
            <w:tcMar>
              <w:top w:type="dxa" w:w="80"/>
              <w:left w:type="dxa" w:w="120"/>
              <w:bottom w:type="dxa" w:w="80"/>
              <w:right w:type="dxa" w:w="120"/>
            </w:tcMar>
          </w:tcPr>
          <w:p>
            <w:r>
              <w:rPr>
                <w:b/>
                <w:bCs/>
                <w:color w:val="FFFFFF"/>
                <w:sz w:val="19"/>
                <w:szCs w:val="19"/>
              </w:rPr>
              <w:t xml:space="preserve">KPSS (p)</w:t>
            </w:r>
          </w:p>
        </w:tc>
        <w:tc>
          <w:tcPr>
            <w:tcW w:type="pct" w:w="1200"/>
            <w:shd w:fill="1C3A5C" w:val="clear"/>
            <w:tcMar>
              <w:top w:type="dxa" w:w="80"/>
              <w:left w:type="dxa" w:w="120"/>
              <w:bottom w:type="dxa" w:w="80"/>
              <w:right w:type="dxa" w:w="120"/>
            </w:tcMar>
          </w:tcPr>
          <w:p>
            <w:r>
              <w:rPr>
                <w:b/>
                <w:bCs/>
                <w:color w:val="FFFFFF"/>
                <w:sz w:val="19"/>
                <w:szCs w:val="19"/>
              </w:rPr>
              <w:t xml:space="preserve">Conclusión</w:t>
            </w:r>
          </w:p>
        </w:tc>
      </w:tr>
      <w:tr>
        <w:trPr>
          <w:cantSplit/>
        </w:trPr>
        <w:tc>
          <w:tcPr>
            <w:tcW w:type="pct" w:w="1800"/>
            <w:shd w:fill="FFFFFF" w:val="clear"/>
            <w:tcMar>
              <w:top w:type="dxa" w:w="70"/>
              <w:left w:type="dxa" w:w="120"/>
              <w:bottom w:type="dxa" w:w="70"/>
              <w:right w:type="dxa" w:w="120"/>
            </w:tcMar>
          </w:tcPr>
          <w:p>
            <w:r>
              <w:rPr>
                <w:sz w:val="19"/>
                <w:szCs w:val="19"/>
              </w:rPr>
              <w:t xml:space="preserve">Retorno del Merval</w:t>
            </w:r>
          </w:p>
        </w:tc>
        <w:tc>
          <w:tcPr>
            <w:tcW w:type="pct" w:w="500"/>
            <w:shd w:fill="FFFFFF" w:val="clear"/>
            <w:tcMar>
              <w:top w:type="dxa" w:w="70"/>
              <w:left w:type="dxa" w:w="120"/>
              <w:bottom w:type="dxa" w:w="70"/>
              <w:right w:type="dxa" w:w="120"/>
            </w:tcMar>
          </w:tcPr>
          <w:p>
            <w:r>
              <w:rPr>
                <w:sz w:val="19"/>
                <w:szCs w:val="19"/>
              </w:rPr>
              <w:t xml:space="preserve">244</w:t>
            </w:r>
          </w:p>
        </w:tc>
        <w:tc>
          <w:tcPr>
            <w:tcW w:type="pct" w:w="750"/>
            <w:shd w:fill="FFFFFF" w:val="clear"/>
            <w:tcMar>
              <w:top w:type="dxa" w:w="70"/>
              <w:left w:type="dxa" w:w="120"/>
              <w:bottom w:type="dxa" w:w="70"/>
              <w:right w:type="dxa" w:w="120"/>
            </w:tcMar>
          </w:tcPr>
          <w:p>
            <w:r>
              <w:rPr>
                <w:sz w:val="19"/>
                <w:szCs w:val="19"/>
              </w:rPr>
              <w:t xml:space="preserve">&lt; 0,0001</w:t>
            </w:r>
          </w:p>
        </w:tc>
        <w:tc>
          <w:tcPr>
            <w:tcW w:type="pct" w:w="750"/>
            <w:shd w:fill="FFFFFF" w:val="clear"/>
            <w:tcMar>
              <w:top w:type="dxa" w:w="70"/>
              <w:left w:type="dxa" w:w="120"/>
              <w:bottom w:type="dxa" w:w="70"/>
              <w:right w:type="dxa" w:w="120"/>
            </w:tcMar>
          </w:tcPr>
          <w:p>
            <w:r>
              <w:rPr>
                <w:sz w:val="19"/>
                <w:szCs w:val="19"/>
              </w:rPr>
              <w:t xml:space="preserve">≥ 0,10</w:t>
            </w:r>
          </w:p>
        </w:tc>
        <w:tc>
          <w:tcPr>
            <w:tcW w:type="pct" w:w="1200"/>
            <w:shd w:fill="FFFFFF" w:val="clear"/>
            <w:tcMar>
              <w:top w:type="dxa" w:w="70"/>
              <w:left w:type="dxa" w:w="120"/>
              <w:bottom w:type="dxa" w:w="70"/>
              <w:right w:type="dxa" w:w="120"/>
            </w:tcMar>
          </w:tcPr>
          <w:p>
            <w:r>
              <w:rPr>
                <w:sz w:val="19"/>
                <w:szCs w:val="19"/>
              </w:rPr>
              <w:t xml:space="preserve">Estacionaria</w:t>
            </w:r>
          </w:p>
        </w:tc>
      </w:tr>
      <w:tr>
        <w:trPr>
          <w:cantSplit/>
        </w:trPr>
        <w:tc>
          <w:tcPr>
            <w:tcW w:type="pct" w:w="1800"/>
            <w:shd w:fill="FAFCFD" w:val="clear"/>
            <w:tcMar>
              <w:top w:type="dxa" w:w="70"/>
              <w:left w:type="dxa" w:w="120"/>
              <w:bottom w:type="dxa" w:w="70"/>
              <w:right w:type="dxa" w:w="120"/>
            </w:tcMar>
          </w:tcPr>
          <w:p>
            <w:r>
              <w:rPr>
                <w:sz w:val="19"/>
                <w:szCs w:val="19"/>
              </w:rPr>
              <w:t xml:space="preserve">Monto operado anormal</w:t>
            </w:r>
          </w:p>
        </w:tc>
        <w:tc>
          <w:tcPr>
            <w:tcW w:type="pct" w:w="500"/>
            <w:shd w:fill="FAFCFD" w:val="clear"/>
            <w:tcMar>
              <w:top w:type="dxa" w:w="70"/>
              <w:left w:type="dxa" w:w="120"/>
              <w:bottom w:type="dxa" w:w="70"/>
              <w:right w:type="dxa" w:w="120"/>
            </w:tcMar>
          </w:tcPr>
          <w:p>
            <w:r>
              <w:rPr>
                <w:sz w:val="19"/>
                <w:szCs w:val="19"/>
              </w:rPr>
              <w:t xml:space="preserve">244</w:t>
            </w:r>
          </w:p>
        </w:tc>
        <w:tc>
          <w:tcPr>
            <w:tcW w:type="pct" w:w="750"/>
            <w:shd w:fill="FAFCFD" w:val="clear"/>
            <w:tcMar>
              <w:top w:type="dxa" w:w="70"/>
              <w:left w:type="dxa" w:w="120"/>
              <w:bottom w:type="dxa" w:w="70"/>
              <w:right w:type="dxa" w:w="120"/>
            </w:tcMar>
          </w:tcPr>
          <w:p>
            <w:r>
              <w:rPr>
                <w:sz w:val="19"/>
                <w:szCs w:val="19"/>
              </w:rPr>
              <w:t xml:space="preserve">&lt; 0,0001</w:t>
            </w:r>
          </w:p>
        </w:tc>
        <w:tc>
          <w:tcPr>
            <w:tcW w:type="pct" w:w="750"/>
            <w:shd w:fill="FAFCFD" w:val="clear"/>
            <w:tcMar>
              <w:top w:type="dxa" w:w="70"/>
              <w:left w:type="dxa" w:w="120"/>
              <w:bottom w:type="dxa" w:w="70"/>
              <w:right w:type="dxa" w:w="120"/>
            </w:tcMar>
          </w:tcPr>
          <w:p>
            <w:r>
              <w:rPr>
                <w:sz w:val="19"/>
                <w:szCs w:val="19"/>
              </w:rPr>
              <w:t xml:space="preserve">≥ 0,10</w:t>
            </w:r>
          </w:p>
        </w:tc>
        <w:tc>
          <w:tcPr>
            <w:tcW w:type="pct" w:w="1200"/>
            <w:shd w:fill="FAFCFD" w:val="clear"/>
            <w:tcMar>
              <w:top w:type="dxa" w:w="70"/>
              <w:left w:type="dxa" w:w="120"/>
              <w:bottom w:type="dxa" w:w="70"/>
              <w:right w:type="dxa" w:w="120"/>
            </w:tcMar>
          </w:tcPr>
          <w:p>
            <w:r>
              <w:rPr>
                <w:sz w:val="19"/>
                <w:szCs w:val="19"/>
              </w:rPr>
              <w:t xml:space="preserve">Estacionaria</w:t>
            </w:r>
          </w:p>
        </w:tc>
      </w:tr>
      <w:tr>
        <w:trPr>
          <w:cantSplit/>
        </w:trPr>
        <w:tc>
          <w:tcPr>
            <w:tcW w:type="pct" w:w="1800"/>
            <w:shd w:fill="FFFFFF" w:val="clear"/>
            <w:tcMar>
              <w:top w:type="dxa" w:w="70"/>
              <w:left w:type="dxa" w:w="120"/>
              <w:bottom w:type="dxa" w:w="70"/>
              <w:right w:type="dxa" w:w="120"/>
            </w:tcMar>
          </w:tcPr>
          <w:p>
            <w:r>
              <w:rPr>
                <w:sz w:val="19"/>
                <w:szCs w:val="19"/>
              </w:rPr>
              <w:t xml:space="preserve">Atención anormal</w:t>
            </w:r>
          </w:p>
        </w:tc>
        <w:tc>
          <w:tcPr>
            <w:tcW w:type="pct" w:w="500"/>
            <w:shd w:fill="FFFFFF" w:val="clear"/>
            <w:tcMar>
              <w:top w:type="dxa" w:w="70"/>
              <w:left w:type="dxa" w:w="120"/>
              <w:bottom w:type="dxa" w:w="70"/>
              <w:right w:type="dxa" w:w="120"/>
            </w:tcMar>
          </w:tcPr>
          <w:p>
            <w:r>
              <w:rPr>
                <w:sz w:val="19"/>
                <w:szCs w:val="19"/>
              </w:rPr>
              <w:t xml:space="preserve">224</w:t>
            </w:r>
          </w:p>
        </w:tc>
        <w:tc>
          <w:tcPr>
            <w:tcW w:type="pct" w:w="750"/>
            <w:shd w:fill="FFFFFF" w:val="clear"/>
            <w:tcMar>
              <w:top w:type="dxa" w:w="70"/>
              <w:left w:type="dxa" w:w="120"/>
              <w:bottom w:type="dxa" w:w="70"/>
              <w:right w:type="dxa" w:w="120"/>
            </w:tcMar>
          </w:tcPr>
          <w:p>
            <w:r>
              <w:rPr>
                <w:sz w:val="19"/>
                <w:szCs w:val="19"/>
              </w:rPr>
              <w:t xml:space="preserve">0,0014</w:t>
            </w:r>
          </w:p>
        </w:tc>
        <w:tc>
          <w:tcPr>
            <w:tcW w:type="pct" w:w="750"/>
            <w:shd w:fill="FFFFFF" w:val="clear"/>
            <w:tcMar>
              <w:top w:type="dxa" w:w="70"/>
              <w:left w:type="dxa" w:w="120"/>
              <w:bottom w:type="dxa" w:w="70"/>
              <w:right w:type="dxa" w:w="120"/>
            </w:tcMar>
          </w:tcPr>
          <w:p>
            <w:r>
              <w:rPr>
                <w:sz w:val="19"/>
                <w:szCs w:val="19"/>
              </w:rPr>
              <w:t xml:space="preserve">0,077</w:t>
            </w:r>
          </w:p>
        </w:tc>
        <w:tc>
          <w:tcPr>
            <w:tcW w:type="pct" w:w="1200"/>
            <w:shd w:fill="FFFFFF" w:val="clear"/>
            <w:tcMar>
              <w:top w:type="dxa" w:w="70"/>
              <w:left w:type="dxa" w:w="120"/>
              <w:bottom w:type="dxa" w:w="70"/>
              <w:right w:type="dxa" w:w="120"/>
            </w:tcMar>
          </w:tcPr>
          <w:p>
            <w:r>
              <w:rPr>
                <w:sz w:val="19"/>
                <w:szCs w:val="19"/>
              </w:rPr>
              <w:t xml:space="preserve">Estacionaria</w:t>
            </w:r>
          </w:p>
        </w:tc>
      </w:tr>
      <w:tr>
        <w:trPr>
          <w:cantSplit/>
        </w:trPr>
        <w:tc>
          <w:tcPr>
            <w:tcW w:type="pct" w:w="1800"/>
            <w:shd w:fill="FAFCFD" w:val="clear"/>
            <w:tcMar>
              <w:top w:type="dxa" w:w="70"/>
              <w:left w:type="dxa" w:w="120"/>
              <w:bottom w:type="dxa" w:w="70"/>
              <w:right w:type="dxa" w:w="120"/>
            </w:tcMar>
          </w:tcPr>
          <w:p>
            <w:r>
              <w:rPr>
                <w:sz w:val="19"/>
                <w:szCs w:val="19"/>
              </w:rPr>
              <w:t xml:space="preserve">Notas por rueda</w:t>
            </w:r>
          </w:p>
        </w:tc>
        <w:tc>
          <w:tcPr>
            <w:tcW w:type="pct" w:w="500"/>
            <w:shd w:fill="FAFCFD" w:val="clear"/>
            <w:tcMar>
              <w:top w:type="dxa" w:w="70"/>
              <w:left w:type="dxa" w:w="120"/>
              <w:bottom w:type="dxa" w:w="70"/>
              <w:right w:type="dxa" w:w="120"/>
            </w:tcMar>
          </w:tcPr>
          <w:p>
            <w:r>
              <w:rPr>
                <w:sz w:val="19"/>
                <w:szCs w:val="19"/>
              </w:rPr>
              <w:t xml:space="preserve">244</w:t>
            </w:r>
          </w:p>
        </w:tc>
        <w:tc>
          <w:tcPr>
            <w:tcW w:type="pct" w:w="750"/>
            <w:shd w:fill="FAFCFD" w:val="clear"/>
            <w:tcMar>
              <w:top w:type="dxa" w:w="70"/>
              <w:left w:type="dxa" w:w="120"/>
              <w:bottom w:type="dxa" w:w="70"/>
              <w:right w:type="dxa" w:w="120"/>
            </w:tcMar>
          </w:tcPr>
          <w:p>
            <w:r>
              <w:rPr>
                <w:sz w:val="19"/>
                <w:szCs w:val="19"/>
              </w:rPr>
              <w:t xml:space="preserve">0,0044</w:t>
            </w:r>
          </w:p>
        </w:tc>
        <w:tc>
          <w:tcPr>
            <w:tcW w:type="pct" w:w="750"/>
            <w:shd w:fill="FAFCFD" w:val="clear"/>
            <w:tcMar>
              <w:top w:type="dxa" w:w="70"/>
              <w:left w:type="dxa" w:w="120"/>
              <w:bottom w:type="dxa" w:w="70"/>
              <w:right w:type="dxa" w:w="120"/>
            </w:tcMar>
          </w:tcPr>
          <w:p>
            <w:r>
              <w:rPr>
                <w:sz w:val="19"/>
                <w:szCs w:val="19"/>
              </w:rPr>
              <w:t xml:space="preserve">≤ 0,01</w:t>
            </w:r>
          </w:p>
        </w:tc>
        <w:tc>
          <w:tcPr>
            <w:tcW w:type="pct" w:w="1200"/>
            <w:shd w:fill="FAFCFD" w:val="clear"/>
            <w:tcMar>
              <w:top w:type="dxa" w:w="70"/>
              <w:left w:type="dxa" w:w="120"/>
              <w:bottom w:type="dxa" w:w="70"/>
              <w:right w:type="dxa" w:w="120"/>
            </w:tcMar>
          </w:tcPr>
          <w:p>
            <w:r>
              <w:rPr>
                <w:sz w:val="19"/>
                <w:szCs w:val="19"/>
              </w:rPr>
              <w:t xml:space="preserve">Estacionaria (ADF)</w:t>
            </w:r>
          </w:p>
        </w:tc>
      </w:tr>
      <w:tr>
        <w:trPr>
          <w:cantSplit/>
        </w:trPr>
        <w:tc>
          <w:tcPr>
            <w:tcW w:type="pct" w:w="1800"/>
            <w:shd w:fill="FFFFFF" w:val="clear"/>
            <w:tcMar>
              <w:top w:type="dxa" w:w="70"/>
              <w:left w:type="dxa" w:w="120"/>
              <w:bottom w:type="dxa" w:w="70"/>
              <w:right w:type="dxa" w:w="120"/>
            </w:tcMar>
          </w:tcPr>
          <w:p>
            <w:r>
              <w:rPr>
                <w:sz w:val="19"/>
                <w:szCs w:val="19"/>
              </w:rPr>
              <w:t xml:space="preserve">Tono anormal (variable del VAR)</w:t>
            </w:r>
          </w:p>
        </w:tc>
        <w:tc>
          <w:tcPr>
            <w:tcW w:type="pct" w:w="500"/>
            <w:shd w:fill="FFFFFF" w:val="clear"/>
            <w:tcMar>
              <w:top w:type="dxa" w:w="70"/>
              <w:left w:type="dxa" w:w="120"/>
              <w:bottom w:type="dxa" w:w="70"/>
              <w:right w:type="dxa" w:w="120"/>
            </w:tcMar>
          </w:tcPr>
          <w:p>
            <w:r>
              <w:rPr>
                <w:sz w:val="19"/>
                <w:szCs w:val="19"/>
              </w:rPr>
              <w:t xml:space="preserve">224</w:t>
            </w:r>
          </w:p>
        </w:tc>
        <w:tc>
          <w:tcPr>
            <w:tcW w:type="pct" w:w="750"/>
            <w:shd w:fill="FFFFFF" w:val="clear"/>
            <w:tcMar>
              <w:top w:type="dxa" w:w="70"/>
              <w:left w:type="dxa" w:w="120"/>
              <w:bottom w:type="dxa" w:w="70"/>
              <w:right w:type="dxa" w:w="120"/>
            </w:tcMar>
          </w:tcPr>
          <w:p>
            <w:r>
              <w:rPr>
                <w:sz w:val="19"/>
                <w:szCs w:val="19"/>
              </w:rPr>
              <w:t xml:space="preserve">&lt; 0,0001</w:t>
            </w:r>
          </w:p>
        </w:tc>
        <w:tc>
          <w:tcPr>
            <w:tcW w:type="pct" w:w="750"/>
            <w:shd w:fill="FFFFFF" w:val="clear"/>
            <w:tcMar>
              <w:top w:type="dxa" w:w="70"/>
              <w:left w:type="dxa" w:w="120"/>
              <w:bottom w:type="dxa" w:w="70"/>
              <w:right w:type="dxa" w:w="120"/>
            </w:tcMar>
          </w:tcPr>
          <w:p>
            <w:r>
              <w:rPr>
                <w:sz w:val="19"/>
                <w:szCs w:val="19"/>
              </w:rPr>
              <w:t xml:space="preserve">≥ 0,10</w:t>
            </w:r>
          </w:p>
        </w:tc>
        <w:tc>
          <w:tcPr>
            <w:tcW w:type="pct" w:w="1200"/>
            <w:shd w:fill="FFFFFF" w:val="clear"/>
            <w:tcMar>
              <w:top w:type="dxa" w:w="70"/>
              <w:left w:type="dxa" w:w="120"/>
              <w:bottom w:type="dxa" w:w="70"/>
              <w:right w:type="dxa" w:w="120"/>
            </w:tcMar>
          </w:tcPr>
          <w:p>
            <w:r>
              <w:rPr>
                <w:sz w:val="19"/>
                <w:szCs w:val="19"/>
              </w:rPr>
              <w:t xml:space="preserve">Estacionaria</w:t>
            </w:r>
          </w:p>
        </w:tc>
      </w:tr>
      <w:tr>
        <w:trPr>
          <w:cantSplit/>
        </w:trPr>
        <w:tc>
          <w:tcPr>
            <w:tcW w:type="pct" w:w="1800"/>
            <w:shd w:fill="FAFCFD" w:val="clear"/>
            <w:tcMar>
              <w:top w:type="dxa" w:w="70"/>
              <w:left w:type="dxa" w:w="120"/>
              <w:bottom w:type="dxa" w:w="70"/>
              <w:right w:type="dxa" w:w="120"/>
            </w:tcMar>
          </w:tcPr>
          <w:p>
            <w:r>
              <w:rPr>
                <w:sz w:val="19"/>
                <w:szCs w:val="19"/>
              </w:rPr>
              <w:t xml:space="preserve">Tono por portal, anormal</w:t>
            </w:r>
          </w:p>
        </w:tc>
        <w:tc>
          <w:tcPr>
            <w:tcW w:type="pct" w:w="500"/>
            <w:shd w:fill="FAFCFD" w:val="clear"/>
            <w:tcMar>
              <w:top w:type="dxa" w:w="70"/>
              <w:left w:type="dxa" w:w="120"/>
              <w:bottom w:type="dxa" w:w="70"/>
              <w:right w:type="dxa" w:w="120"/>
            </w:tcMar>
          </w:tcPr>
          <w:p>
            <w:r>
              <w:rPr>
                <w:sz w:val="19"/>
                <w:szCs w:val="19"/>
              </w:rPr>
              <w:t xml:space="preserve">224</w:t>
            </w:r>
          </w:p>
        </w:tc>
        <w:tc>
          <w:tcPr>
            <w:tcW w:type="pct" w:w="750"/>
            <w:shd w:fill="FAFCFD" w:val="clear"/>
            <w:tcMar>
              <w:top w:type="dxa" w:w="70"/>
              <w:left w:type="dxa" w:w="120"/>
              <w:bottom w:type="dxa" w:w="70"/>
              <w:right w:type="dxa" w:w="120"/>
            </w:tcMar>
          </w:tcPr>
          <w:p>
            <w:r>
              <w:rPr>
                <w:sz w:val="19"/>
                <w:szCs w:val="19"/>
              </w:rPr>
              <w:t xml:space="preserve">&lt; 0,0001</w:t>
            </w:r>
          </w:p>
        </w:tc>
        <w:tc>
          <w:tcPr>
            <w:tcW w:type="pct" w:w="750"/>
            <w:shd w:fill="FAFCFD" w:val="clear"/>
            <w:tcMar>
              <w:top w:type="dxa" w:w="70"/>
              <w:left w:type="dxa" w:w="120"/>
              <w:bottom w:type="dxa" w:w="70"/>
              <w:right w:type="dxa" w:w="120"/>
            </w:tcMar>
          </w:tcPr>
          <w:p>
            <w:r>
              <w:rPr>
                <w:sz w:val="19"/>
                <w:szCs w:val="19"/>
              </w:rPr>
              <w:t xml:space="preserve">≥ 0,10</w:t>
            </w:r>
          </w:p>
        </w:tc>
        <w:tc>
          <w:tcPr>
            <w:tcW w:type="pct" w:w="1200"/>
            <w:shd w:fill="FAFCFD" w:val="clear"/>
            <w:tcMar>
              <w:top w:type="dxa" w:w="70"/>
              <w:left w:type="dxa" w:w="120"/>
              <w:bottom w:type="dxa" w:w="70"/>
              <w:right w:type="dxa" w:w="120"/>
            </w:tcMar>
          </w:tcPr>
          <w:p>
            <w:r>
              <w:rPr>
                <w:sz w:val="19"/>
                <w:szCs w:val="19"/>
              </w:rPr>
              <w:t xml:space="preserve">Estacionaria</w:t>
            </w:r>
          </w:p>
        </w:tc>
      </w:tr>
      <w:tr>
        <w:trPr>
          <w:cantSplit/>
        </w:trPr>
        <w:tc>
          <w:tcPr>
            <w:tcW w:type="pct" w:w="1800"/>
            <w:shd w:fill="FFFFFF" w:val="clear"/>
            <w:tcMar>
              <w:top w:type="dxa" w:w="70"/>
              <w:left w:type="dxa" w:w="120"/>
              <w:bottom w:type="dxa" w:w="70"/>
              <w:right w:type="dxa" w:w="120"/>
            </w:tcMar>
          </w:tcPr>
          <w:p>
            <w:r>
              <w:rPr>
                <w:sz w:val="19"/>
                <w:szCs w:val="19"/>
              </w:rPr>
              <w:t xml:space="preserve">Tono de las noticias (nivel)</w:t>
            </w:r>
          </w:p>
        </w:tc>
        <w:tc>
          <w:tcPr>
            <w:tcW w:type="pct" w:w="500"/>
            <w:shd w:fill="FFFFFF" w:val="clear"/>
            <w:tcMar>
              <w:top w:type="dxa" w:w="70"/>
              <w:left w:type="dxa" w:w="120"/>
              <w:bottom w:type="dxa" w:w="70"/>
              <w:right w:type="dxa" w:w="120"/>
            </w:tcMar>
          </w:tcPr>
          <w:p>
            <w:r>
              <w:rPr>
                <w:sz w:val="19"/>
                <w:szCs w:val="19"/>
              </w:rPr>
              <w:t xml:space="preserve">244</w:t>
            </w:r>
          </w:p>
        </w:tc>
        <w:tc>
          <w:tcPr>
            <w:tcW w:type="pct" w:w="750"/>
            <w:shd w:fill="FFFFFF" w:val="clear"/>
            <w:tcMar>
              <w:top w:type="dxa" w:w="70"/>
              <w:left w:type="dxa" w:w="120"/>
              <w:bottom w:type="dxa" w:w="70"/>
              <w:right w:type="dxa" w:w="120"/>
            </w:tcMar>
          </w:tcPr>
          <w:p>
            <w:r>
              <w:rPr>
                <w:sz w:val="19"/>
                <w:szCs w:val="19"/>
              </w:rPr>
              <w:t xml:space="preserve">0,3492</w:t>
            </w:r>
          </w:p>
        </w:tc>
        <w:tc>
          <w:tcPr>
            <w:tcW w:type="pct" w:w="750"/>
            <w:shd w:fill="FFFFFF" w:val="clear"/>
            <w:tcMar>
              <w:top w:type="dxa" w:w="70"/>
              <w:left w:type="dxa" w:w="120"/>
              <w:bottom w:type="dxa" w:w="70"/>
              <w:right w:type="dxa" w:w="120"/>
            </w:tcMar>
          </w:tcPr>
          <w:p>
            <w:r>
              <w:rPr>
                <w:sz w:val="19"/>
                <w:szCs w:val="19"/>
              </w:rPr>
              <w:t xml:space="preserve">≥ 0,10</w:t>
            </w:r>
          </w:p>
        </w:tc>
        <w:tc>
          <w:tcPr>
            <w:tcW w:type="pct" w:w="1200"/>
            <w:shd w:fill="FFFFFF" w:val="clear"/>
            <w:tcMar>
              <w:top w:type="dxa" w:w="70"/>
              <w:left w:type="dxa" w:w="120"/>
              <w:bottom w:type="dxa" w:w="70"/>
              <w:right w:type="dxa" w:w="120"/>
            </w:tcMar>
          </w:tcPr>
          <w:p>
            <w:r>
              <w:rPr>
                <w:sz w:val="19"/>
                <w:szCs w:val="19"/>
              </w:rPr>
              <w:t xml:space="preserve">Inconclusa</w:t>
            </w:r>
          </w:p>
        </w:tc>
      </w:tr>
      <w:tr>
        <w:trPr>
          <w:cantSplit/>
        </w:trPr>
        <w:tc>
          <w:tcPr>
            <w:tcW w:type="pct" w:w="1800"/>
            <w:shd w:fill="FAFCFD" w:val="clear"/>
            <w:tcMar>
              <w:top w:type="dxa" w:w="70"/>
              <w:left w:type="dxa" w:w="120"/>
              <w:bottom w:type="dxa" w:w="70"/>
              <w:right w:type="dxa" w:w="120"/>
            </w:tcMar>
          </w:tcPr>
          <w:p>
            <w:r>
              <w:rPr>
                <w:sz w:val="19"/>
                <w:szCs w:val="19"/>
              </w:rPr>
              <w:t xml:space="preserve">Tono ajustado por portal (nivel)</w:t>
            </w:r>
          </w:p>
        </w:tc>
        <w:tc>
          <w:tcPr>
            <w:tcW w:type="pct" w:w="500"/>
            <w:shd w:fill="FAFCFD" w:val="clear"/>
            <w:tcMar>
              <w:top w:type="dxa" w:w="70"/>
              <w:left w:type="dxa" w:w="120"/>
              <w:bottom w:type="dxa" w:w="70"/>
              <w:right w:type="dxa" w:w="120"/>
            </w:tcMar>
          </w:tcPr>
          <w:p>
            <w:r>
              <w:rPr>
                <w:sz w:val="19"/>
                <w:szCs w:val="19"/>
              </w:rPr>
              <w:t xml:space="preserve">244</w:t>
            </w:r>
          </w:p>
        </w:tc>
        <w:tc>
          <w:tcPr>
            <w:tcW w:type="pct" w:w="750"/>
            <w:shd w:fill="FAFCFD" w:val="clear"/>
            <w:tcMar>
              <w:top w:type="dxa" w:w="70"/>
              <w:left w:type="dxa" w:w="120"/>
              <w:bottom w:type="dxa" w:w="70"/>
              <w:right w:type="dxa" w:w="120"/>
            </w:tcMar>
          </w:tcPr>
          <w:p>
            <w:r>
              <w:rPr>
                <w:sz w:val="19"/>
                <w:szCs w:val="19"/>
              </w:rPr>
              <w:t xml:space="preserve">0,2997</w:t>
            </w:r>
          </w:p>
        </w:tc>
        <w:tc>
          <w:tcPr>
            <w:tcW w:type="pct" w:w="750"/>
            <w:shd w:fill="FAFCFD" w:val="clear"/>
            <w:tcMar>
              <w:top w:type="dxa" w:w="70"/>
              <w:left w:type="dxa" w:w="120"/>
              <w:bottom w:type="dxa" w:w="70"/>
              <w:right w:type="dxa" w:w="120"/>
            </w:tcMar>
          </w:tcPr>
          <w:p>
            <w:r>
              <w:rPr>
                <w:sz w:val="19"/>
                <w:szCs w:val="19"/>
              </w:rPr>
              <w:t xml:space="preserve">≥ 0,10</w:t>
            </w:r>
          </w:p>
        </w:tc>
        <w:tc>
          <w:tcPr>
            <w:tcW w:type="pct" w:w="1200"/>
            <w:shd w:fill="FAFCFD" w:val="clear"/>
            <w:tcMar>
              <w:top w:type="dxa" w:w="70"/>
              <w:left w:type="dxa" w:w="120"/>
              <w:bottom w:type="dxa" w:w="70"/>
              <w:right w:type="dxa" w:w="120"/>
            </w:tcMar>
          </w:tcPr>
          <w:p>
            <w:r>
              <w:rPr>
                <w:sz w:val="19"/>
                <w:szCs w:val="19"/>
              </w:rPr>
              <w:t xml:space="preserve">Inconclusa</w:t>
            </w:r>
          </w:p>
        </w:tc>
      </w:tr>
      <w:tr>
        <w:trPr>
          <w:cantSplit/>
        </w:trPr>
        <w:tc>
          <w:tcPr>
            <w:tcW w:type="pct" w:w="1800"/>
            <w:shd w:fill="FFFFFF" w:val="clear"/>
            <w:tcMar>
              <w:top w:type="dxa" w:w="70"/>
              <w:left w:type="dxa" w:w="120"/>
              <w:bottom w:type="dxa" w:w="70"/>
              <w:right w:type="dxa" w:w="120"/>
            </w:tcMar>
          </w:tcPr>
          <w:p>
            <w:r>
              <w:rPr>
                <w:sz w:val="19"/>
                <w:szCs w:val="19"/>
              </w:rPr>
              <w:t xml:space="preserve">Cambio de tono (vs. rueda anterior)</w:t>
            </w:r>
          </w:p>
        </w:tc>
        <w:tc>
          <w:tcPr>
            <w:tcW w:type="pct" w:w="500"/>
            <w:shd w:fill="FFFFFF" w:val="clear"/>
            <w:tcMar>
              <w:top w:type="dxa" w:w="70"/>
              <w:left w:type="dxa" w:w="120"/>
              <w:bottom w:type="dxa" w:w="70"/>
              <w:right w:type="dxa" w:w="120"/>
            </w:tcMar>
          </w:tcPr>
          <w:p>
            <w:r>
              <w:rPr>
                <w:sz w:val="19"/>
                <w:szCs w:val="19"/>
              </w:rPr>
              <w:t xml:space="preserve">243</w:t>
            </w:r>
          </w:p>
        </w:tc>
        <w:tc>
          <w:tcPr>
            <w:tcW w:type="pct" w:w="750"/>
            <w:shd w:fill="FFFFFF" w:val="clear"/>
            <w:tcMar>
              <w:top w:type="dxa" w:w="70"/>
              <w:left w:type="dxa" w:w="120"/>
              <w:bottom w:type="dxa" w:w="70"/>
              <w:right w:type="dxa" w:w="120"/>
            </w:tcMar>
          </w:tcPr>
          <w:p>
            <w:r>
              <w:rPr>
                <w:sz w:val="19"/>
                <w:szCs w:val="19"/>
              </w:rPr>
              <w:t xml:space="preserve">&lt; 0,0001</w:t>
            </w:r>
          </w:p>
        </w:tc>
        <w:tc>
          <w:tcPr>
            <w:tcW w:type="pct" w:w="750"/>
            <w:shd w:fill="FFFFFF" w:val="clear"/>
            <w:tcMar>
              <w:top w:type="dxa" w:w="70"/>
              <w:left w:type="dxa" w:w="120"/>
              <w:bottom w:type="dxa" w:w="70"/>
              <w:right w:type="dxa" w:w="120"/>
            </w:tcMar>
          </w:tcPr>
          <w:p>
            <w:r>
              <w:rPr>
                <w:sz w:val="19"/>
                <w:szCs w:val="19"/>
              </w:rPr>
              <w:t xml:space="preserve">≥ 0,10</w:t>
            </w:r>
          </w:p>
        </w:tc>
        <w:tc>
          <w:tcPr>
            <w:tcW w:type="pct" w:w="1200"/>
            <w:shd w:fill="FFFFFF" w:val="clear"/>
            <w:tcMar>
              <w:top w:type="dxa" w:w="70"/>
              <w:left w:type="dxa" w:w="120"/>
              <w:bottom w:type="dxa" w:w="70"/>
              <w:right w:type="dxa" w:w="120"/>
            </w:tcMar>
          </w:tcPr>
          <w:p>
            <w:r>
              <w:rPr>
                <w:sz w:val="19"/>
                <w:szCs w:val="19"/>
              </w:rPr>
              <w:t xml:space="preserve">Estacionaria</w:t>
            </w:r>
          </w:p>
        </w:tc>
      </w:tr>
      <w:tr>
        <w:trPr>
          <w:cantSplit/>
        </w:trPr>
        <w:tc>
          <w:tcPr>
            <w:tcW w:type="pct" w:w="1800"/>
            <w:shd w:fill="FAFCFD" w:val="clear"/>
            <w:tcMar>
              <w:top w:type="dxa" w:w="70"/>
              <w:left w:type="dxa" w:w="120"/>
              <w:bottom w:type="dxa" w:w="70"/>
              <w:right w:type="dxa" w:w="120"/>
            </w:tcMar>
          </w:tcPr>
          <w:p>
            <w:r>
              <w:rPr>
                <w:sz w:val="19"/>
                <w:szCs w:val="19"/>
              </w:rPr>
              <w:t xml:space="preserve">VIX argentino</w:t>
            </w:r>
          </w:p>
        </w:tc>
        <w:tc>
          <w:tcPr>
            <w:tcW w:type="pct" w:w="500"/>
            <w:shd w:fill="FAFCFD" w:val="clear"/>
            <w:tcMar>
              <w:top w:type="dxa" w:w="70"/>
              <w:left w:type="dxa" w:w="120"/>
              <w:bottom w:type="dxa" w:w="70"/>
              <w:right w:type="dxa" w:w="120"/>
            </w:tcMar>
          </w:tcPr>
          <w:p>
            <w:r>
              <w:rPr>
                <w:sz w:val="19"/>
                <w:szCs w:val="19"/>
              </w:rPr>
              <w:t xml:space="preserve">244</w:t>
            </w:r>
          </w:p>
        </w:tc>
        <w:tc>
          <w:tcPr>
            <w:tcW w:type="pct" w:w="750"/>
            <w:shd w:fill="FAFCFD" w:val="clear"/>
            <w:tcMar>
              <w:top w:type="dxa" w:w="70"/>
              <w:left w:type="dxa" w:w="120"/>
              <w:bottom w:type="dxa" w:w="70"/>
              <w:right w:type="dxa" w:w="120"/>
            </w:tcMar>
          </w:tcPr>
          <w:p>
            <w:r>
              <w:rPr>
                <w:sz w:val="19"/>
                <w:szCs w:val="19"/>
              </w:rPr>
              <w:t xml:space="preserve">0,1545</w:t>
            </w:r>
          </w:p>
        </w:tc>
        <w:tc>
          <w:tcPr>
            <w:tcW w:type="pct" w:w="750"/>
            <w:shd w:fill="FAFCFD" w:val="clear"/>
            <w:tcMar>
              <w:top w:type="dxa" w:w="70"/>
              <w:left w:type="dxa" w:w="120"/>
              <w:bottom w:type="dxa" w:w="70"/>
              <w:right w:type="dxa" w:w="120"/>
            </w:tcMar>
          </w:tcPr>
          <w:p>
            <w:r>
              <w:rPr>
                <w:sz w:val="19"/>
                <w:szCs w:val="19"/>
              </w:rPr>
              <w:t xml:space="preserve">0,095</w:t>
            </w:r>
          </w:p>
        </w:tc>
        <w:tc>
          <w:tcPr>
            <w:tcW w:type="pct" w:w="1200"/>
            <w:shd w:fill="FAFCFD" w:val="clear"/>
            <w:tcMar>
              <w:top w:type="dxa" w:w="70"/>
              <w:left w:type="dxa" w:w="120"/>
              <w:bottom w:type="dxa" w:w="70"/>
              <w:right w:type="dxa" w:w="120"/>
            </w:tcMar>
          </w:tcPr>
          <w:p>
            <w:r>
              <w:rPr>
                <w:sz w:val="19"/>
                <w:szCs w:val="19"/>
              </w:rPr>
              <w:t xml:space="preserve">Inconclusa</w:t>
            </w:r>
          </w:p>
        </w:tc>
      </w:tr>
    </w:tbl>
    <w:p>
      <w:pPr>
        <w:spacing w:after="160" w:line="300"/>
      </w:pPr>
      <w:r>
        <w:rPr>
          <w:i/>
          <w:iCs/>
          <w:color w:val="5C6B7A"/>
          <w:sz w:val="18"/>
          <w:szCs w:val="18"/>
        </w:rPr>
        <w:t xml:space="preserve">El tono anormal y la atención tienen 224 datos porque las primeras 20 ruedas no tienen 20 ruedas previas de referencia. El KPSS solo informa p-valores entre 0,01 y 0,10.</w:t>
      </w:r>
    </w:p>
    <w:p>
      <w:pPr>
        <w:pStyle w:val="Heading1"/>
        <w:keepNext/>
        <w:spacing w:after="160" w:before="360"/>
      </w:pPr>
      <w:r>
        <w:t xml:space="preserve">4. El tono de las noticias: inconcluso, y qué se hizo</w:t>
      </w:r>
    </w:p>
    <w:p>
      <w:pPr>
        <w:spacing w:after="160" w:line="300"/>
      </w:pPr>
      <w:r>
        <w:t xml:space="preserve">El tono en nivel no permite concluir: el ADF da p = 0,35 y el KPSS tampoco encuentra problemas. La razón es que el tono cambia de a poco, en ciclos de varios meses. Promedio por trimestre: 2025 T2: +7,5 · 2025 T3: +0,5 · 2025 T4: +7,6 · 2026 T1: +3,7 · 2026 T2: -2,9. Con un solo año de datos, el test no logra distinguir "un clima que va y viene" de "un clima que se va corriendo". Es un problema de pocos datos más que de la serie: con 5 rezagos fijos en lugar de los 9 que elige el AIC, el ADF sí la da estable.</w:t>
      </w:r>
    </w:p>
    <w:p>
      <w:pPr>
        <w:spacing w:after="160" w:line="300"/>
      </w:pPr>
      <w:r>
        <w:t xml:space="preserve">Como es la variable central del VAR, se compararon dos transformaciones:</w:t>
      </w:r>
    </w:p>
    <w:p>
      <w:pPr>
        <w:spacing w:after="160" w:line="300"/>
        <w:ind w:left="360" w:hanging="240"/>
      </w:pPr>
      <w:r>
        <w:t xml:space="preserve">•  </w:t>
      </w:r>
      <w:r>
        <w:rPr>
          <w:b/>
          <w:bCs/>
        </w:rPr>
        <w:t xml:space="preserve">Tono anormal: </w:t>
      </w:r>
      <w:r>
        <w:t xml:space="preserve">tono de la rueda menos el promedio de las 20 ruedas previas. Responde "¿las noticias están más optimistas o pesimistas que lo habitual?".</w:t>
      </w:r>
    </w:p>
    <w:p>
      <w:pPr>
        <w:spacing w:after="160" w:line="300"/>
        <w:ind w:left="360" w:hanging="240"/>
      </w:pPr>
      <w:r>
        <w:t xml:space="preserve">•  </w:t>
      </w:r>
      <w:r>
        <w:rPr>
          <w:b/>
          <w:bCs/>
        </w:rPr>
        <w:t xml:space="preserve">Cambio de tono: </w:t>
      </w:r>
      <w:r>
        <w:t xml:space="preserve">tono de la rueda menos el de la rueda anterior. Responde "¿mejoró o empeoró respecto de ayer?"; es más ruidoso.</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Decisión del 24/10/2026</w:t>
            </w:r>
          </w:p>
          <w:p>
            <w:pPr>
              <w:spacing w:after="60" w:line="276"/>
            </w:pPr>
            <w:r>
              <w:t xml:space="preserve">El VAR usa el tono anormal (ADF p &lt; 0,0001, KPSS sin problemas). Tiene tres ventajas: es estable sin discusión; usa la misma lógica que la atención y el volumen anormales (todo comparado con lo habitual); y mide la sorpresa, que es lo que puede mover precios, en lugar del clima de fondo que el mercado ya conoce. El tono en nivel se usa como robustez (U8). El tono anormal se agregó a los datasets de U4 (sent_anormal y sent_portal_anormal).</w:t>
            </w:r>
          </w:p>
        </w:tc>
      </w:tr>
    </w:tbl>
    <w:p>
      <w:pPr>
        <w:spacing w:after="160" w:line="300"/>
      </w:pPr>
      <w:r>
        <w:t xml:space="preserve">El VIX argentino también da inconcluso, por la misma razón (sube y baja en episodios de semanas). No entra al VAR como variable: se usa como contexto a través del régimen del HMM.</w:t>
      </w:r>
    </w:p>
    <w:p>
      <w:pPr>
        <w:pStyle w:val="Heading1"/>
        <w:keepNext/>
        <w:spacing w:after="160" w:before="360"/>
      </w:pPr>
      <w:r>
        <w:t xml:space="preserve">5. Series de cada acción</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855"/>
        <w:gridCol w:w="1157"/>
        <w:gridCol w:w="1446"/>
        <w:gridCol w:w="1638"/>
        <w:gridCol w:w="1542"/>
      </w:tblGrid>
      <w:tr>
        <w:trPr>
          <w:tblHeader/>
        </w:trPr>
        <w:tc>
          <w:tcPr>
            <w:tcW w:type="pct" w:w="2000"/>
            <w:shd w:fill="1C3A5C" w:val="clear"/>
            <w:tcMar>
              <w:top w:type="dxa" w:w="80"/>
              <w:left w:type="dxa" w:w="120"/>
              <w:bottom w:type="dxa" w:w="80"/>
              <w:right w:type="dxa" w:w="120"/>
            </w:tcMar>
          </w:tcPr>
          <w:p>
            <w:r>
              <w:rPr>
                <w:b/>
                <w:bCs/>
                <w:color w:val="FFFFFF"/>
                <w:sz w:val="19"/>
                <w:szCs w:val="19"/>
              </w:rPr>
              <w:t xml:space="preserve">Serie</w:t>
            </w:r>
          </w:p>
        </w:tc>
        <w:tc>
          <w:tcPr>
            <w:tcW w:type="pct" w:w="600"/>
            <w:shd w:fill="1C3A5C" w:val="clear"/>
            <w:tcMar>
              <w:top w:type="dxa" w:w="80"/>
              <w:left w:type="dxa" w:w="120"/>
              <w:bottom w:type="dxa" w:w="80"/>
              <w:right w:type="dxa" w:w="120"/>
            </w:tcMar>
          </w:tcPr>
          <w:p>
            <w:r>
              <w:rPr>
                <w:b/>
                <w:bCs/>
                <w:color w:val="FFFFFF"/>
                <w:sz w:val="19"/>
                <w:szCs w:val="19"/>
              </w:rPr>
              <w:t xml:space="preserve">Series</w:t>
            </w:r>
          </w:p>
        </w:tc>
        <w:tc>
          <w:tcPr>
            <w:tcW w:type="pct" w:w="750"/>
            <w:shd w:fill="1C3A5C" w:val="clear"/>
            <w:tcMar>
              <w:top w:type="dxa" w:w="80"/>
              <w:left w:type="dxa" w:w="120"/>
              <w:bottom w:type="dxa" w:w="80"/>
              <w:right w:type="dxa" w:w="120"/>
            </w:tcMar>
          </w:tcPr>
          <w:p>
            <w:r>
              <w:rPr>
                <w:b/>
                <w:bCs/>
                <w:color w:val="FFFFFF"/>
                <w:sz w:val="19"/>
                <w:szCs w:val="19"/>
              </w:rPr>
              <w:t xml:space="preserve">Estacionaria</w:t>
            </w:r>
          </w:p>
        </w:tc>
        <w:tc>
          <w:tcPr>
            <w:tcW w:type="pct" w:w="850"/>
            <w:shd w:fill="1C3A5C" w:val="clear"/>
            <w:tcMar>
              <w:top w:type="dxa" w:w="80"/>
              <w:left w:type="dxa" w:w="120"/>
              <w:bottom w:type="dxa" w:w="80"/>
              <w:right w:type="dxa" w:w="120"/>
            </w:tcMar>
          </w:tcPr>
          <w:p>
            <w:r>
              <w:rPr>
                <w:b/>
                <w:bCs/>
                <w:color w:val="FFFFFF"/>
                <w:sz w:val="19"/>
                <w:szCs w:val="19"/>
              </w:rPr>
              <w:t xml:space="preserve">Estacionaria (ADF)</w:t>
            </w:r>
          </w:p>
        </w:tc>
        <w:tc>
          <w:tcPr>
            <w:tcW w:type="pct" w:w="800"/>
            <w:shd w:fill="1C3A5C" w:val="clear"/>
            <w:tcMar>
              <w:top w:type="dxa" w:w="80"/>
              <w:left w:type="dxa" w:w="120"/>
              <w:bottom w:type="dxa" w:w="80"/>
              <w:right w:type="dxa" w:w="120"/>
            </w:tcMar>
          </w:tcPr>
          <w:p>
            <w:r>
              <w:rPr>
                <w:b/>
                <w:bCs/>
                <w:color w:val="FFFFFF"/>
                <w:sz w:val="19"/>
                <w:szCs w:val="19"/>
              </w:rPr>
              <w:t xml:space="preserve">Inconclusa o no estacionaria</w:t>
            </w:r>
          </w:p>
        </w:tc>
      </w:tr>
      <w:tr>
        <w:trPr>
          <w:cantSplit/>
        </w:trPr>
        <w:tc>
          <w:tcPr>
            <w:tcW w:type="pct" w:w="2000"/>
            <w:shd w:fill="FFFFFF" w:val="clear"/>
            <w:tcMar>
              <w:top w:type="dxa" w:w="70"/>
              <w:left w:type="dxa" w:w="120"/>
              <w:bottom w:type="dxa" w:w="70"/>
              <w:right w:type="dxa" w:w="120"/>
            </w:tcMar>
          </w:tcPr>
          <w:p>
            <w:r>
              <w:rPr>
                <w:sz w:val="19"/>
                <w:szCs w:val="19"/>
              </w:rPr>
              <w:t xml:space="preserve">Retorno (47 acciones)</w:t>
            </w:r>
          </w:p>
        </w:tc>
        <w:tc>
          <w:tcPr>
            <w:tcW w:type="pct" w:w="600"/>
            <w:shd w:fill="FFFFFF" w:val="clear"/>
            <w:tcMar>
              <w:top w:type="dxa" w:w="70"/>
              <w:left w:type="dxa" w:w="120"/>
              <w:bottom w:type="dxa" w:w="70"/>
              <w:right w:type="dxa" w:w="120"/>
            </w:tcMar>
          </w:tcPr>
          <w:p>
            <w:r>
              <w:rPr>
                <w:sz w:val="19"/>
                <w:szCs w:val="19"/>
              </w:rPr>
              <w:t xml:space="preserve">47</w:t>
            </w:r>
          </w:p>
        </w:tc>
        <w:tc>
          <w:tcPr>
            <w:tcW w:type="pct" w:w="750"/>
            <w:shd w:fill="FFFFFF" w:val="clear"/>
            <w:tcMar>
              <w:top w:type="dxa" w:w="70"/>
              <w:left w:type="dxa" w:w="120"/>
              <w:bottom w:type="dxa" w:w="70"/>
              <w:right w:type="dxa" w:w="120"/>
            </w:tcMar>
          </w:tcPr>
          <w:p>
            <w:r>
              <w:rPr>
                <w:sz w:val="19"/>
                <w:szCs w:val="19"/>
              </w:rPr>
              <w:t xml:space="preserve">47</w:t>
            </w:r>
          </w:p>
        </w:tc>
        <w:tc>
          <w:tcPr>
            <w:tcW w:type="pct" w:w="850"/>
            <w:shd w:fill="FFFFFF" w:val="clear"/>
            <w:tcMar>
              <w:top w:type="dxa" w:w="70"/>
              <w:left w:type="dxa" w:w="120"/>
              <w:bottom w:type="dxa" w:w="70"/>
              <w:right w:type="dxa" w:w="120"/>
            </w:tcMar>
          </w:tcPr>
          <w:p>
            <w:r>
              <w:rPr>
                <w:sz w:val="19"/>
                <w:szCs w:val="19"/>
              </w:rPr>
              <w:t xml:space="preserve">0</w:t>
            </w:r>
          </w:p>
        </w:tc>
        <w:tc>
          <w:tcPr>
            <w:tcW w:type="pct" w:w="800"/>
            <w:shd w:fill="FFFFFF" w:val="clear"/>
            <w:tcMar>
              <w:top w:type="dxa" w:w="70"/>
              <w:left w:type="dxa" w:w="120"/>
              <w:bottom w:type="dxa" w:w="70"/>
              <w:right w:type="dxa" w:w="120"/>
            </w:tcMar>
          </w:tcPr>
          <w:p>
            <w:r>
              <w:rPr>
                <w:sz w:val="19"/>
                <w:szCs w:val="19"/>
              </w:rPr>
              <w:t xml:space="preserve">0</w:t>
            </w:r>
          </w:p>
        </w:tc>
      </w:tr>
      <w:tr>
        <w:trPr>
          <w:cantSplit/>
        </w:trPr>
        <w:tc>
          <w:tcPr>
            <w:tcW w:type="pct" w:w="2000"/>
            <w:shd w:fill="FAFCFD" w:val="clear"/>
            <w:tcMar>
              <w:top w:type="dxa" w:w="70"/>
              <w:left w:type="dxa" w:w="120"/>
              <w:bottom w:type="dxa" w:w="70"/>
              <w:right w:type="dxa" w:w="120"/>
            </w:tcMar>
          </w:tcPr>
          <w:p>
            <w:r>
              <w:rPr>
                <w:sz w:val="19"/>
                <w:szCs w:val="19"/>
              </w:rPr>
              <w:t xml:space="preserve">Volumen anormal (47 acciones)</w:t>
            </w:r>
          </w:p>
        </w:tc>
        <w:tc>
          <w:tcPr>
            <w:tcW w:type="pct" w:w="600"/>
            <w:shd w:fill="FAFCFD" w:val="clear"/>
            <w:tcMar>
              <w:top w:type="dxa" w:w="70"/>
              <w:left w:type="dxa" w:w="120"/>
              <w:bottom w:type="dxa" w:w="70"/>
              <w:right w:type="dxa" w:w="120"/>
            </w:tcMar>
          </w:tcPr>
          <w:p>
            <w:r>
              <w:rPr>
                <w:sz w:val="19"/>
                <w:szCs w:val="19"/>
              </w:rPr>
              <w:t xml:space="preserve">47</w:t>
            </w:r>
          </w:p>
        </w:tc>
        <w:tc>
          <w:tcPr>
            <w:tcW w:type="pct" w:w="750"/>
            <w:shd w:fill="FAFCFD" w:val="clear"/>
            <w:tcMar>
              <w:top w:type="dxa" w:w="70"/>
              <w:left w:type="dxa" w:w="120"/>
              <w:bottom w:type="dxa" w:w="70"/>
              <w:right w:type="dxa" w:w="120"/>
            </w:tcMar>
          </w:tcPr>
          <w:p>
            <w:r>
              <w:rPr>
                <w:sz w:val="19"/>
                <w:szCs w:val="19"/>
              </w:rPr>
              <w:t xml:space="preserve">46</w:t>
            </w:r>
          </w:p>
        </w:tc>
        <w:tc>
          <w:tcPr>
            <w:tcW w:type="pct" w:w="850"/>
            <w:shd w:fill="FAFCFD" w:val="clear"/>
            <w:tcMar>
              <w:top w:type="dxa" w:w="70"/>
              <w:left w:type="dxa" w:w="120"/>
              <w:bottom w:type="dxa" w:w="70"/>
              <w:right w:type="dxa" w:w="120"/>
            </w:tcMar>
          </w:tcPr>
          <w:p>
            <w:r>
              <w:rPr>
                <w:sz w:val="19"/>
                <w:szCs w:val="19"/>
              </w:rPr>
              <w:t xml:space="preserve">1</w:t>
            </w:r>
          </w:p>
        </w:tc>
        <w:tc>
          <w:tcPr>
            <w:tcW w:type="pct" w:w="800"/>
            <w:shd w:fill="FAFCFD" w:val="clear"/>
            <w:tcMar>
              <w:top w:type="dxa" w:w="70"/>
              <w:left w:type="dxa" w:w="120"/>
              <w:bottom w:type="dxa" w:w="70"/>
              <w:right w:type="dxa" w:w="120"/>
            </w:tcMar>
          </w:tcPr>
          <w:p>
            <w:r>
              <w:rPr>
                <w:sz w:val="19"/>
                <w:szCs w:val="19"/>
              </w:rPr>
              <w:t xml:space="preserve">0</w:t>
            </w:r>
          </w:p>
        </w:tc>
      </w:tr>
      <w:tr>
        <w:trPr>
          <w:cantSplit/>
        </w:trPr>
        <w:tc>
          <w:tcPr>
            <w:tcW w:type="pct" w:w="2000"/>
            <w:shd w:fill="FFFFFF" w:val="clear"/>
            <w:tcMar>
              <w:top w:type="dxa" w:w="70"/>
              <w:left w:type="dxa" w:w="120"/>
              <w:bottom w:type="dxa" w:w="70"/>
              <w:right w:type="dxa" w:w="120"/>
            </w:tcMar>
          </w:tcPr>
          <w:p>
            <w:r>
              <w:rPr>
                <w:sz w:val="19"/>
                <w:szCs w:val="19"/>
              </w:rPr>
              <w:t xml:space="preserve">Tono propio de la empresa (17, variable del VAR)</w:t>
            </w:r>
          </w:p>
        </w:tc>
        <w:tc>
          <w:tcPr>
            <w:tcW w:type="pct" w:w="600"/>
            <w:shd w:fill="FFFFFF" w:val="clear"/>
            <w:tcMar>
              <w:top w:type="dxa" w:w="70"/>
              <w:left w:type="dxa" w:w="120"/>
              <w:bottom w:type="dxa" w:w="70"/>
              <w:right w:type="dxa" w:w="120"/>
            </w:tcMar>
          </w:tcPr>
          <w:p>
            <w:r>
              <w:rPr>
                <w:sz w:val="19"/>
                <w:szCs w:val="19"/>
              </w:rPr>
              <w:t xml:space="preserve">17</w:t>
            </w:r>
          </w:p>
        </w:tc>
        <w:tc>
          <w:tcPr>
            <w:tcW w:type="pct" w:w="750"/>
            <w:shd w:fill="FFFFFF" w:val="clear"/>
            <w:tcMar>
              <w:top w:type="dxa" w:w="70"/>
              <w:left w:type="dxa" w:w="120"/>
              <w:bottom w:type="dxa" w:w="70"/>
              <w:right w:type="dxa" w:w="120"/>
            </w:tcMar>
          </w:tcPr>
          <w:p>
            <w:r>
              <w:rPr>
                <w:sz w:val="19"/>
                <w:szCs w:val="19"/>
              </w:rPr>
              <w:t xml:space="preserve">14</w:t>
            </w:r>
          </w:p>
        </w:tc>
        <w:tc>
          <w:tcPr>
            <w:tcW w:type="pct" w:w="850"/>
            <w:shd w:fill="FFFFFF" w:val="clear"/>
            <w:tcMar>
              <w:top w:type="dxa" w:w="70"/>
              <w:left w:type="dxa" w:w="120"/>
              <w:bottom w:type="dxa" w:w="70"/>
              <w:right w:type="dxa" w:w="120"/>
            </w:tcMar>
          </w:tcPr>
          <w:p>
            <w:r>
              <w:rPr>
                <w:sz w:val="19"/>
                <w:szCs w:val="19"/>
              </w:rPr>
              <w:t xml:space="preserve">3</w:t>
            </w:r>
          </w:p>
        </w:tc>
        <w:tc>
          <w:tcPr>
            <w:tcW w:type="pct" w:w="800"/>
            <w:shd w:fill="FFFFFF" w:val="clear"/>
            <w:tcMar>
              <w:top w:type="dxa" w:w="70"/>
              <w:left w:type="dxa" w:w="120"/>
              <w:bottom w:type="dxa" w:w="70"/>
              <w:right w:type="dxa" w:w="120"/>
            </w:tcMar>
          </w:tcPr>
          <w:p>
            <w:r>
              <w:rPr>
                <w:sz w:val="19"/>
                <w:szCs w:val="19"/>
              </w:rPr>
              <w:t xml:space="preserve">0</w:t>
            </w:r>
          </w:p>
        </w:tc>
      </w:tr>
      <w:tr>
        <w:trPr>
          <w:cantSplit/>
        </w:trPr>
        <w:tc>
          <w:tcPr>
            <w:tcW w:type="pct" w:w="2000"/>
            <w:shd w:fill="FAFCFD" w:val="clear"/>
            <w:tcMar>
              <w:top w:type="dxa" w:w="70"/>
              <w:left w:type="dxa" w:w="120"/>
              <w:bottom w:type="dxa" w:w="70"/>
              <w:right w:type="dxa" w:w="120"/>
            </w:tcMar>
          </w:tcPr>
          <w:p>
            <w:r>
              <w:rPr>
                <w:sz w:val="19"/>
                <w:szCs w:val="19"/>
              </w:rPr>
              <w:t xml:space="preserve">Tono de la empresa, completando los días sin noticia con el tono general</w:t>
            </w:r>
          </w:p>
        </w:tc>
        <w:tc>
          <w:tcPr>
            <w:tcW w:type="pct" w:w="600"/>
            <w:shd w:fill="FAFCFD" w:val="clear"/>
            <w:tcMar>
              <w:top w:type="dxa" w:w="70"/>
              <w:left w:type="dxa" w:w="120"/>
              <w:bottom w:type="dxa" w:w="70"/>
              <w:right w:type="dxa" w:w="120"/>
            </w:tcMar>
          </w:tcPr>
          <w:p>
            <w:r>
              <w:rPr>
                <w:sz w:val="19"/>
                <w:szCs w:val="19"/>
              </w:rPr>
              <w:t xml:space="preserve">17</w:t>
            </w:r>
          </w:p>
        </w:tc>
        <w:tc>
          <w:tcPr>
            <w:tcW w:type="pct" w:w="750"/>
            <w:shd w:fill="FAFCFD" w:val="clear"/>
            <w:tcMar>
              <w:top w:type="dxa" w:w="70"/>
              <w:left w:type="dxa" w:w="120"/>
              <w:bottom w:type="dxa" w:w="70"/>
              <w:right w:type="dxa" w:w="120"/>
            </w:tcMar>
          </w:tcPr>
          <w:p>
            <w:r>
              <w:rPr>
                <w:sz w:val="19"/>
                <w:szCs w:val="19"/>
              </w:rPr>
              <w:t xml:space="preserve">16</w:t>
            </w:r>
          </w:p>
        </w:tc>
        <w:tc>
          <w:tcPr>
            <w:tcW w:type="pct" w:w="850"/>
            <w:shd w:fill="FAFCFD" w:val="clear"/>
            <w:tcMar>
              <w:top w:type="dxa" w:w="70"/>
              <w:left w:type="dxa" w:w="120"/>
              <w:bottom w:type="dxa" w:w="70"/>
              <w:right w:type="dxa" w:w="120"/>
            </w:tcMar>
          </w:tcPr>
          <w:p>
            <w:r>
              <w:rPr>
                <w:sz w:val="19"/>
                <w:szCs w:val="19"/>
              </w:rPr>
              <w:t xml:space="preserve">1</w:t>
            </w:r>
          </w:p>
        </w:tc>
        <w:tc>
          <w:tcPr>
            <w:tcW w:type="pct" w:w="800"/>
            <w:shd w:fill="FAFCFD" w:val="clear"/>
            <w:tcMar>
              <w:top w:type="dxa" w:w="70"/>
              <w:left w:type="dxa" w:w="120"/>
              <w:bottom w:type="dxa" w:w="70"/>
              <w:right w:type="dxa" w:w="120"/>
            </w:tcMar>
          </w:tcPr>
          <w:p>
            <w:r>
              <w:rPr>
                <w:sz w:val="19"/>
                <w:szCs w:val="19"/>
              </w:rPr>
              <w:t xml:space="preserve">0</w:t>
            </w:r>
          </w:p>
        </w:tc>
      </w:tr>
      <w:tr>
        <w:trPr>
          <w:cantSplit/>
        </w:trPr>
        <w:tc>
          <w:tcPr>
            <w:tcW w:type="pct" w:w="2000"/>
            <w:shd w:fill="FFFFFF" w:val="clear"/>
            <w:tcMar>
              <w:top w:type="dxa" w:w="70"/>
              <w:left w:type="dxa" w:w="120"/>
              <w:bottom w:type="dxa" w:w="70"/>
              <w:right w:type="dxa" w:w="120"/>
            </w:tcMar>
          </w:tcPr>
          <w:p>
            <w:r>
              <w:rPr>
                <w:sz w:val="19"/>
                <w:szCs w:val="19"/>
              </w:rPr>
              <w:t xml:space="preserve">Tono de la empresa, solo los días con noticia</w:t>
            </w:r>
          </w:p>
        </w:tc>
        <w:tc>
          <w:tcPr>
            <w:tcW w:type="pct" w:w="600"/>
            <w:shd w:fill="FFFFFF" w:val="clear"/>
            <w:tcMar>
              <w:top w:type="dxa" w:w="70"/>
              <w:left w:type="dxa" w:w="120"/>
              <w:bottom w:type="dxa" w:w="70"/>
              <w:right w:type="dxa" w:w="120"/>
            </w:tcMar>
          </w:tcPr>
          <w:p>
            <w:r>
              <w:rPr>
                <w:sz w:val="19"/>
                <w:szCs w:val="19"/>
              </w:rPr>
              <w:t xml:space="preserve">17</w:t>
            </w:r>
          </w:p>
        </w:tc>
        <w:tc>
          <w:tcPr>
            <w:tcW w:type="pct" w:w="750"/>
            <w:shd w:fill="FFFFFF" w:val="clear"/>
            <w:tcMar>
              <w:top w:type="dxa" w:w="70"/>
              <w:left w:type="dxa" w:w="120"/>
              <w:bottom w:type="dxa" w:w="70"/>
              <w:right w:type="dxa" w:w="120"/>
            </w:tcMar>
          </w:tcPr>
          <w:p>
            <w:r>
              <w:rPr>
                <w:sz w:val="19"/>
                <w:szCs w:val="19"/>
              </w:rPr>
              <w:t xml:space="preserve">16</w:t>
            </w:r>
          </w:p>
        </w:tc>
        <w:tc>
          <w:tcPr>
            <w:tcW w:type="pct" w:w="850"/>
            <w:shd w:fill="FFFFFF" w:val="clear"/>
            <w:tcMar>
              <w:top w:type="dxa" w:w="70"/>
              <w:left w:type="dxa" w:w="120"/>
              <w:bottom w:type="dxa" w:w="70"/>
              <w:right w:type="dxa" w:w="120"/>
            </w:tcMar>
          </w:tcPr>
          <w:p>
            <w:r>
              <w:rPr>
                <w:sz w:val="19"/>
                <w:szCs w:val="19"/>
              </w:rPr>
              <w:t xml:space="preserve">1</w:t>
            </w:r>
          </w:p>
        </w:tc>
        <w:tc>
          <w:tcPr>
            <w:tcW w:type="pct" w:w="800"/>
            <w:shd w:fill="FFFFFF" w:val="clear"/>
            <w:tcMar>
              <w:top w:type="dxa" w:w="70"/>
              <w:left w:type="dxa" w:w="120"/>
              <w:bottom w:type="dxa" w:w="70"/>
              <w:right w:type="dxa" w:w="120"/>
            </w:tcMar>
          </w:tcPr>
          <w:p>
            <w:r>
              <w:rPr>
                <w:sz w:val="19"/>
                <w:szCs w:val="19"/>
              </w:rPr>
              <w:t xml:space="preserve">0</w:t>
            </w:r>
          </w:p>
        </w:tc>
      </w:tr>
    </w:tbl>
    <w:p>
      <w:pPr>
        <w:spacing w:after="160" w:line="300"/>
      </w:pPr>
      <w:r>
        <w:t xml:space="preserve">Todos los retornos son estables, como en la carpeta 04 con 3 años (47 de 47); el que más se acerca al límite es GCDI (p = 0,026). Los casos "estables con memoria" son n_notas; sent_neto_empresa BYMA (completada); sent_neto_empresa BYMA (solo días con noticia); tono_propio CRES; vol_anormal RIGO; tono_propio TRAN; tono_propio YPFD.</w:t>
      </w:r>
    </w:p>
    <w:p>
      <w:pPr>
        <w:spacing w:after="160" w:line="300"/>
      </w:pPr>
      <w:r>
        <w:t xml:space="preserve">El tono de cada empresa es estable de las dos formas en que se lo puede armar, y también lo es el tono propio que se definió en U6 (cuánto mejor o peor se habla de la empresa que del mercado, ponderado por la cantidad de oraciones), que es la variable de empresa que usa el VAR.</w:t>
      </w:r>
    </w:p>
    <w:p>
      <w:pPr>
        <w:spacing w:after="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160" w:line="300"/>
      </w:pPr>
      <w:r>
        <w:rPr>
          <w:i/>
          <w:iCs/>
          <w:color w:val="5C6B7A"/>
          <w:sz w:val="18"/>
          <w:szCs w:val="18"/>
        </w:rPr>
        <w:t xml:space="preserve">Proporción de series en cada categoría. Verde: estables. Amarillo: inconclusas.</w:t>
      </w:r>
    </w:p>
    <w:p>
      <w:pPr>
        <w:pStyle w:val="Heading1"/>
        <w:keepNext/>
        <w:spacing w:after="160" w:before="360"/>
      </w:pPr>
      <w:r>
        <w:t xml:space="preserve">6. Controles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7903"/>
        <w:gridCol w:w="1735"/>
      </w:tblGrid>
      <w:tr>
        <w:trPr>
          <w:tblHeader/>
        </w:trPr>
        <w:tc>
          <w:tcPr>
            <w:tcW w:type="pct" w:w="4100"/>
            <w:shd w:fill="1C3A5C" w:val="clear"/>
            <w:tcMar>
              <w:top w:type="dxa" w:w="80"/>
              <w:left w:type="dxa" w:w="120"/>
              <w:bottom w:type="dxa" w:w="80"/>
              <w:right w:type="dxa" w:w="120"/>
            </w:tcMar>
          </w:tcPr>
          <w:p>
            <w:r>
              <w:rPr>
                <w:b/>
                <w:bCs/>
                <w:color w:val="FFFFFF"/>
                <w:sz w:val="19"/>
                <w:szCs w:val="19"/>
              </w:rPr>
              <w:t xml:space="preserve">Control</w:t>
            </w:r>
          </w:p>
        </w:tc>
        <w:tc>
          <w:tcPr>
            <w:tcW w:type="pct" w:w="900"/>
            <w:shd w:fill="1C3A5C" w:val="clear"/>
            <w:tcMar>
              <w:top w:type="dxa" w:w="80"/>
              <w:left w:type="dxa" w:w="120"/>
              <w:bottom w:type="dxa" w:w="80"/>
              <w:right w:type="dxa" w:w="120"/>
            </w:tcMar>
          </w:tcPr>
          <w:p>
            <w:r>
              <w:rPr>
                <w:b/>
                <w:bCs/>
                <w:color w:val="FFFFFF"/>
                <w:sz w:val="19"/>
                <w:szCs w:val="19"/>
              </w:rPr>
              <w:t xml:space="preserve">Resultado</w:t>
            </w:r>
          </w:p>
        </w:tc>
      </w:tr>
      <w:tr>
        <w:trPr>
          <w:cantSplit/>
        </w:trPr>
        <w:tc>
          <w:tcPr>
            <w:tcW w:type="pct" w:w="4100"/>
            <w:shd w:fill="FFFFFF" w:val="clear"/>
            <w:tcMar>
              <w:top w:type="dxa" w:w="70"/>
              <w:left w:type="dxa" w:w="120"/>
              <w:bottom w:type="dxa" w:w="70"/>
              <w:right w:type="dxa" w:w="120"/>
            </w:tcMar>
          </w:tcPr>
          <w:p>
            <w:r>
              <w:rPr>
                <w:sz w:val="19"/>
                <w:szCs w:val="19"/>
              </w:rPr>
              <w:t xml:space="preserve">Se probaron todas las series previstas</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Las series de mercado tienen 244 datos (224 la atención y el tono anormal, sin sus 20 primeras ruedas)</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Retornos y volumen anormal de cada acción tienen 244 datos</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La versión completada del sentimiento por empresa no tiene huecos</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Misma especificación que la carpeta 04 para retornos (ADF con constante, rezagos por AIC)</w:t>
            </w:r>
          </w:p>
        </w:tc>
        <w:tc>
          <w:tcPr>
            <w:tcW w:type="pct" w:w="900"/>
            <w:shd w:fill="FFFFFF" w:val="clear"/>
            <w:tcMar>
              <w:top w:type="dxa" w:w="70"/>
              <w:left w:type="dxa" w:w="120"/>
              <w:bottom w:type="dxa" w:w="70"/>
              <w:right w:type="dxa" w:w="120"/>
            </w:tcMar>
          </w:tcPr>
          <w:p>
            <w:r>
              <w:rPr>
                <w:sz w:val="19"/>
                <w:szCs w:val="19"/>
              </w:rPr>
              <w:t xml:space="preserve">Pasa</w:t>
            </w:r>
          </w:p>
        </w:tc>
      </w:tr>
    </w:tbl>
    <w:p>
      <w:pPr>
        <w:pStyle w:val="Heading1"/>
        <w:keepNext/>
        <w:spacing w:after="160" w:before="360"/>
      </w:pPr>
      <w:r>
        <w:t xml:space="preserve">7. Archivos que genera</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277"/>
        <w:gridCol w:w="6361"/>
      </w:tblGrid>
      <w:tr>
        <w:trPr>
          <w:tblHeader/>
        </w:trPr>
        <w:tc>
          <w:tcPr>
            <w:tcW w:type="pct" w:w="1700"/>
            <w:shd w:fill="1C3A5C" w:val="clear"/>
            <w:tcMar>
              <w:top w:type="dxa" w:w="80"/>
              <w:left w:type="dxa" w:w="120"/>
              <w:bottom w:type="dxa" w:w="80"/>
              <w:right w:type="dxa" w:w="120"/>
            </w:tcMar>
          </w:tcPr>
          <w:p>
            <w:r>
              <w:rPr>
                <w:b/>
                <w:bCs/>
                <w:color w:val="FFFFFF"/>
                <w:sz w:val="19"/>
                <w:szCs w:val="19"/>
              </w:rPr>
              <w:t xml:space="preserve">Archivo</w:t>
            </w:r>
          </w:p>
        </w:tc>
        <w:tc>
          <w:tcPr>
            <w:tcW w:type="pct" w:w="3300"/>
            <w:shd w:fill="1C3A5C" w:val="clear"/>
            <w:tcMar>
              <w:top w:type="dxa" w:w="80"/>
              <w:left w:type="dxa" w:w="120"/>
              <w:bottom w:type="dxa" w:w="80"/>
              <w:right w:type="dxa" w:w="120"/>
            </w:tcMar>
          </w:tcPr>
          <w:p>
            <w:r>
              <w:rPr>
                <w:b/>
                <w:bCs/>
                <w:color w:val="FFFFFF"/>
                <w:sz w:val="19"/>
                <w:szCs w:val="19"/>
              </w:rPr>
              <w:t xml:space="preserve">Qué tiene</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resultados_adf_union.csv</w:t>
            </w:r>
          </w:p>
        </w:tc>
        <w:tc>
          <w:tcPr>
            <w:tcW w:type="pct" w:w="3300"/>
            <w:shd w:fill="FFFFFF" w:val="clear"/>
            <w:tcMar>
              <w:top w:type="dxa" w:w="70"/>
              <w:left w:type="dxa" w:w="120"/>
              <w:bottom w:type="dxa" w:w="70"/>
              <w:right w:type="dxa" w:w="120"/>
            </w:tcMar>
          </w:tcPr>
          <w:p>
            <w:r>
              <w:rPr>
                <w:sz w:val="19"/>
                <w:szCs w:val="19"/>
              </w:rPr>
              <w:t xml:space="preserve">Las 156 pruebas: serie, forma, acción, datos, estadístico y p-valor de ADF y KPSS, rezagos y conclusión</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resumen_por_serie.csv</w:t>
            </w:r>
          </w:p>
        </w:tc>
        <w:tc>
          <w:tcPr>
            <w:tcW w:type="pct" w:w="3300"/>
            <w:shd w:fill="FAFCFD" w:val="clear"/>
            <w:tcMar>
              <w:top w:type="dxa" w:w="70"/>
              <w:left w:type="dxa" w:w="120"/>
              <w:bottom w:type="dxa" w:w="70"/>
              <w:right w:type="dxa" w:w="120"/>
            </w:tcMar>
          </w:tcPr>
          <w:p>
            <w:r>
              <w:rPr>
                <w:sz w:val="19"/>
                <w:szCs w:val="19"/>
              </w:rPr>
              <w:t xml:space="preserve">Cuántas series de cada tipo cayeron en cada categoría</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resumen_u5.csv</w:t>
            </w:r>
            <w:r>
              <w:t xml:space="preserve">, </w:t>
            </w:r>
            <w:r>
              <w:rPr>
                <w:rFonts w:ascii="Consolas" w:cs="Consolas" w:eastAsia="Consolas" w:hAnsi="Consolas"/>
                <w:color w:val="1C3A5C"/>
                <w:sz w:val="19"/>
                <w:szCs w:val="19"/>
              </w:rPr>
              <w:t xml:space="preserve">verificaciones.csv</w:t>
            </w:r>
          </w:p>
        </w:tc>
        <w:tc>
          <w:tcPr>
            <w:tcW w:type="pct" w:w="3300"/>
            <w:shd w:fill="FFFFFF" w:val="clear"/>
            <w:tcMar>
              <w:top w:type="dxa" w:w="70"/>
              <w:left w:type="dxa" w:w="120"/>
              <w:bottom w:type="dxa" w:w="70"/>
              <w:right w:type="dxa" w:w="120"/>
            </w:tcMar>
          </w:tcPr>
          <w:p>
            <w:r>
              <w:rPr>
                <w:sz w:val="19"/>
                <w:szCs w:val="19"/>
              </w:rPr>
              <w:t xml:space="preserve">Las cifras y los controles de este documento</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u5_resumen.png</w:t>
            </w:r>
          </w:p>
        </w:tc>
        <w:tc>
          <w:tcPr>
            <w:tcW w:type="pct" w:w="3300"/>
            <w:shd w:fill="FAFCFD" w:val="clear"/>
            <w:tcMar>
              <w:top w:type="dxa" w:w="70"/>
              <w:left w:type="dxa" w:w="120"/>
              <w:bottom w:type="dxa" w:w="70"/>
              <w:right w:type="dxa" w:w="120"/>
            </w:tcMar>
          </w:tcPr>
          <w:p>
            <w:r>
              <w:rPr>
                <w:sz w:val="19"/>
                <w:szCs w:val="19"/>
              </w:rPr>
              <w:t xml:space="preserve">La figura de la sección 5</w:t>
            </w:r>
          </w:p>
        </w:tc>
      </w:tr>
    </w:tbl>
    <w:p>
      <w:pPr>
        <w:pStyle w:val="Heading1"/>
        <w:keepNext/>
        <w:spacing w:after="160" w:before="360"/>
      </w:pPr>
      <w:r>
        <w:t xml:space="preserve">8. Limitaciones</w:t>
      </w:r>
    </w:p>
    <w:p>
      <w:pPr>
        <w:spacing w:after="160" w:line="300"/>
        <w:ind w:left="360" w:hanging="240"/>
      </w:pPr>
      <w:r>
        <w:t xml:space="preserve">•  Con 244 ruedas los tests tienen poca potencia: una serie persistente puede quedar inconclusa aunque sea estable. Por eso se usan dos tests y se informa el caso inconcluso como tal.</w:t>
      </w:r>
    </w:p>
    <w:p>
      <w:pPr>
        <w:spacing w:after="160" w:line="300"/>
        <w:ind w:left="360" w:hanging="240"/>
      </w:pPr>
      <w:r>
        <w:t xml:space="preserve">•  El tono anormal pierde las primeras 20 ruedas (mayo de 2025), que no tienen referencia previa.</w:t>
      </w:r>
    </w:p>
    <w:p>
      <w:pPr>
        <w:spacing w:after="160" w:line="300"/>
        <w:ind w:left="360" w:hanging="240"/>
      </w:pPr>
      <w:r>
        <w:t xml:space="preserve">•  Usar el tono anormal cambia la pregunta: el VAR mide el efecto de las sorpresas en el tono, no del nivel. La robustez con el tono en nivel (U8) muestra si la conclusión depende de esa elección.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6"/>
        <w:szCs w:val="16"/>
      </w:rPr>
      <w:t xml:space="preserve">Nicolás Diddi · Gino Frigoni · Página </w:t>
    </w:r>
    <w:r>
      <w:rPr>
        <w:color w:val="5C6B7A"/>
        <w:sz w:val="16"/>
        <w:szCs w:val="16"/>
      </w:rPr>
      <w:fldChar w:fldCharType="begin"/>
      <w:instrText xml:space="preserve">PAGE</w:instrText>
      <w:fldChar w:fldCharType="separate"/>
      <w:fldChar w:fldCharType="end"/>
    </w:r>
    <w:r>
      <w:rPr>
        <w:color w:val="5C6B7A"/>
        <w:sz w:val="16"/>
        <w:szCs w:val="16"/>
      </w:rPr>
      <w:t xml:space="preserve"> de </w:t>
    </w:r>
    <w:r>
      <w:rPr>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6"/>
        <w:szCs w:val="16"/>
      </w:rPr>
      <w:t xml:space="preserve">U5 · ADF de la unión — tesis version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798C" w:sz="6" w:space="4"/>
      </w:pBdr>
      <w:spacing w:after="160" w:before="360"/>
    </w:pPr>
    <w:rPr>
      <w:rFonts w:ascii="Cambria" w:cs="Cambria" w:eastAsia="Cambria" w:hAnsi="Cambria"/>
      <w:b/>
      <w:bCs/>
      <w:color w:val="12263A"/>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bfa10cf93746ec43a470c4344e031b6623e089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2026-10-24T05:26:12.922Z</dcterms:created>
  <dcterms:modified xsi:type="dcterms:W3CDTF">2026-10-24T05:26:12.923Z</dcterms:modified>
</cp:coreProperties>
</file>

<file path=docProps/custom.xml><?xml version="1.0" encoding="utf-8"?>
<Properties xmlns="http://schemas.openxmlformats.org/officeDocument/2006/custom-properties" xmlns:vt="http://schemas.openxmlformats.org/officeDocument/2006/docPropsVTypes"/>
</file>