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2263A"/>
          <w:sz w:val="44"/>
          <w:szCs w:val="44"/>
        </w:rPr>
        <w:t xml:space="preserve">U6 · VAR, Granger e impulso-respuesta</w:t>
      </w:r>
    </w:p>
    <w:p>
      <w:pPr>
        <w:spacing w:after="200"/>
      </w:pPr>
      <w:r>
        <w:rPr>
          <w:rFonts w:ascii="Cambria" w:cs="Cambria" w:eastAsia="Cambria" w:hAnsi="Cambria"/>
          <w:i/>
          <w:iCs/>
          <w:color w:val="1C3A5C"/>
          <w:sz w:val="24"/>
          <w:szCs w:val="24"/>
        </w:rPr>
        <w:t xml:space="preserve">¿Las noticias anticipan al mercado, o el mercado anticipa a las noticias?</w:t>
      </w:r>
    </w:p>
    <w:p>
      <w:pPr>
        <w:pBdr>
          <w:bottom w:val="single" w:color="D9E0E7" w:sz="4" w:space="8"/>
        </w:pBdr>
        <w:spacing w:after="200"/>
      </w:pPr>
      <w:r>
        <w:rPr>
          <w:color w:val="5C6B7A"/>
          <w:sz w:val="19"/>
          <w:szCs w:val="19"/>
        </w:rPr>
        <w:t xml:space="preserve">Tesina — Impacto de shocks informativos en acciones argentinas (BYMA / S&amp;P Merval). Documento de la unión: lee el lado bursátil y el lado de noticias sin modificarlos.</w:t>
      </w:r>
    </w:p>
    <w:p>
      <w:pPr>
        <w:spacing w:after="160" w:line="300"/>
      </w:pPr>
      <w:r>
        <w:rPr>
          <w:b/>
          <w:bCs/>
        </w:rPr>
        <w:t xml:space="preserve">Ubicación. </w:t>
      </w:r>
      <w:r>
        <w:rPr>
          <w:rFonts w:ascii="Consolas" w:cs="Consolas" w:eastAsia="Consolas" w:hAnsi="Consolas"/>
          <w:color w:val="1C3A5C"/>
          <w:sz w:val="19"/>
          <w:szCs w:val="19"/>
        </w:rPr>
        <w:t xml:space="preserve">D:\2.Tesina\tesis version 3.0\Unión\06_var_granger\</w:t>
      </w:r>
      <w:r>
        <w:t xml:space="preserve">. Script: </w:t>
      </w:r>
      <w:r>
        <w:rPr>
          <w:rFonts w:ascii="Consolas" w:cs="Consolas" w:eastAsia="Consolas" w:hAnsi="Consolas"/>
          <w:color w:val="1C3A5C"/>
          <w:sz w:val="19"/>
          <w:szCs w:val="19"/>
        </w:rPr>
        <w:t xml:space="preserve">var_granger.py</w:t>
      </w:r>
      <w:r>
        <w:t xml:space="preserve">.</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En una frase</w:t>
            </w:r>
          </w:p>
          <w:p>
            <w:pPr>
              <w:spacing w:after="60" w:line="276"/>
            </w:pPr>
            <w:r>
              <w:t xml:space="preserve">El mercado anticipa a las noticias, y no al revés. Cuando el Merval sube, el tono de las noticias de las ruedas siguientes es más positivo; pasa en el mercado, en 39 de las 47 empresas, en 15 de las 17 con tono propio y en casi todos los sectores, siempre con el mismo signo. En la dirección contraria, de las noticias hacia los precios o el volumen, no aparece nada consistente.</w:t>
            </w:r>
          </w:p>
        </w:tc>
      </w:tr>
    </w:tbl>
    <w:p>
      <w:pPr>
        <w:pStyle w:val="Heading1"/>
        <w:keepNext/>
        <w:spacing w:after="160" w:before="360"/>
      </w:pPr>
      <w:r>
        <w:t xml:space="preserve">1. Qué pregunta responde</w:t>
      </w:r>
    </w:p>
    <w:p>
      <w:pPr>
        <w:spacing w:after="160" w:line="300"/>
      </w:pPr>
      <w:r>
        <w:t xml:space="preserve">Es la pregunta central de la tesis: si el tono de las noticias económicas ayuda a anticipar lo que hacen los precios y el volumen operado, o si es al revés, y las noticias reflejan lo que el mercado ya hizo. Se mira siempre en las dos direcciones.</w:t>
      </w:r>
    </w:p>
    <w:p>
      <w:pPr>
        <w:spacing w:after="160" w:line="300"/>
      </w:pPr>
      <w:r>
        <w:t xml:space="preserve">Se usan las 224 ruedas del 02/06/2025 al 30/04/2026: las 244 de la ventana de la unión menos las 20 primeras, que no tienen tono anormal ni atención porque les faltan 20 ruedas previas de referencia.</w:t>
      </w:r>
    </w:p>
    <w:p>
      <w:pPr>
        <w:pStyle w:val="Heading1"/>
        <w:keepNext/>
        <w:spacing w:after="160" w:before="360"/>
      </w:pPr>
      <w:r>
        <w:t xml:space="preserve">2. Las herramientas, en simple</w:t>
      </w:r>
    </w:p>
    <w:p>
      <w:pPr>
        <w:spacing w:after="160" w:line="300"/>
      </w:pPr>
      <w:r>
        <w:rPr>
          <w:b/>
          <w:bCs/>
        </w:rPr>
        <w:t xml:space="preserve">VAR. </w:t>
      </w:r>
      <w:r>
        <w:t xml:space="preserve">Un modelo que explica cada variable de hoy con lo que pasó en los días anteriores con todas las variables. Por ejemplo, el retorno de hoy con los retornos, el volumen y el tono de las ruedas previas. Cuántos días hacia atrás mira (los rezagos) lo elige el propio modelo, entre 1 y 5, con el criterio AIC.</w:t>
      </w:r>
    </w:p>
    <w:p>
      <w:pPr>
        <w:spacing w:after="160" w:line="300"/>
      </w:pPr>
      <w:r>
        <w:rPr>
          <w:b/>
          <w:bCs/>
        </w:rPr>
        <w:t xml:space="preserve">Causalidad de Granger. </w:t>
      </w:r>
      <w:r>
        <w:t xml:space="preserve">Pregunta si conocer el pasado de una variable mejora la predicción de otra. "El tono causa en sentido de Granger al retorno" quiere decir que el tono de los días anteriores ayuda a anticipar el retorno. No prueba una causa en sentido estricto: prueba que una variable se mueve antes que la otra.</w:t>
      </w:r>
    </w:p>
    <w:p>
      <w:pPr>
        <w:spacing w:after="160" w:line="300"/>
      </w:pPr>
      <w:r>
        <w:rPr>
          <w:b/>
          <w:bCs/>
        </w:rPr>
        <w:t xml:space="preserve">Impulso-respuesta. </w:t>
      </w:r>
      <w:r>
        <w:t xml:space="preserve">Simula un golpe de un desvío en una variable y muestra cómo responden las demás en las ruedas siguientes, con una banda del 95%. Si la banda no toca el cero, la respuesta es distinta de cero. Para ordenar el golpe, las noticias van primero: una nota asignada a una rueda puede mover el precio de ese día, pero el precio de ese día no puede cambiar una nota ya publicada.</w:t>
      </w:r>
    </w:p>
    <w:p>
      <w:pPr>
        <w:spacing w:after="160" w:line="300"/>
      </w:pPr>
      <w:r>
        <w:rPr>
          <w:b/>
          <w:bCs/>
        </w:rPr>
        <w:t xml:space="preserve">Muchos tests a la vez. </w:t>
      </w:r>
      <w:r>
        <w:t xml:space="preserve">Se hicieron 304 tests de Granger. Aunque no hubiera ningún efecto real, al 5% saldrían unos 15 "significativos" por casualidad. Por eso cada p-valor se corrige con el método de Benjamini-Hochberg, dentro de cada nivel. En las tablas, "Sí" significa significativo después de la corrección.</w:t>
      </w:r>
    </w:p>
    <w:p>
      <w:pPr>
        <w:spacing w:after="160" w:line="300"/>
      </w:pPr>
      <w:r>
        <w:rPr>
          <w:b/>
          <w:bCs/>
        </w:rPr>
        <w:t xml:space="preserve">Control de calibración. </w:t>
      </w:r>
      <w:r>
        <w:t xml:space="preserve">Se repitió el test por empresa con el tono mezclado al azar (1880 tests): dio p &lt; 0,05 en el 6,9% de los casos, cerca del 5% que corresponde. El test no inventa resultados.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735"/>
        <w:gridCol w:w="6168"/>
        <w:gridCol w:w="1735"/>
      </w:tblGrid>
      <w:tr>
        <w:trPr>
          <w:tblHeader/>
        </w:trPr>
        <w:tc>
          <w:tcPr>
            <w:tcW w:type="pct" w:w="900"/>
            <w:shd w:fill="1C3A5C" w:val="clear"/>
            <w:tcMar>
              <w:top w:type="dxa" w:w="80"/>
              <w:left w:type="dxa" w:w="120"/>
              <w:bottom w:type="dxa" w:w="80"/>
              <w:right w:type="dxa" w:w="120"/>
            </w:tcMar>
          </w:tcPr>
          <w:p>
            <w:r>
              <w:rPr>
                <w:b/>
                <w:bCs/>
                <w:color w:val="FFFFFF"/>
                <w:sz w:val="19"/>
                <w:szCs w:val="19"/>
              </w:rPr>
              <w:t xml:space="preserve">Nivel</w:t>
            </w:r>
          </w:p>
        </w:tc>
        <w:tc>
          <w:tcPr>
            <w:tcW w:type="pct" w:w="3200"/>
            <w:shd w:fill="1C3A5C" w:val="clear"/>
            <w:tcMar>
              <w:top w:type="dxa" w:w="80"/>
              <w:left w:type="dxa" w:w="120"/>
              <w:bottom w:type="dxa" w:w="80"/>
              <w:right w:type="dxa" w:w="120"/>
            </w:tcMar>
          </w:tcPr>
          <w:p>
            <w:r>
              <w:rPr>
                <w:b/>
                <w:bCs/>
                <w:color w:val="FFFFFF"/>
                <w:sz w:val="19"/>
                <w:szCs w:val="19"/>
              </w:rPr>
              <w:t xml:space="preserve">Variables del VAR</w:t>
            </w:r>
          </w:p>
        </w:tc>
        <w:tc>
          <w:tcPr>
            <w:tcW w:type="pct" w:w="900"/>
            <w:shd w:fill="1C3A5C" w:val="clear"/>
            <w:tcMar>
              <w:top w:type="dxa" w:w="80"/>
              <w:left w:type="dxa" w:w="120"/>
              <w:bottom w:type="dxa" w:w="80"/>
              <w:right w:type="dxa" w:w="120"/>
            </w:tcMar>
          </w:tcPr>
          <w:p>
            <w:r>
              <w:rPr>
                <w:b/>
                <w:bCs/>
                <w:color w:val="FFFFFF"/>
                <w:sz w:val="19"/>
                <w:szCs w:val="19"/>
              </w:rPr>
              <w:t xml:space="preserve">Modelos</w:t>
            </w:r>
          </w:p>
        </w:tc>
      </w:tr>
      <w:tr>
        <w:trPr>
          <w:cantSplit/>
        </w:trPr>
        <w:tc>
          <w:tcPr>
            <w:tcW w:type="pct" w:w="900"/>
            <w:shd w:fill="FFFFFF" w:val="clear"/>
            <w:tcMar>
              <w:top w:type="dxa" w:w="70"/>
              <w:left w:type="dxa" w:w="120"/>
              <w:bottom w:type="dxa" w:w="70"/>
              <w:right w:type="dxa" w:w="120"/>
            </w:tcMar>
          </w:tcPr>
          <w:p>
            <w:r>
              <w:rPr>
                <w:sz w:val="19"/>
                <w:szCs w:val="19"/>
              </w:rPr>
              <w:t xml:space="preserve">Mercado</w:t>
            </w:r>
          </w:p>
        </w:tc>
        <w:tc>
          <w:tcPr>
            <w:tcW w:type="pct" w:w="3200"/>
            <w:shd w:fill="FFFFFF" w:val="clear"/>
            <w:tcMar>
              <w:top w:type="dxa" w:w="70"/>
              <w:left w:type="dxa" w:w="120"/>
              <w:bottom w:type="dxa" w:w="70"/>
              <w:right w:type="dxa" w:w="120"/>
            </w:tcMar>
          </w:tcPr>
          <w:p>
            <w:r>
              <w:rPr>
                <w:sz w:val="19"/>
                <w:szCs w:val="19"/>
              </w:rPr>
              <w:t xml:space="preserve">Tono anormal, atención anormal, retorno del Merval, monto operado anormal</w:t>
            </w:r>
          </w:p>
        </w:tc>
        <w:tc>
          <w:tcPr>
            <w:tcW w:type="pct" w:w="900"/>
            <w:shd w:fill="FFFFFF" w:val="clear"/>
            <w:tcMar>
              <w:top w:type="dxa" w:w="70"/>
              <w:left w:type="dxa" w:w="120"/>
              <w:bottom w:type="dxa" w:w="70"/>
              <w:right w:type="dxa" w:w="120"/>
            </w:tcMar>
          </w:tcPr>
          <w:p>
            <w:r>
              <w:rPr>
                <w:sz w:val="19"/>
                <w:szCs w:val="19"/>
              </w:rPr>
              <w:t xml:space="preserve">1</w:t>
            </w:r>
          </w:p>
        </w:tc>
      </w:tr>
      <w:tr>
        <w:trPr>
          <w:cantSplit/>
        </w:trPr>
        <w:tc>
          <w:tcPr>
            <w:tcW w:type="pct" w:w="900"/>
            <w:shd w:fill="FAFCFD" w:val="clear"/>
            <w:tcMar>
              <w:top w:type="dxa" w:w="70"/>
              <w:left w:type="dxa" w:w="120"/>
              <w:bottom w:type="dxa" w:w="70"/>
              <w:right w:type="dxa" w:w="120"/>
            </w:tcMar>
          </w:tcPr>
          <w:p>
            <w:r>
              <w:rPr>
                <w:sz w:val="19"/>
                <w:szCs w:val="19"/>
              </w:rPr>
              <w:t xml:space="preserve">Empresa</w:t>
            </w:r>
          </w:p>
        </w:tc>
        <w:tc>
          <w:tcPr>
            <w:tcW w:type="pct" w:w="3200"/>
            <w:shd w:fill="FAFCFD" w:val="clear"/>
            <w:tcMar>
              <w:top w:type="dxa" w:w="70"/>
              <w:left w:type="dxa" w:w="120"/>
              <w:bottom w:type="dxa" w:w="70"/>
              <w:right w:type="dxa" w:w="120"/>
            </w:tcMar>
          </w:tcPr>
          <w:p>
            <w:r>
              <w:rPr>
                <w:sz w:val="19"/>
                <w:szCs w:val="19"/>
              </w:rPr>
              <w:t xml:space="preserve">Tono anormal del mercado, retorno y volumen anormal de la acción</w:t>
            </w:r>
          </w:p>
        </w:tc>
        <w:tc>
          <w:tcPr>
            <w:tcW w:type="pct" w:w="900"/>
            <w:shd w:fill="FAFCFD" w:val="clear"/>
            <w:tcMar>
              <w:top w:type="dxa" w:w="70"/>
              <w:left w:type="dxa" w:w="120"/>
              <w:bottom w:type="dxa" w:w="70"/>
              <w:right w:type="dxa" w:w="120"/>
            </w:tcMar>
          </w:tcPr>
          <w:p>
            <w:r>
              <w:rPr>
                <w:sz w:val="19"/>
                <w:szCs w:val="19"/>
              </w:rPr>
              <w:t xml:space="preserve">47</w:t>
            </w:r>
          </w:p>
        </w:tc>
      </w:tr>
      <w:tr>
        <w:trPr>
          <w:cantSplit/>
        </w:trPr>
        <w:tc>
          <w:tcPr>
            <w:tcW w:type="pct" w:w="900"/>
            <w:shd w:fill="FFFFFF" w:val="clear"/>
            <w:tcMar>
              <w:top w:type="dxa" w:w="70"/>
              <w:left w:type="dxa" w:w="120"/>
              <w:bottom w:type="dxa" w:w="70"/>
              <w:right w:type="dxa" w:w="120"/>
            </w:tcMar>
          </w:tcPr>
          <w:p>
            <w:r>
              <w:rPr>
                <w:sz w:val="19"/>
                <w:szCs w:val="19"/>
              </w:rPr>
              <w:t xml:space="preserve">Tono propio</w:t>
            </w:r>
          </w:p>
        </w:tc>
        <w:tc>
          <w:tcPr>
            <w:tcW w:type="pct" w:w="3200"/>
            <w:shd w:fill="FFFFFF" w:val="clear"/>
            <w:tcMar>
              <w:top w:type="dxa" w:w="70"/>
              <w:left w:type="dxa" w:w="120"/>
              <w:bottom w:type="dxa" w:w="70"/>
              <w:right w:type="dxa" w:w="120"/>
            </w:tcMar>
          </w:tcPr>
          <w:p>
            <w:r>
              <w:rPr>
                <w:sz w:val="19"/>
                <w:szCs w:val="19"/>
              </w:rPr>
              <w:t xml:space="preserve">Lo anterior más el tono propio de la empresa</w:t>
            </w:r>
          </w:p>
        </w:tc>
        <w:tc>
          <w:tcPr>
            <w:tcW w:type="pct" w:w="900"/>
            <w:shd w:fill="FFFFFF" w:val="clear"/>
            <w:tcMar>
              <w:top w:type="dxa" w:w="70"/>
              <w:left w:type="dxa" w:w="120"/>
              <w:bottom w:type="dxa" w:w="70"/>
              <w:right w:type="dxa" w:w="120"/>
            </w:tcMar>
          </w:tcPr>
          <w:p>
            <w:r>
              <w:rPr>
                <w:sz w:val="19"/>
                <w:szCs w:val="19"/>
              </w:rPr>
              <w:t xml:space="preserve">17</w:t>
            </w:r>
          </w:p>
        </w:tc>
      </w:tr>
      <w:tr>
        <w:trPr>
          <w:cantSplit/>
        </w:trPr>
        <w:tc>
          <w:tcPr>
            <w:tcW w:type="pct" w:w="900"/>
            <w:shd w:fill="FAFCFD" w:val="clear"/>
            <w:tcMar>
              <w:top w:type="dxa" w:w="70"/>
              <w:left w:type="dxa" w:w="120"/>
              <w:bottom w:type="dxa" w:w="70"/>
              <w:right w:type="dxa" w:w="120"/>
            </w:tcMar>
          </w:tcPr>
          <w:p>
            <w:r>
              <w:rPr>
                <w:sz w:val="19"/>
                <w:szCs w:val="19"/>
              </w:rPr>
              <w:t xml:space="preserve">Sector</w:t>
            </w:r>
          </w:p>
        </w:tc>
        <w:tc>
          <w:tcPr>
            <w:tcW w:type="pct" w:w="3200"/>
            <w:shd w:fill="FAFCFD" w:val="clear"/>
            <w:tcMar>
              <w:top w:type="dxa" w:w="70"/>
              <w:left w:type="dxa" w:w="120"/>
              <w:bottom w:type="dxa" w:w="70"/>
              <w:right w:type="dxa" w:w="120"/>
            </w:tcMar>
          </w:tcPr>
          <w:p>
            <w:r>
              <w:rPr>
                <w:sz w:val="19"/>
                <w:szCs w:val="19"/>
              </w:rPr>
              <w:t xml:space="preserve">Tono anormal, retorno y volumen anormal promedio del sector</w:t>
            </w:r>
          </w:p>
        </w:tc>
        <w:tc>
          <w:tcPr>
            <w:tcW w:type="pct" w:w="900"/>
            <w:shd w:fill="FAFCFD" w:val="clear"/>
            <w:tcMar>
              <w:top w:type="dxa" w:w="70"/>
              <w:left w:type="dxa" w:w="120"/>
              <w:bottom w:type="dxa" w:w="70"/>
              <w:right w:type="dxa" w:w="120"/>
            </w:tcMar>
          </w:tcPr>
          <w:p>
            <w:r>
              <w:rPr>
                <w:sz w:val="19"/>
                <w:szCs w:val="19"/>
              </w:rPr>
              <w:t xml:space="preserve">10</w:t>
            </w:r>
          </w:p>
        </w:tc>
      </w:tr>
      <w:tr>
        <w:trPr>
          <w:cantSplit/>
        </w:trPr>
        <w:tc>
          <w:tcPr>
            <w:tcW w:type="pct" w:w="900"/>
            <w:shd w:fill="FFFFFF" w:val="clear"/>
            <w:tcMar>
              <w:top w:type="dxa" w:w="70"/>
              <w:left w:type="dxa" w:w="120"/>
              <w:bottom w:type="dxa" w:w="70"/>
              <w:right w:type="dxa" w:w="120"/>
            </w:tcMar>
          </w:tcPr>
          <w:p>
            <w:r>
              <w:rPr>
                <w:sz w:val="19"/>
                <w:szCs w:val="19"/>
              </w:rPr>
              <w:t xml:space="preserve">Régimen</w:t>
            </w:r>
          </w:p>
        </w:tc>
        <w:tc>
          <w:tcPr>
            <w:tcW w:type="pct" w:w="3200"/>
            <w:shd w:fill="FFFFFF" w:val="clear"/>
            <w:tcMar>
              <w:top w:type="dxa" w:w="70"/>
              <w:left w:type="dxa" w:w="120"/>
              <w:bottom w:type="dxa" w:w="70"/>
              <w:right w:type="dxa" w:w="120"/>
            </w:tcMar>
          </w:tcPr>
          <w:p>
            <w:r>
              <w:rPr>
                <w:sz w:val="19"/>
                <w:szCs w:val="19"/>
              </w:rPr>
              <w:t xml:space="preserve">¿Cambia el efecto en los días Tenso? (todos los días, con una marca de día Tenso)</w:t>
            </w:r>
          </w:p>
        </w:tc>
        <w:tc>
          <w:tcPr>
            <w:tcW w:type="pct" w:w="900"/>
            <w:shd w:fill="FFFFFF" w:val="clear"/>
            <w:tcMar>
              <w:top w:type="dxa" w:w="70"/>
              <w:left w:type="dxa" w:w="120"/>
              <w:bottom w:type="dxa" w:w="70"/>
              <w:right w:type="dxa" w:w="120"/>
            </w:tcMar>
          </w:tcPr>
          <w:p>
            <w:r>
              <w:rPr>
                <w:sz w:val="19"/>
                <w:szCs w:val="19"/>
              </w:rPr>
              <w:t xml:space="preserve">4 regresiones</w:t>
            </w:r>
          </w:p>
        </w:tc>
      </w:tr>
    </w:tbl>
    <w:p>
      <w:pPr>
        <w:pStyle w:val="Heading1"/>
        <w:keepNext/>
        <w:spacing w:after="160" w:before="360"/>
      </w:pPr>
      <w:r>
        <w:t xml:space="preserve">3. El mercado</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506"/>
        <w:gridCol w:w="2506"/>
        <w:gridCol w:w="1446"/>
        <w:gridCol w:w="1446"/>
        <w:gridCol w:w="1735"/>
      </w:tblGrid>
      <w:tr>
        <w:trPr>
          <w:tblHeader/>
        </w:trPr>
        <w:tc>
          <w:tcPr>
            <w:tcW w:type="pct" w:w="1300"/>
            <w:shd w:fill="1C3A5C" w:val="clear"/>
            <w:tcMar>
              <w:top w:type="dxa" w:w="80"/>
              <w:left w:type="dxa" w:w="120"/>
              <w:bottom w:type="dxa" w:w="80"/>
              <w:right w:type="dxa" w:w="120"/>
            </w:tcMar>
          </w:tcPr>
          <w:p>
            <w:r>
              <w:rPr>
                <w:b/>
                <w:bCs/>
                <w:color w:val="FFFFFF"/>
                <w:sz w:val="19"/>
                <w:szCs w:val="19"/>
              </w:rPr>
              <w:t xml:space="preserve">Prueba</w:t>
            </w:r>
          </w:p>
        </w:tc>
        <w:tc>
          <w:tcPr>
            <w:tcW w:type="pct" w:w="1300"/>
            <w:shd w:fill="1C3A5C" w:val="clear"/>
            <w:tcMar>
              <w:top w:type="dxa" w:w="80"/>
              <w:left w:type="dxa" w:w="120"/>
              <w:bottom w:type="dxa" w:w="80"/>
              <w:right w:type="dxa" w:w="120"/>
            </w:tcMar>
          </w:tcPr>
          <w:p>
            <w:r>
              <w:rPr>
                <w:b/>
                <w:bCs/>
                <w:color w:val="FFFFFF"/>
                <w:sz w:val="19"/>
                <w:szCs w:val="19"/>
              </w:rPr>
              <w:t xml:space="preserve">Dirección</w:t>
            </w:r>
          </w:p>
        </w:tc>
        <w:tc>
          <w:tcPr>
            <w:tcW w:type="pct" w:w="750"/>
            <w:shd w:fill="1C3A5C" w:val="clear"/>
            <w:tcMar>
              <w:top w:type="dxa" w:w="80"/>
              <w:left w:type="dxa" w:w="120"/>
              <w:bottom w:type="dxa" w:w="80"/>
              <w:right w:type="dxa" w:w="120"/>
            </w:tcMar>
          </w:tcPr>
          <w:p>
            <w:r>
              <w:rPr>
                <w:b/>
                <w:bCs/>
                <w:color w:val="FFFFFF"/>
                <w:sz w:val="19"/>
                <w:szCs w:val="19"/>
              </w:rPr>
              <w:t xml:space="preserve">p</w:t>
            </w:r>
          </w:p>
        </w:tc>
        <w:tc>
          <w:tcPr>
            <w:tcW w:type="pct" w:w="750"/>
            <w:shd w:fill="1C3A5C" w:val="clear"/>
            <w:tcMar>
              <w:top w:type="dxa" w:w="80"/>
              <w:left w:type="dxa" w:w="120"/>
              <w:bottom w:type="dxa" w:w="80"/>
              <w:right w:type="dxa" w:w="120"/>
            </w:tcMar>
          </w:tcPr>
          <w:p>
            <w:r>
              <w:rPr>
                <w:b/>
                <w:bCs/>
                <w:color w:val="FFFFFF"/>
                <w:sz w:val="19"/>
                <w:szCs w:val="19"/>
              </w:rPr>
              <w:t xml:space="preserve">p corregido</w:t>
            </w:r>
          </w:p>
        </w:tc>
        <w:tc>
          <w:tcPr>
            <w:tcW w:type="pct" w:w="900"/>
            <w:shd w:fill="1C3A5C" w:val="clear"/>
            <w:tcMar>
              <w:top w:type="dxa" w:w="80"/>
              <w:left w:type="dxa" w:w="120"/>
              <w:bottom w:type="dxa" w:w="80"/>
              <w:right w:type="dxa" w:w="120"/>
            </w:tcMar>
          </w:tcPr>
          <w:p>
            <w:r>
              <w:rPr>
                <w:b/>
                <w:bCs/>
                <w:color w:val="FFFFFF"/>
                <w:sz w:val="19"/>
                <w:szCs w:val="19"/>
              </w:rPr>
              <w:t xml:space="preserve">Significativo</w:t>
            </w:r>
          </w:p>
        </w:tc>
      </w:tr>
      <w:tr>
        <w:trPr>
          <w:cantSplit/>
        </w:trPr>
        <w:tc>
          <w:tcPr>
            <w:tcW w:type="pct" w:w="1300"/>
            <w:shd w:fill="FFFFFF" w:val="clear"/>
            <w:tcMar>
              <w:top w:type="dxa" w:w="70"/>
              <w:left w:type="dxa" w:w="120"/>
              <w:bottom w:type="dxa" w:w="70"/>
              <w:right w:type="dxa" w:w="120"/>
            </w:tcMar>
          </w:tcPr>
          <w:p>
            <w:r>
              <w:rPr>
                <w:sz w:val="19"/>
                <w:szCs w:val="19"/>
              </w:rPr>
              <w:t xml:space="preserve">tono → retorno</w:t>
            </w:r>
          </w:p>
        </w:tc>
        <w:tc>
          <w:tcPr>
            <w:tcW w:type="pct" w:w="1300"/>
            <w:shd w:fill="FFFFFF" w:val="clear"/>
            <w:tcMar>
              <w:top w:type="dxa" w:w="70"/>
              <w:left w:type="dxa" w:w="120"/>
              <w:bottom w:type="dxa" w:w="70"/>
              <w:right w:type="dxa" w:w="120"/>
            </w:tcMar>
          </w:tcPr>
          <w:p>
            <w:r>
              <w:rPr>
                <w:sz w:val="19"/>
                <w:szCs w:val="19"/>
              </w:rPr>
              <w:t xml:space="preserve">Noticias → mercado</w:t>
            </w:r>
          </w:p>
        </w:tc>
        <w:tc>
          <w:tcPr>
            <w:tcW w:type="pct" w:w="750"/>
            <w:shd w:fill="FFFFFF" w:val="clear"/>
            <w:tcMar>
              <w:top w:type="dxa" w:w="70"/>
              <w:left w:type="dxa" w:w="120"/>
              <w:bottom w:type="dxa" w:w="70"/>
              <w:right w:type="dxa" w:w="120"/>
            </w:tcMar>
          </w:tcPr>
          <w:p>
            <w:r>
              <w:rPr>
                <w:sz w:val="19"/>
                <w:szCs w:val="19"/>
              </w:rPr>
              <w:t xml:space="preserve">0,2119</w:t>
            </w:r>
          </w:p>
        </w:tc>
        <w:tc>
          <w:tcPr>
            <w:tcW w:type="pct" w:w="750"/>
            <w:shd w:fill="FFFFFF" w:val="clear"/>
            <w:tcMar>
              <w:top w:type="dxa" w:w="70"/>
              <w:left w:type="dxa" w:w="120"/>
              <w:bottom w:type="dxa" w:w="70"/>
              <w:right w:type="dxa" w:w="120"/>
            </w:tcMar>
          </w:tcPr>
          <w:p>
            <w:r>
              <w:rPr>
                <w:sz w:val="19"/>
                <w:szCs w:val="19"/>
              </w:rPr>
              <w:t xml:space="preserve">0,4238</w:t>
            </w:r>
          </w:p>
        </w:tc>
        <w:tc>
          <w:tcPr>
            <w:tcW w:type="pct" w:w="900"/>
            <w:shd w:fill="FFFFFF" w:val="clear"/>
            <w:tcMar>
              <w:top w:type="dxa" w:w="70"/>
              <w:left w:type="dxa" w:w="120"/>
              <w:bottom w:type="dxa" w:w="70"/>
              <w:right w:type="dxa" w:w="120"/>
            </w:tcMar>
          </w:tcPr>
          <w:p>
            <w:r>
              <w:rPr>
                <w:sz w:val="19"/>
                <w:szCs w:val="19"/>
              </w:rPr>
              <w:t xml:space="preserve">No</w:t>
            </w:r>
          </w:p>
        </w:tc>
      </w:tr>
      <w:tr>
        <w:trPr>
          <w:cantSplit/>
        </w:trPr>
        <w:tc>
          <w:tcPr>
            <w:tcW w:type="pct" w:w="1300"/>
            <w:shd w:fill="FAFCFD" w:val="clear"/>
            <w:tcMar>
              <w:top w:type="dxa" w:w="70"/>
              <w:left w:type="dxa" w:w="120"/>
              <w:bottom w:type="dxa" w:w="70"/>
              <w:right w:type="dxa" w:w="120"/>
            </w:tcMar>
          </w:tcPr>
          <w:p>
            <w:r>
              <w:rPr>
                <w:sz w:val="19"/>
                <w:szCs w:val="19"/>
              </w:rPr>
              <w:t xml:space="preserve">retorno → tono</w:t>
            </w:r>
          </w:p>
        </w:tc>
        <w:tc>
          <w:tcPr>
            <w:tcW w:type="pct" w:w="1300"/>
            <w:shd w:fill="FAFCFD" w:val="clear"/>
            <w:tcMar>
              <w:top w:type="dxa" w:w="70"/>
              <w:left w:type="dxa" w:w="120"/>
              <w:bottom w:type="dxa" w:w="70"/>
              <w:right w:type="dxa" w:w="120"/>
            </w:tcMar>
          </w:tcPr>
          <w:p>
            <w:r>
              <w:rPr>
                <w:sz w:val="19"/>
                <w:szCs w:val="19"/>
              </w:rPr>
              <w:t xml:space="preserve">Mercado → noticias</w:t>
            </w:r>
          </w:p>
        </w:tc>
        <w:tc>
          <w:tcPr>
            <w:tcW w:type="pct" w:w="750"/>
            <w:shd w:fill="FAFCFD" w:val="clear"/>
            <w:tcMar>
              <w:top w:type="dxa" w:w="70"/>
              <w:left w:type="dxa" w:w="120"/>
              <w:bottom w:type="dxa" w:w="70"/>
              <w:right w:type="dxa" w:w="120"/>
            </w:tcMar>
          </w:tcPr>
          <w:p>
            <w:r>
              <w:rPr>
                <w:sz w:val="19"/>
                <w:szCs w:val="19"/>
              </w:rPr>
              <w:t xml:space="preserve">&lt; 0,0001</w:t>
            </w:r>
          </w:p>
        </w:tc>
        <w:tc>
          <w:tcPr>
            <w:tcW w:type="pct" w:w="750"/>
            <w:shd w:fill="FAFCFD" w:val="clear"/>
            <w:tcMar>
              <w:top w:type="dxa" w:w="70"/>
              <w:left w:type="dxa" w:w="120"/>
              <w:bottom w:type="dxa" w:w="70"/>
              <w:right w:type="dxa" w:w="120"/>
            </w:tcMar>
          </w:tcPr>
          <w:p>
            <w:r>
              <w:rPr>
                <w:sz w:val="19"/>
                <w:szCs w:val="19"/>
              </w:rPr>
              <w:t xml:space="preserve">0,0003</w:t>
            </w:r>
          </w:p>
        </w:tc>
        <w:tc>
          <w:tcPr>
            <w:tcW w:type="pct" w:w="900"/>
            <w:shd w:fill="FAFCFD" w:val="clear"/>
            <w:tcMar>
              <w:top w:type="dxa" w:w="70"/>
              <w:left w:type="dxa" w:w="120"/>
              <w:bottom w:type="dxa" w:w="70"/>
              <w:right w:type="dxa" w:w="120"/>
            </w:tcMar>
          </w:tcPr>
          <w:p>
            <w:r>
              <w:rPr>
                <w:sz w:val="19"/>
                <w:szCs w:val="19"/>
              </w:rPr>
              <w:t xml:space="preserve">Sí</w:t>
            </w:r>
          </w:p>
        </w:tc>
      </w:tr>
      <w:tr>
        <w:trPr>
          <w:cantSplit/>
        </w:trPr>
        <w:tc>
          <w:tcPr>
            <w:tcW w:type="pct" w:w="1300"/>
            <w:shd w:fill="FFFFFF" w:val="clear"/>
            <w:tcMar>
              <w:top w:type="dxa" w:w="70"/>
              <w:left w:type="dxa" w:w="120"/>
              <w:bottom w:type="dxa" w:w="70"/>
              <w:right w:type="dxa" w:w="120"/>
            </w:tcMar>
          </w:tcPr>
          <w:p>
            <w:r>
              <w:rPr>
                <w:sz w:val="19"/>
                <w:szCs w:val="19"/>
              </w:rPr>
              <w:t xml:space="preserve">tono → volumen</w:t>
            </w:r>
          </w:p>
        </w:tc>
        <w:tc>
          <w:tcPr>
            <w:tcW w:type="pct" w:w="1300"/>
            <w:shd w:fill="FFFFFF" w:val="clear"/>
            <w:tcMar>
              <w:top w:type="dxa" w:w="70"/>
              <w:left w:type="dxa" w:w="120"/>
              <w:bottom w:type="dxa" w:w="70"/>
              <w:right w:type="dxa" w:w="120"/>
            </w:tcMar>
          </w:tcPr>
          <w:p>
            <w:r>
              <w:rPr>
                <w:sz w:val="19"/>
                <w:szCs w:val="19"/>
              </w:rPr>
              <w:t xml:space="preserve">Noticias → mercado</w:t>
            </w:r>
          </w:p>
        </w:tc>
        <w:tc>
          <w:tcPr>
            <w:tcW w:type="pct" w:w="750"/>
            <w:shd w:fill="FFFFFF" w:val="clear"/>
            <w:tcMar>
              <w:top w:type="dxa" w:w="70"/>
              <w:left w:type="dxa" w:w="120"/>
              <w:bottom w:type="dxa" w:w="70"/>
              <w:right w:type="dxa" w:w="120"/>
            </w:tcMar>
          </w:tcPr>
          <w:p>
            <w:r>
              <w:rPr>
                <w:sz w:val="19"/>
                <w:szCs w:val="19"/>
              </w:rPr>
              <w:t xml:space="preserve">0,0632</w:t>
            </w:r>
          </w:p>
        </w:tc>
        <w:tc>
          <w:tcPr>
            <w:tcW w:type="pct" w:w="750"/>
            <w:shd w:fill="FFFFFF" w:val="clear"/>
            <w:tcMar>
              <w:top w:type="dxa" w:w="70"/>
              <w:left w:type="dxa" w:w="120"/>
              <w:bottom w:type="dxa" w:w="70"/>
              <w:right w:type="dxa" w:w="120"/>
            </w:tcMar>
          </w:tcPr>
          <w:p>
            <w:r>
              <w:rPr>
                <w:sz w:val="19"/>
                <w:szCs w:val="19"/>
              </w:rPr>
              <w:t xml:space="preserve">0,2528</w:t>
            </w:r>
          </w:p>
        </w:tc>
        <w:tc>
          <w:tcPr>
            <w:tcW w:type="pct" w:w="900"/>
            <w:shd w:fill="FFFFFF" w:val="clear"/>
            <w:tcMar>
              <w:top w:type="dxa" w:w="70"/>
              <w:left w:type="dxa" w:w="120"/>
              <w:bottom w:type="dxa" w:w="70"/>
              <w:right w:type="dxa" w:w="120"/>
            </w:tcMar>
          </w:tcPr>
          <w:p>
            <w:r>
              <w:rPr>
                <w:sz w:val="19"/>
                <w:szCs w:val="19"/>
              </w:rPr>
              <w:t xml:space="preserve">No</w:t>
            </w:r>
          </w:p>
        </w:tc>
      </w:tr>
      <w:tr>
        <w:trPr>
          <w:cantSplit/>
        </w:trPr>
        <w:tc>
          <w:tcPr>
            <w:tcW w:type="pct" w:w="1300"/>
            <w:shd w:fill="FAFCFD" w:val="clear"/>
            <w:tcMar>
              <w:top w:type="dxa" w:w="70"/>
              <w:left w:type="dxa" w:w="120"/>
              <w:bottom w:type="dxa" w:w="70"/>
              <w:right w:type="dxa" w:w="120"/>
            </w:tcMar>
          </w:tcPr>
          <w:p>
            <w:r>
              <w:rPr>
                <w:sz w:val="19"/>
                <w:szCs w:val="19"/>
              </w:rPr>
              <w:t xml:space="preserve">volumen → tono</w:t>
            </w:r>
          </w:p>
        </w:tc>
        <w:tc>
          <w:tcPr>
            <w:tcW w:type="pct" w:w="1300"/>
            <w:shd w:fill="FAFCFD" w:val="clear"/>
            <w:tcMar>
              <w:top w:type="dxa" w:w="70"/>
              <w:left w:type="dxa" w:w="120"/>
              <w:bottom w:type="dxa" w:w="70"/>
              <w:right w:type="dxa" w:w="120"/>
            </w:tcMar>
          </w:tcPr>
          <w:p>
            <w:r>
              <w:rPr>
                <w:sz w:val="19"/>
                <w:szCs w:val="19"/>
              </w:rPr>
              <w:t xml:space="preserve">Mercado → noticias</w:t>
            </w:r>
          </w:p>
        </w:tc>
        <w:tc>
          <w:tcPr>
            <w:tcW w:type="pct" w:w="750"/>
            <w:shd w:fill="FAFCFD" w:val="clear"/>
            <w:tcMar>
              <w:top w:type="dxa" w:w="70"/>
              <w:left w:type="dxa" w:w="120"/>
              <w:bottom w:type="dxa" w:w="70"/>
              <w:right w:type="dxa" w:w="120"/>
            </w:tcMar>
          </w:tcPr>
          <w:p>
            <w:r>
              <w:rPr>
                <w:sz w:val="19"/>
                <w:szCs w:val="19"/>
              </w:rPr>
              <w:t xml:space="preserve">0,3617</w:t>
            </w:r>
          </w:p>
        </w:tc>
        <w:tc>
          <w:tcPr>
            <w:tcW w:type="pct" w:w="750"/>
            <w:shd w:fill="FAFCFD" w:val="clear"/>
            <w:tcMar>
              <w:top w:type="dxa" w:w="70"/>
              <w:left w:type="dxa" w:w="120"/>
              <w:bottom w:type="dxa" w:w="70"/>
              <w:right w:type="dxa" w:w="120"/>
            </w:tcMar>
          </w:tcPr>
          <w:p>
            <w:r>
              <w:rPr>
                <w:sz w:val="19"/>
                <w:szCs w:val="19"/>
              </w:rPr>
              <w:t xml:space="preserve">0,4823</w:t>
            </w:r>
          </w:p>
        </w:tc>
        <w:tc>
          <w:tcPr>
            <w:tcW w:type="pct" w:w="900"/>
            <w:shd w:fill="FAFCFD" w:val="clear"/>
            <w:tcMar>
              <w:top w:type="dxa" w:w="70"/>
              <w:left w:type="dxa" w:w="120"/>
              <w:bottom w:type="dxa" w:w="70"/>
              <w:right w:type="dxa" w:w="120"/>
            </w:tcMar>
          </w:tcPr>
          <w:p>
            <w:r>
              <w:rPr>
                <w:sz w:val="19"/>
                <w:szCs w:val="19"/>
              </w:rPr>
              <w:t xml:space="preserve">No</w:t>
            </w:r>
          </w:p>
        </w:tc>
      </w:tr>
      <w:tr>
        <w:trPr>
          <w:cantSplit/>
        </w:trPr>
        <w:tc>
          <w:tcPr>
            <w:tcW w:type="pct" w:w="1300"/>
            <w:shd w:fill="FFFFFF" w:val="clear"/>
            <w:tcMar>
              <w:top w:type="dxa" w:w="70"/>
              <w:left w:type="dxa" w:w="120"/>
              <w:bottom w:type="dxa" w:w="70"/>
              <w:right w:type="dxa" w:w="120"/>
            </w:tcMar>
          </w:tcPr>
          <w:p>
            <w:r>
              <w:rPr>
                <w:sz w:val="19"/>
                <w:szCs w:val="19"/>
              </w:rPr>
              <w:t xml:space="preserve">atención → retorno</w:t>
            </w:r>
          </w:p>
        </w:tc>
        <w:tc>
          <w:tcPr>
            <w:tcW w:type="pct" w:w="1300"/>
            <w:shd w:fill="FFFFFF" w:val="clear"/>
            <w:tcMar>
              <w:top w:type="dxa" w:w="70"/>
              <w:left w:type="dxa" w:w="120"/>
              <w:bottom w:type="dxa" w:w="70"/>
              <w:right w:type="dxa" w:w="120"/>
            </w:tcMar>
          </w:tcPr>
          <w:p>
            <w:r>
              <w:rPr>
                <w:sz w:val="19"/>
                <w:szCs w:val="19"/>
              </w:rPr>
              <w:t xml:space="preserve">Noticias → mercado</w:t>
            </w:r>
          </w:p>
        </w:tc>
        <w:tc>
          <w:tcPr>
            <w:tcW w:type="pct" w:w="750"/>
            <w:shd w:fill="FFFFFF" w:val="clear"/>
            <w:tcMar>
              <w:top w:type="dxa" w:w="70"/>
              <w:left w:type="dxa" w:w="120"/>
              <w:bottom w:type="dxa" w:w="70"/>
              <w:right w:type="dxa" w:w="120"/>
            </w:tcMar>
          </w:tcPr>
          <w:p>
            <w:r>
              <w:rPr>
                <w:sz w:val="19"/>
                <w:szCs w:val="19"/>
              </w:rPr>
              <w:t xml:space="preserve">0,9293</w:t>
            </w:r>
          </w:p>
        </w:tc>
        <w:tc>
          <w:tcPr>
            <w:tcW w:type="pct" w:w="750"/>
            <w:shd w:fill="FFFFFF" w:val="clear"/>
            <w:tcMar>
              <w:top w:type="dxa" w:w="70"/>
              <w:left w:type="dxa" w:w="120"/>
              <w:bottom w:type="dxa" w:w="70"/>
              <w:right w:type="dxa" w:w="120"/>
            </w:tcMar>
          </w:tcPr>
          <w:p>
            <w:r>
              <w:rPr>
                <w:sz w:val="19"/>
                <w:szCs w:val="19"/>
              </w:rPr>
              <w:t xml:space="preserve">0,9293</w:t>
            </w:r>
          </w:p>
        </w:tc>
        <w:tc>
          <w:tcPr>
            <w:tcW w:type="pct" w:w="900"/>
            <w:shd w:fill="FFFFFF" w:val="clear"/>
            <w:tcMar>
              <w:top w:type="dxa" w:w="70"/>
              <w:left w:type="dxa" w:w="120"/>
              <w:bottom w:type="dxa" w:w="70"/>
              <w:right w:type="dxa" w:w="120"/>
            </w:tcMar>
          </w:tcPr>
          <w:p>
            <w:r>
              <w:rPr>
                <w:sz w:val="19"/>
                <w:szCs w:val="19"/>
              </w:rPr>
              <w:t xml:space="preserve">No</w:t>
            </w:r>
          </w:p>
        </w:tc>
      </w:tr>
      <w:tr>
        <w:trPr>
          <w:cantSplit/>
        </w:trPr>
        <w:tc>
          <w:tcPr>
            <w:tcW w:type="pct" w:w="1300"/>
            <w:shd w:fill="FAFCFD" w:val="clear"/>
            <w:tcMar>
              <w:top w:type="dxa" w:w="70"/>
              <w:left w:type="dxa" w:w="120"/>
              <w:bottom w:type="dxa" w:w="70"/>
              <w:right w:type="dxa" w:w="120"/>
            </w:tcMar>
          </w:tcPr>
          <w:p>
            <w:r>
              <w:rPr>
                <w:sz w:val="19"/>
                <w:szCs w:val="19"/>
              </w:rPr>
              <w:t xml:space="preserve">retorno → atención</w:t>
            </w:r>
          </w:p>
        </w:tc>
        <w:tc>
          <w:tcPr>
            <w:tcW w:type="pct" w:w="1300"/>
            <w:shd w:fill="FAFCFD" w:val="clear"/>
            <w:tcMar>
              <w:top w:type="dxa" w:w="70"/>
              <w:left w:type="dxa" w:w="120"/>
              <w:bottom w:type="dxa" w:w="70"/>
              <w:right w:type="dxa" w:w="120"/>
            </w:tcMar>
          </w:tcPr>
          <w:p>
            <w:r>
              <w:rPr>
                <w:sz w:val="19"/>
                <w:szCs w:val="19"/>
              </w:rPr>
              <w:t xml:space="preserve">Mercado → noticias</w:t>
            </w:r>
          </w:p>
        </w:tc>
        <w:tc>
          <w:tcPr>
            <w:tcW w:type="pct" w:w="750"/>
            <w:shd w:fill="FAFCFD" w:val="clear"/>
            <w:tcMar>
              <w:top w:type="dxa" w:w="70"/>
              <w:left w:type="dxa" w:w="120"/>
              <w:bottom w:type="dxa" w:w="70"/>
              <w:right w:type="dxa" w:w="120"/>
            </w:tcMar>
          </w:tcPr>
          <w:p>
            <w:r>
              <w:rPr>
                <w:sz w:val="19"/>
                <w:szCs w:val="19"/>
              </w:rPr>
              <w:t xml:space="preserve">0,1479</w:t>
            </w:r>
          </w:p>
        </w:tc>
        <w:tc>
          <w:tcPr>
            <w:tcW w:type="pct" w:w="750"/>
            <w:shd w:fill="FAFCFD" w:val="clear"/>
            <w:tcMar>
              <w:top w:type="dxa" w:w="70"/>
              <w:left w:type="dxa" w:w="120"/>
              <w:bottom w:type="dxa" w:w="70"/>
              <w:right w:type="dxa" w:w="120"/>
            </w:tcMar>
          </w:tcPr>
          <w:p>
            <w:r>
              <w:rPr>
                <w:sz w:val="19"/>
                <w:szCs w:val="19"/>
              </w:rPr>
              <w:t xml:space="preserve">0,3944</w:t>
            </w:r>
          </w:p>
        </w:tc>
        <w:tc>
          <w:tcPr>
            <w:tcW w:type="pct" w:w="900"/>
            <w:shd w:fill="FAFCFD" w:val="clear"/>
            <w:tcMar>
              <w:top w:type="dxa" w:w="70"/>
              <w:left w:type="dxa" w:w="120"/>
              <w:bottom w:type="dxa" w:w="70"/>
              <w:right w:type="dxa" w:w="120"/>
            </w:tcMar>
          </w:tcPr>
          <w:p>
            <w:r>
              <w:rPr>
                <w:sz w:val="19"/>
                <w:szCs w:val="19"/>
              </w:rPr>
              <w:t xml:space="preserve">No</w:t>
            </w:r>
          </w:p>
        </w:tc>
      </w:tr>
      <w:tr>
        <w:trPr>
          <w:cantSplit/>
        </w:trPr>
        <w:tc>
          <w:tcPr>
            <w:tcW w:type="pct" w:w="1300"/>
            <w:shd w:fill="FFFFFF" w:val="clear"/>
            <w:tcMar>
              <w:top w:type="dxa" w:w="70"/>
              <w:left w:type="dxa" w:w="120"/>
              <w:bottom w:type="dxa" w:w="70"/>
              <w:right w:type="dxa" w:w="120"/>
            </w:tcMar>
          </w:tcPr>
          <w:p>
            <w:r>
              <w:rPr>
                <w:sz w:val="19"/>
                <w:szCs w:val="19"/>
              </w:rPr>
              <w:t xml:space="preserve">atención → volumen</w:t>
            </w:r>
          </w:p>
        </w:tc>
        <w:tc>
          <w:tcPr>
            <w:tcW w:type="pct" w:w="1300"/>
            <w:shd w:fill="FFFFFF" w:val="clear"/>
            <w:tcMar>
              <w:top w:type="dxa" w:w="70"/>
              <w:left w:type="dxa" w:w="120"/>
              <w:bottom w:type="dxa" w:w="70"/>
              <w:right w:type="dxa" w:w="120"/>
            </w:tcMar>
          </w:tcPr>
          <w:p>
            <w:r>
              <w:rPr>
                <w:sz w:val="19"/>
                <w:szCs w:val="19"/>
              </w:rPr>
              <w:t xml:space="preserve">Noticias → mercado</w:t>
            </w:r>
          </w:p>
        </w:tc>
        <w:tc>
          <w:tcPr>
            <w:tcW w:type="pct" w:w="750"/>
            <w:shd w:fill="FFFFFF" w:val="clear"/>
            <w:tcMar>
              <w:top w:type="dxa" w:w="70"/>
              <w:left w:type="dxa" w:w="120"/>
              <w:bottom w:type="dxa" w:w="70"/>
              <w:right w:type="dxa" w:w="120"/>
            </w:tcMar>
          </w:tcPr>
          <w:p>
            <w:r>
              <w:rPr>
                <w:sz w:val="19"/>
                <w:szCs w:val="19"/>
              </w:rPr>
              <w:t xml:space="preserve">0,3377</w:t>
            </w:r>
          </w:p>
        </w:tc>
        <w:tc>
          <w:tcPr>
            <w:tcW w:type="pct" w:w="750"/>
            <w:shd w:fill="FFFFFF" w:val="clear"/>
            <w:tcMar>
              <w:top w:type="dxa" w:w="70"/>
              <w:left w:type="dxa" w:w="120"/>
              <w:bottom w:type="dxa" w:w="70"/>
              <w:right w:type="dxa" w:w="120"/>
            </w:tcMar>
          </w:tcPr>
          <w:p>
            <w:r>
              <w:rPr>
                <w:sz w:val="19"/>
                <w:szCs w:val="19"/>
              </w:rPr>
              <w:t xml:space="preserve">0,4823</w:t>
            </w:r>
          </w:p>
        </w:tc>
        <w:tc>
          <w:tcPr>
            <w:tcW w:type="pct" w:w="900"/>
            <w:shd w:fill="FFFFFF" w:val="clear"/>
            <w:tcMar>
              <w:top w:type="dxa" w:w="70"/>
              <w:left w:type="dxa" w:w="120"/>
              <w:bottom w:type="dxa" w:w="70"/>
              <w:right w:type="dxa" w:w="120"/>
            </w:tcMar>
          </w:tcPr>
          <w:p>
            <w:r>
              <w:rPr>
                <w:sz w:val="19"/>
                <w:szCs w:val="19"/>
              </w:rPr>
              <w:t xml:space="preserve">No</w:t>
            </w:r>
          </w:p>
        </w:tc>
      </w:tr>
      <w:tr>
        <w:trPr>
          <w:cantSplit/>
        </w:trPr>
        <w:tc>
          <w:tcPr>
            <w:tcW w:type="pct" w:w="1300"/>
            <w:shd w:fill="FAFCFD" w:val="clear"/>
            <w:tcMar>
              <w:top w:type="dxa" w:w="70"/>
              <w:left w:type="dxa" w:w="120"/>
              <w:bottom w:type="dxa" w:w="70"/>
              <w:right w:type="dxa" w:w="120"/>
            </w:tcMar>
          </w:tcPr>
          <w:p>
            <w:r>
              <w:rPr>
                <w:sz w:val="19"/>
                <w:szCs w:val="19"/>
              </w:rPr>
              <w:t xml:space="preserve">volumen → atención</w:t>
            </w:r>
          </w:p>
        </w:tc>
        <w:tc>
          <w:tcPr>
            <w:tcW w:type="pct" w:w="1300"/>
            <w:shd w:fill="FAFCFD" w:val="clear"/>
            <w:tcMar>
              <w:top w:type="dxa" w:w="70"/>
              <w:left w:type="dxa" w:w="120"/>
              <w:bottom w:type="dxa" w:w="70"/>
              <w:right w:type="dxa" w:w="120"/>
            </w:tcMar>
          </w:tcPr>
          <w:p>
            <w:r>
              <w:rPr>
                <w:sz w:val="19"/>
                <w:szCs w:val="19"/>
              </w:rPr>
              <w:t xml:space="preserve">Mercado → noticias</w:t>
            </w:r>
          </w:p>
        </w:tc>
        <w:tc>
          <w:tcPr>
            <w:tcW w:type="pct" w:w="750"/>
            <w:shd w:fill="FAFCFD" w:val="clear"/>
            <w:tcMar>
              <w:top w:type="dxa" w:w="70"/>
              <w:left w:type="dxa" w:w="120"/>
              <w:bottom w:type="dxa" w:w="70"/>
              <w:right w:type="dxa" w:w="120"/>
            </w:tcMar>
          </w:tcPr>
          <w:p>
            <w:r>
              <w:rPr>
                <w:sz w:val="19"/>
                <w:szCs w:val="19"/>
              </w:rPr>
              <w:t xml:space="preserve">0,5918</w:t>
            </w:r>
          </w:p>
        </w:tc>
        <w:tc>
          <w:tcPr>
            <w:tcW w:type="pct" w:w="750"/>
            <w:shd w:fill="FAFCFD" w:val="clear"/>
            <w:tcMar>
              <w:top w:type="dxa" w:w="70"/>
              <w:left w:type="dxa" w:w="120"/>
              <w:bottom w:type="dxa" w:w="70"/>
              <w:right w:type="dxa" w:w="120"/>
            </w:tcMar>
          </w:tcPr>
          <w:p>
            <w:r>
              <w:rPr>
                <w:sz w:val="19"/>
                <w:szCs w:val="19"/>
              </w:rPr>
              <w:t xml:space="preserve">0,6764</w:t>
            </w:r>
          </w:p>
        </w:tc>
        <w:tc>
          <w:tcPr>
            <w:tcW w:type="pct" w:w="900"/>
            <w:shd w:fill="FAFCFD" w:val="clear"/>
            <w:tcMar>
              <w:top w:type="dxa" w:w="70"/>
              <w:left w:type="dxa" w:w="120"/>
              <w:bottom w:type="dxa" w:w="70"/>
              <w:right w:type="dxa" w:w="120"/>
            </w:tcMar>
          </w:tcPr>
          <w:p>
            <w:r>
              <w:rPr>
                <w:sz w:val="19"/>
                <w:szCs w:val="19"/>
              </w:rPr>
              <w:t xml:space="preserve">No</w:t>
            </w:r>
          </w:p>
        </w:tc>
      </w:tr>
    </w:tbl>
    <w:p>
      <w:pPr>
        <w:spacing w:after="160" w:line="300"/>
      </w:pPr>
      <w:r>
        <w:t xml:space="preserve">De las ocho pruebas, una sola es significativa, y es fuerte: el retorno del Merval anticipa el tono de las noticias (p corregido 0,0003). Ninguna prueba en la dirección de las noticias hacia el mercado llega a ser significativa, tampoco la atención de los medios.</w:t>
      </w:r>
    </w:p>
    <w:p>
      <w:pPr>
        <w:spacing w:after="160"/>
        <w:jc w:val="center"/>
      </w:pPr>
      <w:r>
        <w:drawing>
          <wp:inline distT="0" distB="0" distL="0" distR="0">
            <wp:extent cx="56197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171825"/>
                    </a:xfrm>
                    <a:prstGeom prst="rect">
                      <a:avLst/>
                    </a:prstGeom>
                  </pic:spPr>
                </pic:pic>
              </a:graphicData>
            </a:graphic>
          </wp:inline>
        </w:drawing>
      </w:r>
    </w:p>
    <w:p>
      <w:pPr>
        <w:spacing w:after="160" w:line="300"/>
      </w:pPr>
      <w:r>
        <w:rPr>
          <w:i/>
          <w:iCs/>
          <w:color w:val="5C6B7A"/>
          <w:sz w:val="18"/>
          <w:szCs w:val="18"/>
        </w:rPr>
        <w:t xml:space="preserve">Respuesta de cada variable, en las ruedas siguientes, a un golpe de un desvío en otra. La banda es el intervalo del 95%; si no toca el cero, la respuesta es distinta de cero.</w:t>
      </w:r>
    </w:p>
    <w:p>
      <w:pPr>
        <w:spacing w:after="160" w:line="300"/>
      </w:pPr>
      <w:r>
        <w:rPr>
          <w:b/>
          <w:bCs/>
        </w:rPr>
        <w:t xml:space="preserve">Cuánto. </w:t>
      </w:r>
      <w:r>
        <w:t xml:space="preserve">Un día en que el Merval sube un desvío (2,8%), el tono anormal de las noticias sube 1,84 puntos en la rueda siguiente y 1,23 en la segunda (las dos distintas de cero); a la tercera (0,56) ya no se distingue de cero. Un desvío del tono anormal son 6,0 puntos: la suba de la rueda siguiente es de un tercio de desvío.</w:t>
      </w:r>
    </w:p>
    <w:p>
      <w:pPr>
        <w:spacing w:after="160" w:line="300"/>
      </w:pPr>
      <w:r>
        <w:rPr>
          <w:b/>
          <w:bCs/>
        </w:rPr>
        <w:t xml:space="preserve">El mismo día. </w:t>
      </w:r>
      <w:r>
        <w:t xml:space="preserve">El tono y el retorno de una misma rueda se mueven juntos (correlación de las sorpresas: 0,19). El impulso-respuesta lo atribuye a las noticias (distinto de cero en la rueda del golpe), pero solo porque las noticias se ordenaron primero: con datos diarios no se puede saber quién movió a quién dentro de una misma rueda. Desde la rueda siguiente, el efecto del tono sobre el retorno ya no se distingue de cero.</w:t>
      </w:r>
    </w:p>
    <w:p>
      <w:pPr>
        <w:pStyle w:val="Heading1"/>
        <w:keepNext/>
        <w:spacing w:after="160" w:before="360"/>
      </w:pPr>
      <w:r>
        <w:t xml:space="preserve">4. Las 47 empresas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891"/>
        <w:gridCol w:w="1157"/>
        <w:gridCol w:w="1928"/>
        <w:gridCol w:w="1928"/>
        <w:gridCol w:w="1735"/>
      </w:tblGrid>
      <w:tr>
        <w:trPr>
          <w:tblHeader/>
        </w:trPr>
        <w:tc>
          <w:tcPr>
            <w:tcW w:type="pct" w:w="1500"/>
            <w:shd w:fill="1C3A5C" w:val="clear"/>
            <w:tcMar>
              <w:top w:type="dxa" w:w="80"/>
              <w:left w:type="dxa" w:w="120"/>
              <w:bottom w:type="dxa" w:w="80"/>
              <w:right w:type="dxa" w:w="120"/>
            </w:tcMar>
          </w:tcPr>
          <w:p>
            <w:r>
              <w:rPr>
                <w:b/>
                <w:bCs/>
                <w:color w:val="FFFFFF"/>
                <w:sz w:val="19"/>
                <w:szCs w:val="19"/>
              </w:rPr>
              <w:t xml:space="preserve">Prueba</w:t>
            </w:r>
          </w:p>
        </w:tc>
        <w:tc>
          <w:tcPr>
            <w:tcW w:type="pct" w:w="600"/>
            <w:shd w:fill="1C3A5C" w:val="clear"/>
            <w:tcMar>
              <w:top w:type="dxa" w:w="80"/>
              <w:left w:type="dxa" w:w="120"/>
              <w:bottom w:type="dxa" w:w="80"/>
              <w:right w:type="dxa" w:w="120"/>
            </w:tcMar>
          </w:tcPr>
          <w:p>
            <w:r>
              <w:rPr>
                <w:b/>
                <w:bCs/>
                <w:color w:val="FFFFFF"/>
                <w:sz w:val="19"/>
                <w:szCs w:val="19"/>
              </w:rPr>
              <w:t xml:space="preserve">Tests</w:t>
            </w:r>
          </w:p>
        </w:tc>
        <w:tc>
          <w:tcPr>
            <w:tcW w:type="pct" w:w="1000"/>
            <w:shd w:fill="1C3A5C" w:val="clear"/>
            <w:tcMar>
              <w:top w:type="dxa" w:w="80"/>
              <w:left w:type="dxa" w:w="120"/>
              <w:bottom w:type="dxa" w:w="80"/>
              <w:right w:type="dxa" w:w="120"/>
            </w:tcMar>
          </w:tcPr>
          <w:p>
            <w:r>
              <w:rPr>
                <w:b/>
                <w:bCs/>
                <w:color w:val="FFFFFF"/>
                <w:sz w:val="19"/>
                <w:szCs w:val="19"/>
              </w:rPr>
              <w:t xml:space="preserve">p &lt; 0,05 sin corregir</w:t>
            </w:r>
          </w:p>
        </w:tc>
        <w:tc>
          <w:tcPr>
            <w:tcW w:type="pct" w:w="1000"/>
            <w:shd w:fill="1C3A5C" w:val="clear"/>
            <w:tcMar>
              <w:top w:type="dxa" w:w="80"/>
              <w:left w:type="dxa" w:w="120"/>
              <w:bottom w:type="dxa" w:w="80"/>
              <w:right w:type="dxa" w:w="120"/>
            </w:tcMar>
          </w:tcPr>
          <w:p>
            <w:r>
              <w:rPr>
                <w:b/>
                <w:bCs/>
                <w:color w:val="FFFFFF"/>
                <w:sz w:val="19"/>
                <w:szCs w:val="19"/>
              </w:rPr>
              <w:t xml:space="preserve">Significativos (BH)</w:t>
            </w:r>
          </w:p>
        </w:tc>
        <w:tc>
          <w:tcPr>
            <w:tcW w:type="pct" w:w="900"/>
            <w:shd w:fill="1C3A5C" w:val="clear"/>
            <w:tcMar>
              <w:top w:type="dxa" w:w="80"/>
              <w:left w:type="dxa" w:w="120"/>
              <w:bottom w:type="dxa" w:w="80"/>
              <w:right w:type="dxa" w:w="120"/>
            </w:tcMar>
          </w:tcPr>
          <w:p>
            <w:r>
              <w:rPr>
                <w:b/>
                <w:bCs/>
                <w:color w:val="FFFFFF"/>
                <w:sz w:val="19"/>
                <w:szCs w:val="19"/>
              </w:rPr>
              <w:t xml:space="preserve">Signo</w:t>
            </w:r>
          </w:p>
        </w:tc>
      </w:tr>
      <w:tr>
        <w:trPr>
          <w:cantSplit/>
        </w:trPr>
        <w:tc>
          <w:tcPr>
            <w:tcW w:type="pct" w:w="1500"/>
            <w:shd w:fill="FFFFFF" w:val="clear"/>
            <w:tcMar>
              <w:top w:type="dxa" w:w="70"/>
              <w:left w:type="dxa" w:w="120"/>
              <w:bottom w:type="dxa" w:w="70"/>
              <w:right w:type="dxa" w:w="120"/>
            </w:tcMar>
          </w:tcPr>
          <w:p>
            <w:r>
              <w:rPr>
                <w:sz w:val="19"/>
                <w:szCs w:val="19"/>
              </w:rPr>
              <w:t xml:space="preserve">tono → retorno</w:t>
            </w:r>
          </w:p>
        </w:tc>
        <w:tc>
          <w:tcPr>
            <w:tcW w:type="pct" w:w="600"/>
            <w:shd w:fill="FFFFFF" w:val="clear"/>
            <w:tcMar>
              <w:top w:type="dxa" w:w="70"/>
              <w:left w:type="dxa" w:w="120"/>
              <w:bottom w:type="dxa" w:w="70"/>
              <w:right w:type="dxa" w:w="120"/>
            </w:tcMar>
          </w:tcPr>
          <w:p>
            <w:r>
              <w:rPr>
                <w:sz w:val="19"/>
                <w:szCs w:val="19"/>
              </w:rPr>
              <w:t xml:space="preserve">47</w:t>
            </w:r>
          </w:p>
        </w:tc>
        <w:tc>
          <w:tcPr>
            <w:tcW w:type="pct" w:w="1000"/>
            <w:shd w:fill="FFFFFF" w:val="clear"/>
            <w:tcMar>
              <w:top w:type="dxa" w:w="70"/>
              <w:left w:type="dxa" w:w="120"/>
              <w:bottom w:type="dxa" w:w="70"/>
              <w:right w:type="dxa" w:w="120"/>
            </w:tcMar>
          </w:tcPr>
          <w:p>
            <w:r>
              <w:rPr>
                <w:sz w:val="19"/>
                <w:szCs w:val="19"/>
              </w:rPr>
              <w:t xml:space="preserve">1</w:t>
            </w:r>
          </w:p>
        </w:tc>
        <w:tc>
          <w:tcPr>
            <w:tcW w:type="pct" w:w="1000"/>
            <w:shd w:fill="FFFFFF" w:val="clear"/>
            <w:tcMar>
              <w:top w:type="dxa" w:w="70"/>
              <w:left w:type="dxa" w:w="120"/>
              <w:bottom w:type="dxa" w:w="70"/>
              <w:right w:type="dxa" w:w="120"/>
            </w:tcMar>
          </w:tcPr>
          <w:p>
            <w:r>
              <w:rPr>
                <w:sz w:val="19"/>
                <w:szCs w:val="19"/>
              </w:rPr>
              <w:t xml:space="preserve">0</w:t>
            </w:r>
          </w:p>
        </w:tc>
        <w:tc>
          <w:tcPr>
            <w:tcW w:type="pct" w:w="900"/>
            <w:shd w:fill="FFFFFF" w:val="clear"/>
            <w:tcMar>
              <w:top w:type="dxa" w:w="70"/>
              <w:left w:type="dxa" w:w="120"/>
              <w:bottom w:type="dxa" w:w="70"/>
              <w:right w:type="dxa" w:w="120"/>
            </w:tcMar>
          </w:tcPr>
          <w:p>
            <w:r>
              <w:rPr>
                <w:sz w:val="19"/>
                <w:szCs w:val="19"/>
              </w:rPr>
              <w:t xml:space="preserve">—</w:t>
            </w:r>
          </w:p>
        </w:tc>
      </w:tr>
      <w:tr>
        <w:trPr>
          <w:cantSplit/>
        </w:trPr>
        <w:tc>
          <w:tcPr>
            <w:tcW w:type="pct" w:w="1500"/>
            <w:shd w:fill="FAFCFD" w:val="clear"/>
            <w:tcMar>
              <w:top w:type="dxa" w:w="70"/>
              <w:left w:type="dxa" w:w="120"/>
              <w:bottom w:type="dxa" w:w="70"/>
              <w:right w:type="dxa" w:w="120"/>
            </w:tcMar>
          </w:tcPr>
          <w:p>
            <w:r>
              <w:rPr>
                <w:sz w:val="19"/>
                <w:szCs w:val="19"/>
              </w:rPr>
              <w:t xml:space="preserve">tono → volumen</w:t>
            </w:r>
          </w:p>
        </w:tc>
        <w:tc>
          <w:tcPr>
            <w:tcW w:type="pct" w:w="600"/>
            <w:shd w:fill="FAFCFD" w:val="clear"/>
            <w:tcMar>
              <w:top w:type="dxa" w:w="70"/>
              <w:left w:type="dxa" w:w="120"/>
              <w:bottom w:type="dxa" w:w="70"/>
              <w:right w:type="dxa" w:w="120"/>
            </w:tcMar>
          </w:tcPr>
          <w:p>
            <w:r>
              <w:rPr>
                <w:sz w:val="19"/>
                <w:szCs w:val="19"/>
              </w:rPr>
              <w:t xml:space="preserve">47</w:t>
            </w:r>
          </w:p>
        </w:tc>
        <w:tc>
          <w:tcPr>
            <w:tcW w:type="pct" w:w="1000"/>
            <w:shd w:fill="FAFCFD" w:val="clear"/>
            <w:tcMar>
              <w:top w:type="dxa" w:w="70"/>
              <w:left w:type="dxa" w:w="120"/>
              <w:bottom w:type="dxa" w:w="70"/>
              <w:right w:type="dxa" w:w="120"/>
            </w:tcMar>
          </w:tcPr>
          <w:p>
            <w:r>
              <w:rPr>
                <w:sz w:val="19"/>
                <w:szCs w:val="19"/>
              </w:rPr>
              <w:t xml:space="preserve">6</w:t>
            </w:r>
          </w:p>
        </w:tc>
        <w:tc>
          <w:tcPr>
            <w:tcW w:type="pct" w:w="1000"/>
            <w:shd w:fill="FAFCFD" w:val="clear"/>
            <w:tcMar>
              <w:top w:type="dxa" w:w="70"/>
              <w:left w:type="dxa" w:w="120"/>
              <w:bottom w:type="dxa" w:w="70"/>
              <w:right w:type="dxa" w:w="120"/>
            </w:tcMar>
          </w:tcPr>
          <w:p>
            <w:r>
              <w:rPr>
                <w:sz w:val="19"/>
                <w:szCs w:val="19"/>
              </w:rPr>
              <w:t xml:space="preserve">2</w:t>
            </w:r>
          </w:p>
        </w:tc>
        <w:tc>
          <w:tcPr>
            <w:tcW w:type="pct" w:w="900"/>
            <w:shd w:fill="FAFCFD" w:val="clear"/>
            <w:tcMar>
              <w:top w:type="dxa" w:w="70"/>
              <w:left w:type="dxa" w:w="120"/>
              <w:bottom w:type="dxa" w:w="70"/>
              <w:right w:type="dxa" w:w="120"/>
            </w:tcMar>
          </w:tcPr>
          <w:p>
            <w:r>
              <w:rPr>
                <w:sz w:val="19"/>
                <w:szCs w:val="19"/>
              </w:rPr>
              <w:t xml:space="preserve">2 +, 0 −</w:t>
            </w:r>
          </w:p>
        </w:tc>
      </w:tr>
      <w:tr>
        <w:trPr>
          <w:cantSplit/>
        </w:trPr>
        <w:tc>
          <w:tcPr>
            <w:tcW w:type="pct" w:w="1500"/>
            <w:shd w:fill="FFFFFF" w:val="clear"/>
            <w:tcMar>
              <w:top w:type="dxa" w:w="70"/>
              <w:left w:type="dxa" w:w="120"/>
              <w:bottom w:type="dxa" w:w="70"/>
              <w:right w:type="dxa" w:w="120"/>
            </w:tcMar>
          </w:tcPr>
          <w:p>
            <w:r>
              <w:rPr>
                <w:sz w:val="19"/>
                <w:szCs w:val="19"/>
              </w:rPr>
              <w:t xml:space="preserve">retorno → tono</w:t>
            </w:r>
          </w:p>
        </w:tc>
        <w:tc>
          <w:tcPr>
            <w:tcW w:type="pct" w:w="600"/>
            <w:shd w:fill="FFFFFF" w:val="clear"/>
            <w:tcMar>
              <w:top w:type="dxa" w:w="70"/>
              <w:left w:type="dxa" w:w="120"/>
              <w:bottom w:type="dxa" w:w="70"/>
              <w:right w:type="dxa" w:w="120"/>
            </w:tcMar>
          </w:tcPr>
          <w:p>
            <w:r>
              <w:rPr>
                <w:sz w:val="19"/>
                <w:szCs w:val="19"/>
              </w:rPr>
              <w:t xml:space="preserve">47</w:t>
            </w:r>
          </w:p>
        </w:tc>
        <w:tc>
          <w:tcPr>
            <w:tcW w:type="pct" w:w="1000"/>
            <w:shd w:fill="FFFFFF" w:val="clear"/>
            <w:tcMar>
              <w:top w:type="dxa" w:w="70"/>
              <w:left w:type="dxa" w:w="120"/>
              <w:bottom w:type="dxa" w:w="70"/>
              <w:right w:type="dxa" w:w="120"/>
            </w:tcMar>
          </w:tcPr>
          <w:p>
            <w:r>
              <w:rPr>
                <w:sz w:val="19"/>
                <w:szCs w:val="19"/>
              </w:rPr>
              <w:t xml:space="preserve">43</w:t>
            </w:r>
          </w:p>
        </w:tc>
        <w:tc>
          <w:tcPr>
            <w:tcW w:type="pct" w:w="1000"/>
            <w:shd w:fill="FFFFFF" w:val="clear"/>
            <w:tcMar>
              <w:top w:type="dxa" w:w="70"/>
              <w:left w:type="dxa" w:w="120"/>
              <w:bottom w:type="dxa" w:w="70"/>
              <w:right w:type="dxa" w:w="120"/>
            </w:tcMar>
          </w:tcPr>
          <w:p>
            <w:r>
              <w:rPr>
                <w:sz w:val="19"/>
                <w:szCs w:val="19"/>
              </w:rPr>
              <w:t xml:space="preserve">39</w:t>
            </w:r>
          </w:p>
        </w:tc>
        <w:tc>
          <w:tcPr>
            <w:tcW w:type="pct" w:w="900"/>
            <w:shd w:fill="FFFFFF" w:val="clear"/>
            <w:tcMar>
              <w:top w:type="dxa" w:w="70"/>
              <w:left w:type="dxa" w:w="120"/>
              <w:bottom w:type="dxa" w:w="70"/>
              <w:right w:type="dxa" w:w="120"/>
            </w:tcMar>
          </w:tcPr>
          <w:p>
            <w:r>
              <w:rPr>
                <w:sz w:val="19"/>
                <w:szCs w:val="19"/>
              </w:rPr>
              <w:t xml:space="preserve">39 +, 0 −</w:t>
            </w:r>
          </w:p>
        </w:tc>
      </w:tr>
      <w:tr>
        <w:trPr>
          <w:cantSplit/>
        </w:trPr>
        <w:tc>
          <w:tcPr>
            <w:tcW w:type="pct" w:w="1500"/>
            <w:shd w:fill="FAFCFD" w:val="clear"/>
            <w:tcMar>
              <w:top w:type="dxa" w:w="70"/>
              <w:left w:type="dxa" w:w="120"/>
              <w:bottom w:type="dxa" w:w="70"/>
              <w:right w:type="dxa" w:w="120"/>
            </w:tcMar>
          </w:tcPr>
          <w:p>
            <w:r>
              <w:rPr>
                <w:sz w:val="19"/>
                <w:szCs w:val="19"/>
              </w:rPr>
              <w:t xml:space="preserve">volumen → tono</w:t>
            </w:r>
          </w:p>
        </w:tc>
        <w:tc>
          <w:tcPr>
            <w:tcW w:type="pct" w:w="600"/>
            <w:shd w:fill="FAFCFD" w:val="clear"/>
            <w:tcMar>
              <w:top w:type="dxa" w:w="70"/>
              <w:left w:type="dxa" w:w="120"/>
              <w:bottom w:type="dxa" w:w="70"/>
              <w:right w:type="dxa" w:w="120"/>
            </w:tcMar>
          </w:tcPr>
          <w:p>
            <w:r>
              <w:rPr>
                <w:sz w:val="19"/>
                <w:szCs w:val="19"/>
              </w:rPr>
              <w:t xml:space="preserve">47</w:t>
            </w:r>
          </w:p>
        </w:tc>
        <w:tc>
          <w:tcPr>
            <w:tcW w:type="pct" w:w="1000"/>
            <w:shd w:fill="FAFCFD" w:val="clear"/>
            <w:tcMar>
              <w:top w:type="dxa" w:w="70"/>
              <w:left w:type="dxa" w:w="120"/>
              <w:bottom w:type="dxa" w:w="70"/>
              <w:right w:type="dxa" w:w="120"/>
            </w:tcMar>
          </w:tcPr>
          <w:p>
            <w:r>
              <w:rPr>
                <w:sz w:val="19"/>
                <w:szCs w:val="19"/>
              </w:rPr>
              <w:t xml:space="preserve">11</w:t>
            </w:r>
          </w:p>
        </w:tc>
        <w:tc>
          <w:tcPr>
            <w:tcW w:type="pct" w:w="1000"/>
            <w:shd w:fill="FAFCFD" w:val="clear"/>
            <w:tcMar>
              <w:top w:type="dxa" w:w="70"/>
              <w:left w:type="dxa" w:w="120"/>
              <w:bottom w:type="dxa" w:w="70"/>
              <w:right w:type="dxa" w:w="120"/>
            </w:tcMar>
          </w:tcPr>
          <w:p>
            <w:r>
              <w:rPr>
                <w:sz w:val="19"/>
                <w:szCs w:val="19"/>
              </w:rPr>
              <w:t xml:space="preserve">3</w:t>
            </w:r>
          </w:p>
        </w:tc>
        <w:tc>
          <w:tcPr>
            <w:tcW w:type="pct" w:w="900"/>
            <w:shd w:fill="FAFCFD" w:val="clear"/>
            <w:tcMar>
              <w:top w:type="dxa" w:w="70"/>
              <w:left w:type="dxa" w:w="120"/>
              <w:bottom w:type="dxa" w:w="70"/>
              <w:right w:type="dxa" w:w="120"/>
            </w:tcMar>
          </w:tcPr>
          <w:p>
            <w:r>
              <w:rPr>
                <w:sz w:val="19"/>
                <w:szCs w:val="19"/>
              </w:rPr>
              <w:t xml:space="preserve">3 +, 0 −</w:t>
            </w:r>
          </w:p>
        </w:tc>
      </w:tr>
    </w:tbl>
    <w:p>
      <w:pPr>
        <w:spacing w:after="160"/>
        <w:jc w:val="center"/>
      </w:pPr>
      <w:r>
        <w:drawing>
          <wp:inline distT="0" distB="0" distL="0" distR="0">
            <wp:extent cx="4000500" cy="5867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5867400"/>
                    </a:xfrm>
                    <a:prstGeom prst="rect">
                      <a:avLst/>
                    </a:prstGeom>
                  </pic:spPr>
                </pic:pic>
              </a:graphicData>
            </a:graphic>
          </wp:inline>
        </w:drawing>
      </w:r>
    </w:p>
    <w:p>
      <w:pPr>
        <w:spacing w:after="160" w:line="300"/>
      </w:pPr>
      <w:r>
        <w:rPr>
          <w:i/>
          <w:iCs/>
          <w:color w:val="5C6B7A"/>
          <w:sz w:val="18"/>
          <w:szCs w:val="18"/>
        </w:rPr>
        <w:t xml:space="preserve">Cada fila es una empresa y cada columna una prueba. Más oscuro, p más chico; ○ p &lt; 0,05 sin corregir; ● significativo después de la corrección.</w:t>
      </w:r>
    </w:p>
    <w:p>
      <w:pPr>
        <w:spacing w:after="160" w:line="300"/>
      </w:pPr>
      <w:r>
        <w:t xml:space="preserve">El retorno de casi todas las empresas anticipa el tono de las noticias (39 de 47, todas con signo positivo). Hay que leerlo con cuidado: en este nivel el tono es el del mercado, no el de cada empresa, y los retornos de las empresas se mueven junto con el Merval. En buena parte es el mismo hallazgo del mercado repetido 47 veces. La evidencia propia de cada empresa está en la sección siguiente.</w:t>
      </w:r>
    </w:p>
    <w:p>
      <w:pPr>
        <w:spacing w:after="160" w:line="300"/>
      </w:pPr>
      <w:r>
        <w:t xml:space="preserve">En la dirección contraria, 7 de 94 pruebas dan p &lt; 0,05 sin corregir, cuando por azar se esperarían unas 9,4. Después de la corrección quedan 2 (LONG: tono → volumen; SUPV: tono → volumen). Es lo esperable por casualidad; no hay un patrón.</w:t>
      </w:r>
    </w:p>
    <w:p>
      <w:pPr>
        <w:pStyle w:val="Heading1"/>
        <w:keepNext/>
        <w:spacing w:after="160" w:before="360"/>
      </w:pPr>
      <w:r>
        <w:t xml:space="preserve">5. El tono propio de las 17 empresas</w:t>
      </w:r>
    </w:p>
    <w:p>
      <w:pPr>
        <w:spacing w:after="160" w:line="300"/>
      </w:pPr>
      <w:r>
        <w:t xml:space="preserve">Acá la variable de noticias es el tono propio: cuánto mejor o peor se habla de la empresa que del mercado, con más peso cuantas más oraciones (U4). Es la prueba más exigente, porque descuenta el clima general.</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891"/>
        <w:gridCol w:w="1157"/>
        <w:gridCol w:w="1928"/>
        <w:gridCol w:w="1928"/>
        <w:gridCol w:w="1735"/>
      </w:tblGrid>
      <w:tr>
        <w:trPr>
          <w:tblHeader/>
        </w:trPr>
        <w:tc>
          <w:tcPr>
            <w:tcW w:type="pct" w:w="1500"/>
            <w:shd w:fill="1C3A5C" w:val="clear"/>
            <w:tcMar>
              <w:top w:type="dxa" w:w="80"/>
              <w:left w:type="dxa" w:w="120"/>
              <w:bottom w:type="dxa" w:w="80"/>
              <w:right w:type="dxa" w:w="120"/>
            </w:tcMar>
          </w:tcPr>
          <w:p>
            <w:r>
              <w:rPr>
                <w:b/>
                <w:bCs/>
                <w:color w:val="FFFFFF"/>
                <w:sz w:val="19"/>
                <w:szCs w:val="19"/>
              </w:rPr>
              <w:t xml:space="preserve">Prueba</w:t>
            </w:r>
          </w:p>
        </w:tc>
        <w:tc>
          <w:tcPr>
            <w:tcW w:type="pct" w:w="600"/>
            <w:shd w:fill="1C3A5C" w:val="clear"/>
            <w:tcMar>
              <w:top w:type="dxa" w:w="80"/>
              <w:left w:type="dxa" w:w="120"/>
              <w:bottom w:type="dxa" w:w="80"/>
              <w:right w:type="dxa" w:w="120"/>
            </w:tcMar>
          </w:tcPr>
          <w:p>
            <w:r>
              <w:rPr>
                <w:b/>
                <w:bCs/>
                <w:color w:val="FFFFFF"/>
                <w:sz w:val="19"/>
                <w:szCs w:val="19"/>
              </w:rPr>
              <w:t xml:space="preserve">Tests</w:t>
            </w:r>
          </w:p>
        </w:tc>
        <w:tc>
          <w:tcPr>
            <w:tcW w:type="pct" w:w="1000"/>
            <w:shd w:fill="1C3A5C" w:val="clear"/>
            <w:tcMar>
              <w:top w:type="dxa" w:w="80"/>
              <w:left w:type="dxa" w:w="120"/>
              <w:bottom w:type="dxa" w:w="80"/>
              <w:right w:type="dxa" w:w="120"/>
            </w:tcMar>
          </w:tcPr>
          <w:p>
            <w:r>
              <w:rPr>
                <w:b/>
                <w:bCs/>
                <w:color w:val="FFFFFF"/>
                <w:sz w:val="19"/>
                <w:szCs w:val="19"/>
              </w:rPr>
              <w:t xml:space="preserve">p &lt; 0,05 sin corregir</w:t>
            </w:r>
          </w:p>
        </w:tc>
        <w:tc>
          <w:tcPr>
            <w:tcW w:type="pct" w:w="1000"/>
            <w:shd w:fill="1C3A5C" w:val="clear"/>
            <w:tcMar>
              <w:top w:type="dxa" w:w="80"/>
              <w:left w:type="dxa" w:w="120"/>
              <w:bottom w:type="dxa" w:w="80"/>
              <w:right w:type="dxa" w:w="120"/>
            </w:tcMar>
          </w:tcPr>
          <w:p>
            <w:r>
              <w:rPr>
                <w:b/>
                <w:bCs/>
                <w:color w:val="FFFFFF"/>
                <w:sz w:val="19"/>
                <w:szCs w:val="19"/>
              </w:rPr>
              <w:t xml:space="preserve">Significativos (BH)</w:t>
            </w:r>
          </w:p>
        </w:tc>
        <w:tc>
          <w:tcPr>
            <w:tcW w:type="pct" w:w="900"/>
            <w:shd w:fill="1C3A5C" w:val="clear"/>
            <w:tcMar>
              <w:top w:type="dxa" w:w="80"/>
              <w:left w:type="dxa" w:w="120"/>
              <w:bottom w:type="dxa" w:w="80"/>
              <w:right w:type="dxa" w:w="120"/>
            </w:tcMar>
          </w:tcPr>
          <w:p>
            <w:r>
              <w:rPr>
                <w:b/>
                <w:bCs/>
                <w:color w:val="FFFFFF"/>
                <w:sz w:val="19"/>
                <w:szCs w:val="19"/>
              </w:rPr>
              <w:t xml:space="preserve">Signo</w:t>
            </w:r>
          </w:p>
        </w:tc>
      </w:tr>
      <w:tr>
        <w:trPr>
          <w:cantSplit/>
        </w:trPr>
        <w:tc>
          <w:tcPr>
            <w:tcW w:type="pct" w:w="1500"/>
            <w:shd w:fill="FFFFFF" w:val="clear"/>
            <w:tcMar>
              <w:top w:type="dxa" w:w="70"/>
              <w:left w:type="dxa" w:w="120"/>
              <w:bottom w:type="dxa" w:w="70"/>
              <w:right w:type="dxa" w:w="120"/>
            </w:tcMar>
          </w:tcPr>
          <w:p>
            <w:r>
              <w:rPr>
                <w:sz w:val="19"/>
                <w:szCs w:val="19"/>
              </w:rPr>
              <w:t xml:space="preserve">tono propio → retorno</w:t>
            </w:r>
          </w:p>
        </w:tc>
        <w:tc>
          <w:tcPr>
            <w:tcW w:type="pct" w:w="600"/>
            <w:shd w:fill="FFFFFF" w:val="clear"/>
            <w:tcMar>
              <w:top w:type="dxa" w:w="70"/>
              <w:left w:type="dxa" w:w="120"/>
              <w:bottom w:type="dxa" w:w="70"/>
              <w:right w:type="dxa" w:w="120"/>
            </w:tcMar>
          </w:tcPr>
          <w:p>
            <w:r>
              <w:rPr>
                <w:sz w:val="19"/>
                <w:szCs w:val="19"/>
              </w:rPr>
              <w:t xml:space="preserve">17</w:t>
            </w:r>
          </w:p>
        </w:tc>
        <w:tc>
          <w:tcPr>
            <w:tcW w:type="pct" w:w="1000"/>
            <w:shd w:fill="FFFFFF" w:val="clear"/>
            <w:tcMar>
              <w:top w:type="dxa" w:w="70"/>
              <w:left w:type="dxa" w:w="120"/>
              <w:bottom w:type="dxa" w:w="70"/>
              <w:right w:type="dxa" w:w="120"/>
            </w:tcMar>
          </w:tcPr>
          <w:p>
            <w:r>
              <w:rPr>
                <w:sz w:val="19"/>
                <w:szCs w:val="19"/>
              </w:rPr>
              <w:t xml:space="preserve">0</w:t>
            </w:r>
          </w:p>
        </w:tc>
        <w:tc>
          <w:tcPr>
            <w:tcW w:type="pct" w:w="1000"/>
            <w:shd w:fill="FFFFFF" w:val="clear"/>
            <w:tcMar>
              <w:top w:type="dxa" w:w="70"/>
              <w:left w:type="dxa" w:w="120"/>
              <w:bottom w:type="dxa" w:w="70"/>
              <w:right w:type="dxa" w:w="120"/>
            </w:tcMar>
          </w:tcPr>
          <w:p>
            <w:r>
              <w:rPr>
                <w:sz w:val="19"/>
                <w:szCs w:val="19"/>
              </w:rPr>
              <w:t xml:space="preserve">0</w:t>
            </w:r>
          </w:p>
        </w:tc>
        <w:tc>
          <w:tcPr>
            <w:tcW w:type="pct" w:w="900"/>
            <w:shd w:fill="FFFFFF" w:val="clear"/>
            <w:tcMar>
              <w:top w:type="dxa" w:w="70"/>
              <w:left w:type="dxa" w:w="120"/>
              <w:bottom w:type="dxa" w:w="70"/>
              <w:right w:type="dxa" w:w="120"/>
            </w:tcMar>
          </w:tcPr>
          <w:p>
            <w:r>
              <w:rPr>
                <w:sz w:val="19"/>
                <w:szCs w:val="19"/>
              </w:rPr>
              <w:t xml:space="preserve">—</w:t>
            </w:r>
          </w:p>
        </w:tc>
      </w:tr>
      <w:tr>
        <w:trPr>
          <w:cantSplit/>
        </w:trPr>
        <w:tc>
          <w:tcPr>
            <w:tcW w:type="pct" w:w="1500"/>
            <w:shd w:fill="FAFCFD" w:val="clear"/>
            <w:tcMar>
              <w:top w:type="dxa" w:w="70"/>
              <w:left w:type="dxa" w:w="120"/>
              <w:bottom w:type="dxa" w:w="70"/>
              <w:right w:type="dxa" w:w="120"/>
            </w:tcMar>
          </w:tcPr>
          <w:p>
            <w:r>
              <w:rPr>
                <w:sz w:val="19"/>
                <w:szCs w:val="19"/>
              </w:rPr>
              <w:t xml:space="preserve">tono propio → volumen</w:t>
            </w:r>
          </w:p>
        </w:tc>
        <w:tc>
          <w:tcPr>
            <w:tcW w:type="pct" w:w="600"/>
            <w:shd w:fill="FAFCFD" w:val="clear"/>
            <w:tcMar>
              <w:top w:type="dxa" w:w="70"/>
              <w:left w:type="dxa" w:w="120"/>
              <w:bottom w:type="dxa" w:w="70"/>
              <w:right w:type="dxa" w:w="120"/>
            </w:tcMar>
          </w:tcPr>
          <w:p>
            <w:r>
              <w:rPr>
                <w:sz w:val="19"/>
                <w:szCs w:val="19"/>
              </w:rPr>
              <w:t xml:space="preserve">17</w:t>
            </w:r>
          </w:p>
        </w:tc>
        <w:tc>
          <w:tcPr>
            <w:tcW w:type="pct" w:w="1000"/>
            <w:shd w:fill="FAFCFD" w:val="clear"/>
            <w:tcMar>
              <w:top w:type="dxa" w:w="70"/>
              <w:left w:type="dxa" w:w="120"/>
              <w:bottom w:type="dxa" w:w="70"/>
              <w:right w:type="dxa" w:w="120"/>
            </w:tcMar>
          </w:tcPr>
          <w:p>
            <w:r>
              <w:rPr>
                <w:sz w:val="19"/>
                <w:szCs w:val="19"/>
              </w:rPr>
              <w:t xml:space="preserve">2</w:t>
            </w:r>
          </w:p>
        </w:tc>
        <w:tc>
          <w:tcPr>
            <w:tcW w:type="pct" w:w="1000"/>
            <w:shd w:fill="FAFCFD" w:val="clear"/>
            <w:tcMar>
              <w:top w:type="dxa" w:w="70"/>
              <w:left w:type="dxa" w:w="120"/>
              <w:bottom w:type="dxa" w:w="70"/>
              <w:right w:type="dxa" w:w="120"/>
            </w:tcMar>
          </w:tcPr>
          <w:p>
            <w:r>
              <w:rPr>
                <w:sz w:val="19"/>
                <w:szCs w:val="19"/>
              </w:rPr>
              <w:t xml:space="preserve">1</w:t>
            </w:r>
          </w:p>
        </w:tc>
        <w:tc>
          <w:tcPr>
            <w:tcW w:type="pct" w:w="900"/>
            <w:shd w:fill="FAFCFD" w:val="clear"/>
            <w:tcMar>
              <w:top w:type="dxa" w:w="70"/>
              <w:left w:type="dxa" w:w="120"/>
              <w:bottom w:type="dxa" w:w="70"/>
              <w:right w:type="dxa" w:w="120"/>
            </w:tcMar>
          </w:tcPr>
          <w:p>
            <w:r>
              <w:rPr>
                <w:sz w:val="19"/>
                <w:szCs w:val="19"/>
              </w:rPr>
              <w:t xml:space="preserve">1 +, 0 −</w:t>
            </w:r>
          </w:p>
        </w:tc>
      </w:tr>
      <w:tr>
        <w:trPr>
          <w:cantSplit/>
        </w:trPr>
        <w:tc>
          <w:tcPr>
            <w:tcW w:type="pct" w:w="1500"/>
            <w:shd w:fill="FFFFFF" w:val="clear"/>
            <w:tcMar>
              <w:top w:type="dxa" w:w="70"/>
              <w:left w:type="dxa" w:w="120"/>
              <w:bottom w:type="dxa" w:w="70"/>
              <w:right w:type="dxa" w:w="120"/>
            </w:tcMar>
          </w:tcPr>
          <w:p>
            <w:r>
              <w:rPr>
                <w:sz w:val="19"/>
                <w:szCs w:val="19"/>
              </w:rPr>
              <w:t xml:space="preserve">retorno → tono propio</w:t>
            </w:r>
          </w:p>
        </w:tc>
        <w:tc>
          <w:tcPr>
            <w:tcW w:type="pct" w:w="600"/>
            <w:shd w:fill="FFFFFF" w:val="clear"/>
            <w:tcMar>
              <w:top w:type="dxa" w:w="70"/>
              <w:left w:type="dxa" w:w="120"/>
              <w:bottom w:type="dxa" w:w="70"/>
              <w:right w:type="dxa" w:w="120"/>
            </w:tcMar>
          </w:tcPr>
          <w:p>
            <w:r>
              <w:rPr>
                <w:sz w:val="19"/>
                <w:szCs w:val="19"/>
              </w:rPr>
              <w:t xml:space="preserve">17</w:t>
            </w:r>
          </w:p>
        </w:tc>
        <w:tc>
          <w:tcPr>
            <w:tcW w:type="pct" w:w="1000"/>
            <w:shd w:fill="FFFFFF" w:val="clear"/>
            <w:tcMar>
              <w:top w:type="dxa" w:w="70"/>
              <w:left w:type="dxa" w:w="120"/>
              <w:bottom w:type="dxa" w:w="70"/>
              <w:right w:type="dxa" w:w="120"/>
            </w:tcMar>
          </w:tcPr>
          <w:p>
            <w:r>
              <w:rPr>
                <w:sz w:val="19"/>
                <w:szCs w:val="19"/>
              </w:rPr>
              <w:t xml:space="preserve">16</w:t>
            </w:r>
          </w:p>
        </w:tc>
        <w:tc>
          <w:tcPr>
            <w:tcW w:type="pct" w:w="1000"/>
            <w:shd w:fill="FFFFFF" w:val="clear"/>
            <w:tcMar>
              <w:top w:type="dxa" w:w="70"/>
              <w:left w:type="dxa" w:w="120"/>
              <w:bottom w:type="dxa" w:w="70"/>
              <w:right w:type="dxa" w:w="120"/>
            </w:tcMar>
          </w:tcPr>
          <w:p>
            <w:r>
              <w:rPr>
                <w:sz w:val="19"/>
                <w:szCs w:val="19"/>
              </w:rPr>
              <w:t xml:space="preserve">15</w:t>
            </w:r>
          </w:p>
        </w:tc>
        <w:tc>
          <w:tcPr>
            <w:tcW w:type="pct" w:w="900"/>
            <w:shd w:fill="FFFFFF" w:val="clear"/>
            <w:tcMar>
              <w:top w:type="dxa" w:w="70"/>
              <w:left w:type="dxa" w:w="120"/>
              <w:bottom w:type="dxa" w:w="70"/>
              <w:right w:type="dxa" w:w="120"/>
            </w:tcMar>
          </w:tcPr>
          <w:p>
            <w:r>
              <w:rPr>
                <w:sz w:val="19"/>
                <w:szCs w:val="19"/>
              </w:rPr>
              <w:t xml:space="preserve">15 +, 0 −</w:t>
            </w:r>
          </w:p>
        </w:tc>
      </w:tr>
      <w:tr>
        <w:trPr>
          <w:cantSplit/>
        </w:trPr>
        <w:tc>
          <w:tcPr>
            <w:tcW w:type="pct" w:w="1500"/>
            <w:shd w:fill="FAFCFD" w:val="clear"/>
            <w:tcMar>
              <w:top w:type="dxa" w:w="70"/>
              <w:left w:type="dxa" w:w="120"/>
              <w:bottom w:type="dxa" w:w="70"/>
              <w:right w:type="dxa" w:w="120"/>
            </w:tcMar>
          </w:tcPr>
          <w:p>
            <w:r>
              <w:rPr>
                <w:sz w:val="19"/>
                <w:szCs w:val="19"/>
              </w:rPr>
              <w:t xml:space="preserve">volumen → tono propio</w:t>
            </w:r>
          </w:p>
        </w:tc>
        <w:tc>
          <w:tcPr>
            <w:tcW w:type="pct" w:w="600"/>
            <w:shd w:fill="FAFCFD" w:val="clear"/>
            <w:tcMar>
              <w:top w:type="dxa" w:w="70"/>
              <w:left w:type="dxa" w:w="120"/>
              <w:bottom w:type="dxa" w:w="70"/>
              <w:right w:type="dxa" w:w="120"/>
            </w:tcMar>
          </w:tcPr>
          <w:p>
            <w:r>
              <w:rPr>
                <w:sz w:val="19"/>
                <w:szCs w:val="19"/>
              </w:rPr>
              <w:t xml:space="preserve">17</w:t>
            </w:r>
          </w:p>
        </w:tc>
        <w:tc>
          <w:tcPr>
            <w:tcW w:type="pct" w:w="1000"/>
            <w:shd w:fill="FAFCFD" w:val="clear"/>
            <w:tcMar>
              <w:top w:type="dxa" w:w="70"/>
              <w:left w:type="dxa" w:w="120"/>
              <w:bottom w:type="dxa" w:w="70"/>
              <w:right w:type="dxa" w:w="120"/>
            </w:tcMar>
          </w:tcPr>
          <w:p>
            <w:r>
              <w:rPr>
                <w:sz w:val="19"/>
                <w:szCs w:val="19"/>
              </w:rPr>
              <w:t xml:space="preserve">1</w:t>
            </w:r>
          </w:p>
        </w:tc>
        <w:tc>
          <w:tcPr>
            <w:tcW w:type="pct" w:w="1000"/>
            <w:shd w:fill="FAFCFD" w:val="clear"/>
            <w:tcMar>
              <w:top w:type="dxa" w:w="70"/>
              <w:left w:type="dxa" w:w="120"/>
              <w:bottom w:type="dxa" w:w="70"/>
              <w:right w:type="dxa" w:w="120"/>
            </w:tcMar>
          </w:tcPr>
          <w:p>
            <w:r>
              <w:rPr>
                <w:sz w:val="19"/>
                <w:szCs w:val="19"/>
              </w:rPr>
              <w:t xml:space="preserve">0</w:t>
            </w:r>
          </w:p>
        </w:tc>
        <w:tc>
          <w:tcPr>
            <w:tcW w:type="pct" w:w="900"/>
            <w:shd w:fill="FAFCFD" w:val="clear"/>
            <w:tcMar>
              <w:top w:type="dxa" w:w="70"/>
              <w:left w:type="dxa" w:w="120"/>
              <w:bottom w:type="dxa" w:w="70"/>
              <w:right w:type="dxa" w:w="120"/>
            </w:tcMar>
          </w:tcPr>
          <w:p>
            <w:r>
              <w:rPr>
                <w:sz w:val="19"/>
                <w:szCs w:val="19"/>
              </w:rPr>
              <w:t xml:space="preserve">—</w:t>
            </w:r>
          </w:p>
        </w:tc>
      </w:tr>
    </w:tbl>
    <w:p>
      <w:pPr>
        <w:spacing w:after="160" w:line="300"/>
      </w:pPr>
      <w:r>
        <w:t xml:space="preserve">En 15 de las 17 empresas, cuando la acción sube, en las ruedas siguientes se habla de ella mejor que del resto del mercado (BBAR, BMA, BYMA, CEPU, CRES, EDN, GGAL, IRSA, LOMA, METR, SUPV, TGSU2, TRAN, TXAR, YPFD). No aparece en ALUA ni PAMP. Es el resultado más fuerte de la tesis, porque es específico de cada empresa: no se explica por el clima general de las noticias.</w:t>
      </w:r>
    </w:p>
    <w:p>
      <w:pPr>
        <w:spacing w:after="160" w:line="300"/>
      </w:pPr>
      <w:r>
        <w:t xml:space="preserve">En la dirección contraria queda 1 prueba significativa (IRSA: tono propio → volumen), aislada y sin patrón: el tono propio no anticipa ni el retorno ni el volumen de las empresas.</w:t>
      </w:r>
    </w:p>
    <w:p>
      <w:pPr>
        <w:pStyle w:val="Heading1"/>
        <w:keepNext/>
        <w:spacing w:after="160" w:before="360"/>
      </w:pPr>
      <w:r>
        <w:t xml:space="preserve">6. Los sectores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699"/>
        <w:gridCol w:w="1735"/>
        <w:gridCol w:w="1735"/>
        <w:gridCol w:w="1735"/>
        <w:gridCol w:w="1735"/>
      </w:tblGrid>
      <w:tr>
        <w:trPr>
          <w:tblHeader/>
        </w:trPr>
        <w:tc>
          <w:tcPr>
            <w:tcW w:type="pct" w:w="1400"/>
            <w:shd w:fill="1C3A5C" w:val="clear"/>
            <w:tcMar>
              <w:top w:type="dxa" w:w="80"/>
              <w:left w:type="dxa" w:w="120"/>
              <w:bottom w:type="dxa" w:w="80"/>
              <w:right w:type="dxa" w:w="120"/>
            </w:tcMar>
          </w:tcPr>
          <w:p>
            <w:r>
              <w:rPr>
                <w:b/>
                <w:bCs/>
                <w:color w:val="FFFFFF"/>
                <w:sz w:val="19"/>
                <w:szCs w:val="19"/>
              </w:rPr>
              <w:t xml:space="preserve">Sector (acciones)</w:t>
            </w:r>
          </w:p>
        </w:tc>
        <w:tc>
          <w:tcPr>
            <w:tcW w:type="pct" w:w="900"/>
            <w:shd w:fill="1C3A5C" w:val="clear"/>
            <w:tcMar>
              <w:top w:type="dxa" w:w="80"/>
              <w:left w:type="dxa" w:w="120"/>
              <w:bottom w:type="dxa" w:w="80"/>
              <w:right w:type="dxa" w:w="120"/>
            </w:tcMar>
          </w:tcPr>
          <w:p>
            <w:r>
              <w:rPr>
                <w:b/>
                <w:bCs/>
                <w:color w:val="FFFFFF"/>
                <w:sz w:val="19"/>
                <w:szCs w:val="19"/>
              </w:rPr>
              <w:t xml:space="preserve">Tono → retorno</w:t>
            </w:r>
          </w:p>
        </w:tc>
        <w:tc>
          <w:tcPr>
            <w:tcW w:type="pct" w:w="900"/>
            <w:shd w:fill="1C3A5C" w:val="clear"/>
            <w:tcMar>
              <w:top w:type="dxa" w:w="80"/>
              <w:left w:type="dxa" w:w="120"/>
              <w:bottom w:type="dxa" w:w="80"/>
              <w:right w:type="dxa" w:w="120"/>
            </w:tcMar>
          </w:tcPr>
          <w:p>
            <w:r>
              <w:rPr>
                <w:b/>
                <w:bCs/>
                <w:color w:val="FFFFFF"/>
                <w:sz w:val="19"/>
                <w:szCs w:val="19"/>
              </w:rPr>
              <w:t xml:space="preserve">Tono → volumen</w:t>
            </w:r>
          </w:p>
        </w:tc>
        <w:tc>
          <w:tcPr>
            <w:tcW w:type="pct" w:w="900"/>
            <w:shd w:fill="1C3A5C" w:val="clear"/>
            <w:tcMar>
              <w:top w:type="dxa" w:w="80"/>
              <w:left w:type="dxa" w:w="120"/>
              <w:bottom w:type="dxa" w:w="80"/>
              <w:right w:type="dxa" w:w="120"/>
            </w:tcMar>
          </w:tcPr>
          <w:p>
            <w:r>
              <w:rPr>
                <w:b/>
                <w:bCs/>
                <w:color w:val="FFFFFF"/>
                <w:sz w:val="19"/>
                <w:szCs w:val="19"/>
              </w:rPr>
              <w:t xml:space="preserve">Retorno → tono</w:t>
            </w:r>
          </w:p>
        </w:tc>
        <w:tc>
          <w:tcPr>
            <w:tcW w:type="pct" w:w="900"/>
            <w:shd w:fill="1C3A5C" w:val="clear"/>
            <w:tcMar>
              <w:top w:type="dxa" w:w="80"/>
              <w:left w:type="dxa" w:w="120"/>
              <w:bottom w:type="dxa" w:w="80"/>
              <w:right w:type="dxa" w:w="120"/>
            </w:tcMar>
          </w:tcPr>
          <w:p>
            <w:r>
              <w:rPr>
                <w:b/>
                <w:bCs/>
                <w:color w:val="FFFFFF"/>
                <w:sz w:val="19"/>
                <w:szCs w:val="19"/>
              </w:rPr>
              <w:t xml:space="preserve">Volumen → tono</w:t>
            </w:r>
          </w:p>
        </w:tc>
      </w:tr>
      <w:tr>
        <w:trPr>
          <w:cantSplit/>
        </w:trPr>
        <w:tc>
          <w:tcPr>
            <w:tcW w:type="pct" w:w="1400"/>
            <w:shd w:fill="FFFFFF" w:val="clear"/>
            <w:tcMar>
              <w:top w:type="dxa" w:w="70"/>
              <w:left w:type="dxa" w:w="120"/>
              <w:bottom w:type="dxa" w:w="70"/>
              <w:right w:type="dxa" w:w="120"/>
            </w:tcMar>
          </w:tcPr>
          <w:p>
            <w:r>
              <w:rPr>
                <w:sz w:val="19"/>
                <w:szCs w:val="19"/>
              </w:rPr>
              <w:t xml:space="preserve">Comunicaciones (2)</w:t>
            </w:r>
          </w:p>
        </w:tc>
        <w:tc>
          <w:tcPr>
            <w:tcW w:type="pct" w:w="900"/>
            <w:shd w:fill="FFFFFF" w:val="clear"/>
            <w:tcMar>
              <w:top w:type="dxa" w:w="70"/>
              <w:left w:type="dxa" w:w="120"/>
              <w:bottom w:type="dxa" w:w="70"/>
              <w:right w:type="dxa" w:w="120"/>
            </w:tcMar>
          </w:tcPr>
          <w:p>
            <w:r>
              <w:rPr>
                <w:sz w:val="19"/>
                <w:szCs w:val="19"/>
              </w:rPr>
              <w:t xml:space="preserve">—</w:t>
            </w:r>
          </w:p>
        </w:tc>
        <w:tc>
          <w:tcPr>
            <w:tcW w:type="pct" w:w="900"/>
            <w:shd w:fill="FFFFFF" w:val="clear"/>
            <w:tcMar>
              <w:top w:type="dxa" w:w="70"/>
              <w:left w:type="dxa" w:w="120"/>
              <w:bottom w:type="dxa" w:w="70"/>
              <w:right w:type="dxa" w:w="120"/>
            </w:tcMar>
          </w:tcPr>
          <w:p>
            <w:r>
              <w:rPr>
                <w:sz w:val="19"/>
                <w:szCs w:val="19"/>
              </w:rPr>
              <w:t xml:space="preserve">—</w:t>
            </w:r>
          </w:p>
        </w:tc>
        <w:tc>
          <w:tcPr>
            <w:tcW w:type="pct" w:w="900"/>
            <w:shd w:fill="FFFFFF" w:val="clear"/>
            <w:tcMar>
              <w:top w:type="dxa" w:w="70"/>
              <w:left w:type="dxa" w:w="120"/>
              <w:bottom w:type="dxa" w:w="70"/>
              <w:right w:type="dxa" w:w="120"/>
            </w:tcMar>
          </w:tcPr>
          <w:p>
            <w:r>
              <w:rPr>
                <w:sz w:val="19"/>
                <w:szCs w:val="19"/>
              </w:rPr>
              <w:t xml:space="preserve">Sí (+)</w:t>
            </w:r>
          </w:p>
        </w:tc>
        <w:tc>
          <w:tcPr>
            <w:tcW w:type="pct" w:w="900"/>
            <w:shd w:fill="FFFFFF" w:val="clear"/>
            <w:tcMar>
              <w:top w:type="dxa" w:w="70"/>
              <w:left w:type="dxa" w:w="120"/>
              <w:bottom w:type="dxa" w:w="70"/>
              <w:right w:type="dxa" w:w="120"/>
            </w:tcMar>
          </w:tcPr>
          <w:p>
            <w:r>
              <w:rPr>
                <w:sz w:val="19"/>
                <w:szCs w:val="19"/>
              </w:rPr>
              <w:t xml:space="preserve">Sí (+)</w:t>
            </w:r>
          </w:p>
        </w:tc>
      </w:tr>
      <w:tr>
        <w:trPr>
          <w:cantSplit/>
        </w:trPr>
        <w:tc>
          <w:tcPr>
            <w:tcW w:type="pct" w:w="1400"/>
            <w:shd w:fill="FAFCFD" w:val="clear"/>
            <w:tcMar>
              <w:top w:type="dxa" w:w="70"/>
              <w:left w:type="dxa" w:w="120"/>
              <w:bottom w:type="dxa" w:w="70"/>
              <w:right w:type="dxa" w:w="120"/>
            </w:tcMar>
          </w:tcPr>
          <w:p>
            <w:r>
              <w:rPr>
                <w:sz w:val="19"/>
                <w:szCs w:val="19"/>
              </w:rPr>
              <w:t xml:space="preserve">Conglomerado (3)</w:t>
            </w:r>
          </w:p>
        </w:tc>
        <w:tc>
          <w:tcPr>
            <w:tcW w:type="pct" w:w="900"/>
            <w:shd w:fill="FAFCFD" w:val="clear"/>
            <w:tcMar>
              <w:top w:type="dxa" w:w="70"/>
              <w:left w:type="dxa" w:w="120"/>
              <w:bottom w:type="dxa" w:w="70"/>
              <w:right w:type="dxa" w:w="120"/>
            </w:tcMar>
          </w:tcPr>
          <w:p>
            <w:r>
              <w:rPr>
                <w:sz w:val="19"/>
                <w:szCs w:val="19"/>
              </w:rPr>
              <w:t xml:space="preserve">—</w:t>
            </w:r>
          </w:p>
        </w:tc>
        <w:tc>
          <w:tcPr>
            <w:tcW w:type="pct" w:w="900"/>
            <w:shd w:fill="FAFCFD" w:val="clear"/>
            <w:tcMar>
              <w:top w:type="dxa" w:w="70"/>
              <w:left w:type="dxa" w:w="120"/>
              <w:bottom w:type="dxa" w:w="70"/>
              <w:right w:type="dxa" w:w="120"/>
            </w:tcMar>
          </w:tcPr>
          <w:p>
            <w:r>
              <w:rPr>
                <w:sz w:val="19"/>
                <w:szCs w:val="19"/>
              </w:rPr>
              <w:t xml:space="preserve">Sí (−)</w:t>
            </w:r>
          </w:p>
        </w:tc>
        <w:tc>
          <w:tcPr>
            <w:tcW w:type="pct" w:w="900"/>
            <w:shd w:fill="FAFCFD" w:val="clear"/>
            <w:tcMar>
              <w:top w:type="dxa" w:w="70"/>
              <w:left w:type="dxa" w:w="120"/>
              <w:bottom w:type="dxa" w:w="70"/>
              <w:right w:type="dxa" w:w="120"/>
            </w:tcMar>
          </w:tcPr>
          <w:p>
            <w:r>
              <w:rPr>
                <w:sz w:val="19"/>
                <w:szCs w:val="19"/>
              </w:rPr>
              <w:t xml:space="preserve">Sí (+)</w:t>
            </w:r>
          </w:p>
        </w:tc>
        <w:tc>
          <w:tcPr>
            <w:tcW w:type="pct" w:w="900"/>
            <w:shd w:fill="FAFCFD" w:val="clear"/>
            <w:tcMar>
              <w:top w:type="dxa" w:w="70"/>
              <w:left w:type="dxa" w:w="120"/>
              <w:bottom w:type="dxa" w:w="70"/>
              <w:right w:type="dxa" w:w="120"/>
            </w:tcMar>
          </w:tcPr>
          <w:p>
            <w:r>
              <w:rPr>
                <w:sz w:val="19"/>
                <w:szCs w:val="19"/>
              </w:rPr>
              <w:t xml:space="preserve">—</w:t>
            </w:r>
          </w:p>
        </w:tc>
      </w:tr>
      <w:tr>
        <w:trPr>
          <w:cantSplit/>
        </w:trPr>
        <w:tc>
          <w:tcPr>
            <w:tcW w:type="pct" w:w="1400"/>
            <w:shd w:fill="FFFFFF" w:val="clear"/>
            <w:tcMar>
              <w:top w:type="dxa" w:w="70"/>
              <w:left w:type="dxa" w:w="120"/>
              <w:bottom w:type="dxa" w:w="70"/>
              <w:right w:type="dxa" w:w="120"/>
            </w:tcMar>
          </w:tcPr>
          <w:p>
            <w:r>
              <w:rPr>
                <w:sz w:val="19"/>
                <w:szCs w:val="19"/>
              </w:rPr>
              <w:t xml:space="preserve">Consumo (9)</w:t>
            </w:r>
          </w:p>
        </w:tc>
        <w:tc>
          <w:tcPr>
            <w:tcW w:type="pct" w:w="900"/>
            <w:shd w:fill="FFFFFF" w:val="clear"/>
            <w:tcMar>
              <w:top w:type="dxa" w:w="70"/>
              <w:left w:type="dxa" w:w="120"/>
              <w:bottom w:type="dxa" w:w="70"/>
              <w:right w:type="dxa" w:w="120"/>
            </w:tcMar>
          </w:tcPr>
          <w:p>
            <w:r>
              <w:rPr>
                <w:sz w:val="19"/>
                <w:szCs w:val="19"/>
              </w:rPr>
              <w:t xml:space="preserve">—</w:t>
            </w:r>
          </w:p>
        </w:tc>
        <w:tc>
          <w:tcPr>
            <w:tcW w:type="pct" w:w="900"/>
            <w:shd w:fill="FFFFFF" w:val="clear"/>
            <w:tcMar>
              <w:top w:type="dxa" w:w="70"/>
              <w:left w:type="dxa" w:w="120"/>
              <w:bottom w:type="dxa" w:w="70"/>
              <w:right w:type="dxa" w:w="120"/>
            </w:tcMar>
          </w:tcPr>
          <w:p>
            <w:r>
              <w:rPr>
                <w:sz w:val="19"/>
                <w:szCs w:val="19"/>
              </w:rPr>
              <w:t xml:space="preserve">sin corregir</w:t>
            </w:r>
          </w:p>
        </w:tc>
        <w:tc>
          <w:tcPr>
            <w:tcW w:type="pct" w:w="900"/>
            <w:shd w:fill="FFFFFF" w:val="clear"/>
            <w:tcMar>
              <w:top w:type="dxa" w:w="70"/>
              <w:left w:type="dxa" w:w="120"/>
              <w:bottom w:type="dxa" w:w="70"/>
              <w:right w:type="dxa" w:w="120"/>
            </w:tcMar>
          </w:tcPr>
          <w:p>
            <w:r>
              <w:rPr>
                <w:sz w:val="19"/>
                <w:szCs w:val="19"/>
              </w:rPr>
              <w:t xml:space="preserve">Sí (+)</w:t>
            </w:r>
          </w:p>
        </w:tc>
        <w:tc>
          <w:tcPr>
            <w:tcW w:type="pct" w:w="900"/>
            <w:shd w:fill="FFFFFF" w:val="clear"/>
            <w:tcMar>
              <w:top w:type="dxa" w:w="70"/>
              <w:left w:type="dxa" w:w="120"/>
              <w:bottom w:type="dxa" w:w="70"/>
              <w:right w:type="dxa" w:w="120"/>
            </w:tcMar>
          </w:tcPr>
          <w:p>
            <w:r>
              <w:rPr>
                <w:sz w:val="19"/>
                <w:szCs w:val="19"/>
              </w:rPr>
              <w:t xml:space="preserve">Sí (+)</w:t>
            </w:r>
          </w:p>
        </w:tc>
      </w:tr>
      <w:tr>
        <w:trPr>
          <w:cantSplit/>
        </w:trPr>
        <w:tc>
          <w:tcPr>
            <w:tcW w:type="pct" w:w="1400"/>
            <w:shd w:fill="FAFCFD" w:val="clear"/>
            <w:tcMar>
              <w:top w:type="dxa" w:w="70"/>
              <w:left w:type="dxa" w:w="120"/>
              <w:bottom w:type="dxa" w:w="70"/>
              <w:right w:type="dxa" w:w="120"/>
            </w:tcMar>
          </w:tcPr>
          <w:p>
            <w:r>
              <w:rPr>
                <w:sz w:val="19"/>
                <w:szCs w:val="19"/>
              </w:rPr>
              <w:t xml:space="preserve">Energía (4)</w:t>
            </w:r>
          </w:p>
        </w:tc>
        <w:tc>
          <w:tcPr>
            <w:tcW w:type="pct" w:w="900"/>
            <w:shd w:fill="FAFCFD" w:val="clear"/>
            <w:tcMar>
              <w:top w:type="dxa" w:w="70"/>
              <w:left w:type="dxa" w:w="120"/>
              <w:bottom w:type="dxa" w:w="70"/>
              <w:right w:type="dxa" w:w="120"/>
            </w:tcMar>
          </w:tcPr>
          <w:p>
            <w:r>
              <w:rPr>
                <w:sz w:val="19"/>
                <w:szCs w:val="19"/>
              </w:rPr>
              <w:t xml:space="preserve">—</w:t>
            </w:r>
          </w:p>
        </w:tc>
        <w:tc>
          <w:tcPr>
            <w:tcW w:type="pct" w:w="900"/>
            <w:shd w:fill="FAFCFD" w:val="clear"/>
            <w:tcMar>
              <w:top w:type="dxa" w:w="70"/>
              <w:left w:type="dxa" w:w="120"/>
              <w:bottom w:type="dxa" w:w="70"/>
              <w:right w:type="dxa" w:w="120"/>
            </w:tcMar>
          </w:tcPr>
          <w:p>
            <w:r>
              <w:rPr>
                <w:sz w:val="19"/>
                <w:szCs w:val="19"/>
              </w:rPr>
              <w:t xml:space="preserve">—</w:t>
            </w:r>
          </w:p>
        </w:tc>
        <w:tc>
          <w:tcPr>
            <w:tcW w:type="pct" w:w="900"/>
            <w:shd w:fill="FAFCFD" w:val="clear"/>
            <w:tcMar>
              <w:top w:type="dxa" w:w="70"/>
              <w:left w:type="dxa" w:w="120"/>
              <w:bottom w:type="dxa" w:w="70"/>
              <w:right w:type="dxa" w:w="120"/>
            </w:tcMar>
          </w:tcPr>
          <w:p>
            <w:r>
              <w:rPr>
                <w:sz w:val="19"/>
                <w:szCs w:val="19"/>
              </w:rPr>
              <w:t xml:space="preserve">Sí (+)</w:t>
            </w:r>
          </w:p>
        </w:tc>
        <w:tc>
          <w:tcPr>
            <w:tcW w:type="pct" w:w="900"/>
            <w:shd w:fill="FAFCFD" w:val="clear"/>
            <w:tcMar>
              <w:top w:type="dxa" w:w="70"/>
              <w:left w:type="dxa" w:w="120"/>
              <w:bottom w:type="dxa" w:w="70"/>
              <w:right w:type="dxa" w:w="120"/>
            </w:tcMar>
          </w:tcPr>
          <w:p>
            <w:r>
              <w:rPr>
                <w:sz w:val="19"/>
                <w:szCs w:val="19"/>
              </w:rPr>
              <w:t xml:space="preserve">—</w:t>
            </w:r>
          </w:p>
        </w:tc>
      </w:tr>
      <w:tr>
        <w:trPr>
          <w:cantSplit/>
        </w:trPr>
        <w:tc>
          <w:tcPr>
            <w:tcW w:type="pct" w:w="1400"/>
            <w:shd w:fill="FFFFFF" w:val="clear"/>
            <w:tcMar>
              <w:top w:type="dxa" w:w="70"/>
              <w:left w:type="dxa" w:w="120"/>
              <w:bottom w:type="dxa" w:w="70"/>
              <w:right w:type="dxa" w:w="120"/>
            </w:tcMar>
          </w:tcPr>
          <w:p>
            <w:r>
              <w:rPr>
                <w:sz w:val="19"/>
                <w:szCs w:val="19"/>
              </w:rPr>
              <w:t xml:space="preserve">Financiero (8)</w:t>
            </w:r>
          </w:p>
        </w:tc>
        <w:tc>
          <w:tcPr>
            <w:tcW w:type="pct" w:w="900"/>
            <w:shd w:fill="FFFFFF" w:val="clear"/>
            <w:tcMar>
              <w:top w:type="dxa" w:w="70"/>
              <w:left w:type="dxa" w:w="120"/>
              <w:bottom w:type="dxa" w:w="70"/>
              <w:right w:type="dxa" w:w="120"/>
            </w:tcMar>
          </w:tcPr>
          <w:p>
            <w:r>
              <w:rPr>
                <w:sz w:val="19"/>
                <w:szCs w:val="19"/>
              </w:rPr>
              <w:t xml:space="preserve">—</w:t>
            </w:r>
          </w:p>
        </w:tc>
        <w:tc>
          <w:tcPr>
            <w:tcW w:type="pct" w:w="900"/>
            <w:shd w:fill="FFFFFF" w:val="clear"/>
            <w:tcMar>
              <w:top w:type="dxa" w:w="70"/>
              <w:left w:type="dxa" w:w="120"/>
              <w:bottom w:type="dxa" w:w="70"/>
              <w:right w:type="dxa" w:w="120"/>
            </w:tcMar>
          </w:tcPr>
          <w:p>
            <w:r>
              <w:rPr>
                <w:sz w:val="19"/>
                <w:szCs w:val="19"/>
              </w:rPr>
              <w:t xml:space="preserve">—</w:t>
            </w:r>
          </w:p>
        </w:tc>
        <w:tc>
          <w:tcPr>
            <w:tcW w:type="pct" w:w="900"/>
            <w:shd w:fill="FFFFFF" w:val="clear"/>
            <w:tcMar>
              <w:top w:type="dxa" w:w="70"/>
              <w:left w:type="dxa" w:w="120"/>
              <w:bottom w:type="dxa" w:w="70"/>
              <w:right w:type="dxa" w:w="120"/>
            </w:tcMar>
          </w:tcPr>
          <w:p>
            <w:r>
              <w:rPr>
                <w:sz w:val="19"/>
                <w:szCs w:val="19"/>
              </w:rPr>
              <w:t xml:space="preserve">Sí (+)</w:t>
            </w:r>
          </w:p>
        </w:tc>
        <w:tc>
          <w:tcPr>
            <w:tcW w:type="pct" w:w="900"/>
            <w:shd w:fill="FFFFFF" w:val="clear"/>
            <w:tcMar>
              <w:top w:type="dxa" w:w="70"/>
              <w:left w:type="dxa" w:w="120"/>
              <w:bottom w:type="dxa" w:w="70"/>
              <w:right w:type="dxa" w:w="120"/>
            </w:tcMar>
          </w:tcPr>
          <w:p>
            <w:r>
              <w:rPr>
                <w:sz w:val="19"/>
                <w:szCs w:val="19"/>
              </w:rPr>
              <w:t xml:space="preserve">—</w:t>
            </w:r>
          </w:p>
        </w:tc>
      </w:tr>
      <w:tr>
        <w:trPr>
          <w:cantSplit/>
        </w:trPr>
        <w:tc>
          <w:tcPr>
            <w:tcW w:type="pct" w:w="1400"/>
            <w:shd w:fill="FAFCFD" w:val="clear"/>
            <w:tcMar>
              <w:top w:type="dxa" w:w="70"/>
              <w:left w:type="dxa" w:w="120"/>
              <w:bottom w:type="dxa" w:w="70"/>
              <w:right w:type="dxa" w:w="120"/>
            </w:tcMar>
          </w:tcPr>
          <w:p>
            <w:r>
              <w:rPr>
                <w:sz w:val="19"/>
                <w:szCs w:val="19"/>
              </w:rPr>
              <w:t xml:space="preserve">Industrial (3)</w:t>
            </w:r>
          </w:p>
        </w:tc>
        <w:tc>
          <w:tcPr>
            <w:tcW w:type="pct" w:w="900"/>
            <w:shd w:fill="FAFCFD" w:val="clear"/>
            <w:tcMar>
              <w:top w:type="dxa" w:w="70"/>
              <w:left w:type="dxa" w:w="120"/>
              <w:bottom w:type="dxa" w:w="70"/>
              <w:right w:type="dxa" w:w="120"/>
            </w:tcMar>
          </w:tcPr>
          <w:p>
            <w:r>
              <w:rPr>
                <w:sz w:val="19"/>
                <w:szCs w:val="19"/>
              </w:rPr>
              <w:t xml:space="preserve">—</w:t>
            </w:r>
          </w:p>
        </w:tc>
        <w:tc>
          <w:tcPr>
            <w:tcW w:type="pct" w:w="900"/>
            <w:shd w:fill="FAFCFD" w:val="clear"/>
            <w:tcMar>
              <w:top w:type="dxa" w:w="70"/>
              <w:left w:type="dxa" w:w="120"/>
              <w:bottom w:type="dxa" w:w="70"/>
              <w:right w:type="dxa" w:w="120"/>
            </w:tcMar>
          </w:tcPr>
          <w:p>
            <w:r>
              <w:rPr>
                <w:sz w:val="19"/>
                <w:szCs w:val="19"/>
              </w:rPr>
              <w:t xml:space="preserve">—</w:t>
            </w:r>
          </w:p>
        </w:tc>
        <w:tc>
          <w:tcPr>
            <w:tcW w:type="pct" w:w="900"/>
            <w:shd w:fill="FAFCFD" w:val="clear"/>
            <w:tcMar>
              <w:top w:type="dxa" w:w="70"/>
              <w:left w:type="dxa" w:w="120"/>
              <w:bottom w:type="dxa" w:w="70"/>
              <w:right w:type="dxa" w:w="120"/>
            </w:tcMar>
          </w:tcPr>
          <w:p>
            <w:r>
              <w:rPr>
                <w:sz w:val="19"/>
                <w:szCs w:val="19"/>
              </w:rPr>
              <w:t xml:space="preserve">Sí (+)</w:t>
            </w:r>
          </w:p>
        </w:tc>
        <w:tc>
          <w:tcPr>
            <w:tcW w:type="pct" w:w="900"/>
            <w:shd w:fill="FAFCFD" w:val="clear"/>
            <w:tcMar>
              <w:top w:type="dxa" w:w="70"/>
              <w:left w:type="dxa" w:w="120"/>
              <w:bottom w:type="dxa" w:w="70"/>
              <w:right w:type="dxa" w:w="120"/>
            </w:tcMar>
          </w:tcPr>
          <w:p>
            <w:r>
              <w:rPr>
                <w:sz w:val="19"/>
                <w:szCs w:val="19"/>
              </w:rPr>
              <w:t xml:space="preserve">—</w:t>
            </w:r>
          </w:p>
        </w:tc>
      </w:tr>
      <w:tr>
        <w:trPr>
          <w:cantSplit/>
        </w:trPr>
        <w:tc>
          <w:tcPr>
            <w:tcW w:type="pct" w:w="1400"/>
            <w:shd w:fill="FFFFFF" w:val="clear"/>
            <w:tcMar>
              <w:top w:type="dxa" w:w="70"/>
              <w:left w:type="dxa" w:w="120"/>
              <w:bottom w:type="dxa" w:w="70"/>
              <w:right w:type="dxa" w:w="120"/>
            </w:tcMar>
          </w:tcPr>
          <w:p>
            <w:r>
              <w:rPr>
                <w:sz w:val="19"/>
                <w:szCs w:val="19"/>
              </w:rPr>
              <w:t xml:space="preserve">Materiales (6)</w:t>
            </w:r>
          </w:p>
        </w:tc>
        <w:tc>
          <w:tcPr>
            <w:tcW w:type="pct" w:w="900"/>
            <w:shd w:fill="FFFFFF" w:val="clear"/>
            <w:tcMar>
              <w:top w:type="dxa" w:w="70"/>
              <w:left w:type="dxa" w:w="120"/>
              <w:bottom w:type="dxa" w:w="70"/>
              <w:right w:type="dxa" w:w="120"/>
            </w:tcMar>
          </w:tcPr>
          <w:p>
            <w:r>
              <w:rPr>
                <w:sz w:val="19"/>
                <w:szCs w:val="19"/>
              </w:rPr>
              <w:t xml:space="preserve">—</w:t>
            </w:r>
          </w:p>
        </w:tc>
        <w:tc>
          <w:tcPr>
            <w:tcW w:type="pct" w:w="900"/>
            <w:shd w:fill="FFFFFF" w:val="clear"/>
            <w:tcMar>
              <w:top w:type="dxa" w:w="70"/>
              <w:left w:type="dxa" w:w="120"/>
              <w:bottom w:type="dxa" w:w="70"/>
              <w:right w:type="dxa" w:w="120"/>
            </w:tcMar>
          </w:tcPr>
          <w:p>
            <w:r>
              <w:rPr>
                <w:sz w:val="19"/>
                <w:szCs w:val="19"/>
              </w:rPr>
              <w:t xml:space="preserve">—</w:t>
            </w:r>
          </w:p>
        </w:tc>
        <w:tc>
          <w:tcPr>
            <w:tcW w:type="pct" w:w="900"/>
            <w:shd w:fill="FFFFFF" w:val="clear"/>
            <w:tcMar>
              <w:top w:type="dxa" w:w="70"/>
              <w:left w:type="dxa" w:w="120"/>
              <w:bottom w:type="dxa" w:w="70"/>
              <w:right w:type="dxa" w:w="120"/>
            </w:tcMar>
          </w:tcPr>
          <w:p>
            <w:r>
              <w:rPr>
                <w:sz w:val="19"/>
                <w:szCs w:val="19"/>
              </w:rPr>
              <w:t xml:space="preserve">Sí (+)</w:t>
            </w:r>
          </w:p>
        </w:tc>
        <w:tc>
          <w:tcPr>
            <w:tcW w:type="pct" w:w="900"/>
            <w:shd w:fill="FFFFFF" w:val="clear"/>
            <w:tcMar>
              <w:top w:type="dxa" w:w="70"/>
              <w:left w:type="dxa" w:w="120"/>
              <w:bottom w:type="dxa" w:w="70"/>
              <w:right w:type="dxa" w:w="120"/>
            </w:tcMar>
          </w:tcPr>
          <w:p>
            <w:r>
              <w:rPr>
                <w:sz w:val="19"/>
                <w:szCs w:val="19"/>
              </w:rPr>
              <w:t xml:space="preserve">—</w:t>
            </w:r>
          </w:p>
        </w:tc>
      </w:tr>
      <w:tr>
        <w:trPr>
          <w:cantSplit/>
        </w:trPr>
        <w:tc>
          <w:tcPr>
            <w:tcW w:type="pct" w:w="1400"/>
            <w:shd w:fill="FAFCFD" w:val="clear"/>
            <w:tcMar>
              <w:top w:type="dxa" w:w="70"/>
              <w:left w:type="dxa" w:w="120"/>
              <w:bottom w:type="dxa" w:w="70"/>
              <w:right w:type="dxa" w:w="120"/>
            </w:tcMar>
          </w:tcPr>
          <w:p>
            <w:r>
              <w:rPr>
                <w:sz w:val="19"/>
                <w:szCs w:val="19"/>
              </w:rPr>
              <w:t xml:space="preserve">Real Estate (3)</w:t>
            </w:r>
          </w:p>
        </w:tc>
        <w:tc>
          <w:tcPr>
            <w:tcW w:type="pct" w:w="900"/>
            <w:shd w:fill="FAFCFD" w:val="clear"/>
            <w:tcMar>
              <w:top w:type="dxa" w:w="70"/>
              <w:left w:type="dxa" w:w="120"/>
              <w:bottom w:type="dxa" w:w="70"/>
              <w:right w:type="dxa" w:w="120"/>
            </w:tcMar>
          </w:tcPr>
          <w:p>
            <w:r>
              <w:rPr>
                <w:sz w:val="19"/>
                <w:szCs w:val="19"/>
              </w:rPr>
              <w:t xml:space="preserve">—</w:t>
            </w:r>
          </w:p>
        </w:tc>
        <w:tc>
          <w:tcPr>
            <w:tcW w:type="pct" w:w="900"/>
            <w:shd w:fill="FAFCFD" w:val="clear"/>
            <w:tcMar>
              <w:top w:type="dxa" w:w="70"/>
              <w:left w:type="dxa" w:w="120"/>
              <w:bottom w:type="dxa" w:w="70"/>
              <w:right w:type="dxa" w:w="120"/>
            </w:tcMar>
          </w:tcPr>
          <w:p>
            <w:r>
              <w:rPr>
                <w:sz w:val="19"/>
                <w:szCs w:val="19"/>
              </w:rPr>
              <w:t xml:space="preserve">sin corregir</w:t>
            </w:r>
          </w:p>
        </w:tc>
        <w:tc>
          <w:tcPr>
            <w:tcW w:type="pct" w:w="900"/>
            <w:shd w:fill="FAFCFD" w:val="clear"/>
            <w:tcMar>
              <w:top w:type="dxa" w:w="70"/>
              <w:left w:type="dxa" w:w="120"/>
              <w:bottom w:type="dxa" w:w="70"/>
              <w:right w:type="dxa" w:w="120"/>
            </w:tcMar>
          </w:tcPr>
          <w:p>
            <w:r>
              <w:rPr>
                <w:sz w:val="19"/>
                <w:szCs w:val="19"/>
              </w:rPr>
              <w:t xml:space="preserve">Sí (+)</w:t>
            </w:r>
          </w:p>
        </w:tc>
        <w:tc>
          <w:tcPr>
            <w:tcW w:type="pct" w:w="900"/>
            <w:shd w:fill="FAFCFD" w:val="clear"/>
            <w:tcMar>
              <w:top w:type="dxa" w:w="70"/>
              <w:left w:type="dxa" w:w="120"/>
              <w:bottom w:type="dxa" w:w="70"/>
              <w:right w:type="dxa" w:w="120"/>
            </w:tcMar>
          </w:tcPr>
          <w:p>
            <w:r>
              <w:rPr>
                <w:sz w:val="19"/>
                <w:szCs w:val="19"/>
              </w:rPr>
              <w:t xml:space="preserve">—</w:t>
            </w:r>
          </w:p>
        </w:tc>
      </w:tr>
      <w:tr>
        <w:trPr>
          <w:cantSplit/>
        </w:trPr>
        <w:tc>
          <w:tcPr>
            <w:tcW w:type="pct" w:w="1400"/>
            <w:shd w:fill="FFFFFF" w:val="clear"/>
            <w:tcMar>
              <w:top w:type="dxa" w:w="70"/>
              <w:left w:type="dxa" w:w="120"/>
              <w:bottom w:type="dxa" w:w="70"/>
              <w:right w:type="dxa" w:w="120"/>
            </w:tcMar>
          </w:tcPr>
          <w:p>
            <w:r>
              <w:rPr>
                <w:sz w:val="19"/>
                <w:szCs w:val="19"/>
              </w:rPr>
              <w:t xml:space="preserve">Tecnología (1)</w:t>
            </w:r>
          </w:p>
        </w:tc>
        <w:tc>
          <w:tcPr>
            <w:tcW w:type="pct" w:w="900"/>
            <w:shd w:fill="FFFFFF" w:val="clear"/>
            <w:tcMar>
              <w:top w:type="dxa" w:w="70"/>
              <w:left w:type="dxa" w:w="120"/>
              <w:bottom w:type="dxa" w:w="70"/>
              <w:right w:type="dxa" w:w="120"/>
            </w:tcMar>
          </w:tcPr>
          <w:p>
            <w:r>
              <w:rPr>
                <w:sz w:val="19"/>
                <w:szCs w:val="19"/>
              </w:rPr>
              <w:t xml:space="preserve">sin corregir</w:t>
            </w:r>
          </w:p>
        </w:tc>
        <w:tc>
          <w:tcPr>
            <w:tcW w:type="pct" w:w="900"/>
            <w:shd w:fill="FFFFFF" w:val="clear"/>
            <w:tcMar>
              <w:top w:type="dxa" w:w="70"/>
              <w:left w:type="dxa" w:w="120"/>
              <w:bottom w:type="dxa" w:w="70"/>
              <w:right w:type="dxa" w:w="120"/>
            </w:tcMar>
          </w:tcPr>
          <w:p>
            <w:r>
              <w:rPr>
                <w:sz w:val="19"/>
                <w:szCs w:val="19"/>
              </w:rPr>
              <w:t xml:space="preserve">—</w:t>
            </w:r>
          </w:p>
        </w:tc>
        <w:tc>
          <w:tcPr>
            <w:tcW w:type="pct" w:w="900"/>
            <w:shd w:fill="FFFFFF" w:val="clear"/>
            <w:tcMar>
              <w:top w:type="dxa" w:w="70"/>
              <w:left w:type="dxa" w:w="120"/>
              <w:bottom w:type="dxa" w:w="70"/>
              <w:right w:type="dxa" w:w="120"/>
            </w:tcMar>
          </w:tcPr>
          <w:p>
            <w:r>
              <w:rPr>
                <w:sz w:val="19"/>
                <w:szCs w:val="19"/>
              </w:rPr>
              <w:t xml:space="preserve">sin corregir</w:t>
            </w:r>
          </w:p>
        </w:tc>
        <w:tc>
          <w:tcPr>
            <w:tcW w:type="pct" w:w="900"/>
            <w:shd w:fill="FFFFFF" w:val="clear"/>
            <w:tcMar>
              <w:top w:type="dxa" w:w="70"/>
              <w:left w:type="dxa" w:w="120"/>
              <w:bottom w:type="dxa" w:w="70"/>
              <w:right w:type="dxa" w:w="120"/>
            </w:tcMar>
          </w:tcPr>
          <w:p>
            <w:r>
              <w:rPr>
                <w:sz w:val="19"/>
                <w:szCs w:val="19"/>
              </w:rPr>
              <w:t xml:space="preserve">—</w:t>
            </w:r>
          </w:p>
        </w:tc>
      </w:tr>
      <w:tr>
        <w:trPr>
          <w:cantSplit/>
        </w:trPr>
        <w:tc>
          <w:tcPr>
            <w:tcW w:type="pct" w:w="1400"/>
            <w:shd w:fill="FAFCFD" w:val="clear"/>
            <w:tcMar>
              <w:top w:type="dxa" w:w="70"/>
              <w:left w:type="dxa" w:w="120"/>
              <w:bottom w:type="dxa" w:w="70"/>
              <w:right w:type="dxa" w:w="120"/>
            </w:tcMar>
          </w:tcPr>
          <w:p>
            <w:r>
              <w:rPr>
                <w:sz w:val="19"/>
                <w:szCs w:val="19"/>
              </w:rPr>
              <w:t xml:space="preserve">Utilities (8)</w:t>
            </w:r>
          </w:p>
        </w:tc>
        <w:tc>
          <w:tcPr>
            <w:tcW w:type="pct" w:w="900"/>
            <w:shd w:fill="FAFCFD" w:val="clear"/>
            <w:tcMar>
              <w:top w:type="dxa" w:w="70"/>
              <w:left w:type="dxa" w:w="120"/>
              <w:bottom w:type="dxa" w:w="70"/>
              <w:right w:type="dxa" w:w="120"/>
            </w:tcMar>
          </w:tcPr>
          <w:p>
            <w:r>
              <w:rPr>
                <w:sz w:val="19"/>
                <w:szCs w:val="19"/>
              </w:rPr>
              <w:t xml:space="preserve">—</w:t>
            </w:r>
          </w:p>
        </w:tc>
        <w:tc>
          <w:tcPr>
            <w:tcW w:type="pct" w:w="900"/>
            <w:shd w:fill="FAFCFD" w:val="clear"/>
            <w:tcMar>
              <w:top w:type="dxa" w:w="70"/>
              <w:left w:type="dxa" w:w="120"/>
              <w:bottom w:type="dxa" w:w="70"/>
              <w:right w:type="dxa" w:w="120"/>
            </w:tcMar>
          </w:tcPr>
          <w:p>
            <w:r>
              <w:rPr>
                <w:sz w:val="19"/>
                <w:szCs w:val="19"/>
              </w:rPr>
              <w:t xml:space="preserve">—</w:t>
            </w:r>
          </w:p>
        </w:tc>
        <w:tc>
          <w:tcPr>
            <w:tcW w:type="pct" w:w="900"/>
            <w:shd w:fill="FAFCFD" w:val="clear"/>
            <w:tcMar>
              <w:top w:type="dxa" w:w="70"/>
              <w:left w:type="dxa" w:w="120"/>
              <w:bottom w:type="dxa" w:w="70"/>
              <w:right w:type="dxa" w:w="120"/>
            </w:tcMar>
          </w:tcPr>
          <w:p>
            <w:r>
              <w:rPr>
                <w:sz w:val="19"/>
                <w:szCs w:val="19"/>
              </w:rPr>
              <w:t xml:space="preserve">Sí (+)</w:t>
            </w:r>
          </w:p>
        </w:tc>
        <w:tc>
          <w:tcPr>
            <w:tcW w:type="pct" w:w="900"/>
            <w:shd w:fill="FAFCFD" w:val="clear"/>
            <w:tcMar>
              <w:top w:type="dxa" w:w="70"/>
              <w:left w:type="dxa" w:w="120"/>
              <w:bottom w:type="dxa" w:w="70"/>
              <w:right w:type="dxa" w:w="120"/>
            </w:tcMar>
          </w:tcPr>
          <w:p>
            <w:r>
              <w:rPr>
                <w:sz w:val="19"/>
                <w:szCs w:val="19"/>
              </w:rPr>
              <w:t xml:space="preserve">—</w:t>
            </w:r>
          </w:p>
        </w:tc>
      </w:tr>
    </w:tbl>
    <w:p>
      <w:pPr>
        <w:spacing w:after="160" w:line="300"/>
      </w:pPr>
      <w:r>
        <w:t xml:space="preserve">El retorno anticipa el tono en 9 de los 10 sectores; la excepción es Tecnología, que es una sola acción (BOLT). En la otra dirección, solo en Conglomerado el tono anticipa el volumen, y con signo negativo: un resultado aislado.</w:t>
      </w:r>
    </w:p>
    <w:p>
      <w:pPr>
        <w:pStyle w:val="Heading1"/>
        <w:keepNext/>
        <w:spacing w:after="160" w:before="360"/>
      </w:pPr>
      <w:r>
        <w:t xml:space="preserve">7. Días Calmo contra días Tenso</w:t>
      </w:r>
    </w:p>
    <w:p>
      <w:pPr>
        <w:spacing w:after="160" w:line="300"/>
      </w:pPr>
      <w:r>
        <w:t xml:space="preserve">Para ver si el efecto cambia cuando el mercado está nervioso, no se separaron los días de cada régimen (eso pegaría días que no son consecutivos). Se usaron todos los días con una marca de día Tenso, y se probó el efecto en los días Calmo, en los Tenso y la diferencia. Los días Moderado no se usan como efecto.</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410"/>
        <w:gridCol w:w="2410"/>
        <w:gridCol w:w="2410"/>
        <w:gridCol w:w="2410"/>
      </w:tblGrid>
      <w:tr>
        <w:trPr>
          <w:tblHeader/>
        </w:trPr>
        <w:tc>
          <w:tcPr>
            <w:tcW w:type="pct" w:w="1250"/>
            <w:shd w:fill="1C3A5C" w:val="clear"/>
            <w:tcMar>
              <w:top w:type="dxa" w:w="80"/>
              <w:left w:type="dxa" w:w="120"/>
              <w:bottom w:type="dxa" w:w="80"/>
              <w:right w:type="dxa" w:w="120"/>
            </w:tcMar>
          </w:tcPr>
          <w:p>
            <w:r>
              <w:rPr>
                <w:b/>
                <w:bCs/>
                <w:color w:val="FFFFFF"/>
                <w:sz w:val="19"/>
                <w:szCs w:val="19"/>
              </w:rPr>
              <w:t xml:space="preserve">Prueba</w:t>
            </w:r>
          </w:p>
        </w:tc>
        <w:tc>
          <w:tcPr>
            <w:tcW w:type="pct" w:w="1250"/>
            <w:shd w:fill="1C3A5C" w:val="clear"/>
            <w:tcMar>
              <w:top w:type="dxa" w:w="80"/>
              <w:left w:type="dxa" w:w="120"/>
              <w:bottom w:type="dxa" w:w="80"/>
              <w:right w:type="dxa" w:w="120"/>
            </w:tcMar>
          </w:tcPr>
          <w:p>
            <w:r>
              <w:rPr>
                <w:b/>
                <w:bCs/>
                <w:color w:val="FFFFFF"/>
                <w:sz w:val="19"/>
                <w:szCs w:val="19"/>
              </w:rPr>
              <w:t xml:space="preserve">En días Calmo</w:t>
            </w:r>
          </w:p>
        </w:tc>
        <w:tc>
          <w:tcPr>
            <w:tcW w:type="pct" w:w="1250"/>
            <w:shd w:fill="1C3A5C" w:val="clear"/>
            <w:tcMar>
              <w:top w:type="dxa" w:w="80"/>
              <w:left w:type="dxa" w:w="120"/>
              <w:bottom w:type="dxa" w:w="80"/>
              <w:right w:type="dxa" w:w="120"/>
            </w:tcMar>
          </w:tcPr>
          <w:p>
            <w:r>
              <w:rPr>
                <w:b/>
                <w:bCs/>
                <w:color w:val="FFFFFF"/>
                <w:sz w:val="19"/>
                <w:szCs w:val="19"/>
              </w:rPr>
              <w:t xml:space="preserve">En días Tenso</w:t>
            </w:r>
          </w:p>
        </w:tc>
        <w:tc>
          <w:tcPr>
            <w:tcW w:type="pct" w:w="1250"/>
            <w:shd w:fill="1C3A5C" w:val="clear"/>
            <w:tcMar>
              <w:top w:type="dxa" w:w="80"/>
              <w:left w:type="dxa" w:w="120"/>
              <w:bottom w:type="dxa" w:w="80"/>
              <w:right w:type="dxa" w:w="120"/>
            </w:tcMar>
          </w:tcPr>
          <w:p>
            <w:r>
              <w:rPr>
                <w:b/>
                <w:bCs/>
                <w:color w:val="FFFFFF"/>
                <w:sz w:val="19"/>
                <w:szCs w:val="19"/>
              </w:rPr>
              <w:t xml:space="preserve">Diferencia</w:t>
            </w:r>
          </w:p>
        </w:tc>
      </w:tr>
      <w:tr>
        <w:trPr>
          <w:cantSplit/>
        </w:trPr>
        <w:tc>
          <w:tcPr>
            <w:tcW w:type="pct" w:w="1250"/>
            <w:shd w:fill="FFFFFF" w:val="clear"/>
            <w:tcMar>
              <w:top w:type="dxa" w:w="70"/>
              <w:left w:type="dxa" w:w="120"/>
              <w:bottom w:type="dxa" w:w="70"/>
              <w:right w:type="dxa" w:w="120"/>
            </w:tcMar>
          </w:tcPr>
          <w:p>
            <w:r>
              <w:rPr>
                <w:sz w:val="19"/>
                <w:szCs w:val="19"/>
              </w:rPr>
              <w:t xml:space="preserve">tono → retorno</w:t>
            </w:r>
          </w:p>
        </w:tc>
        <w:tc>
          <w:tcPr>
            <w:tcW w:type="pct" w:w="1250"/>
            <w:shd w:fill="FFFFFF" w:val="clear"/>
            <w:tcMar>
              <w:top w:type="dxa" w:w="70"/>
              <w:left w:type="dxa" w:w="120"/>
              <w:bottom w:type="dxa" w:w="70"/>
              <w:right w:type="dxa" w:w="120"/>
            </w:tcMar>
          </w:tcPr>
          <w:p>
            <w:r>
              <w:rPr>
                <w:sz w:val="19"/>
                <w:szCs w:val="19"/>
              </w:rPr>
              <w:t xml:space="preserve">p = 0,2721</w:t>
            </w:r>
          </w:p>
        </w:tc>
        <w:tc>
          <w:tcPr>
            <w:tcW w:type="pct" w:w="1250"/>
            <w:shd w:fill="FFFFFF" w:val="clear"/>
            <w:tcMar>
              <w:top w:type="dxa" w:w="70"/>
              <w:left w:type="dxa" w:w="120"/>
              <w:bottom w:type="dxa" w:w="70"/>
              <w:right w:type="dxa" w:w="120"/>
            </w:tcMar>
          </w:tcPr>
          <w:p>
            <w:r>
              <w:rPr>
                <w:sz w:val="19"/>
                <w:szCs w:val="19"/>
              </w:rPr>
              <w:t xml:space="preserve">p = 0,8436</w:t>
            </w:r>
          </w:p>
        </w:tc>
        <w:tc>
          <w:tcPr>
            <w:tcW w:type="pct" w:w="1250"/>
            <w:shd w:fill="FFFFFF" w:val="clear"/>
            <w:tcMar>
              <w:top w:type="dxa" w:w="70"/>
              <w:left w:type="dxa" w:w="120"/>
              <w:bottom w:type="dxa" w:w="70"/>
              <w:right w:type="dxa" w:w="120"/>
            </w:tcMar>
          </w:tcPr>
          <w:p>
            <w:r>
              <w:rPr>
                <w:sz w:val="19"/>
                <w:szCs w:val="19"/>
              </w:rPr>
              <w:t xml:space="preserve">p = 0,9516</w:t>
            </w:r>
          </w:p>
        </w:tc>
      </w:tr>
      <w:tr>
        <w:trPr>
          <w:cantSplit/>
        </w:trPr>
        <w:tc>
          <w:tcPr>
            <w:tcW w:type="pct" w:w="1250"/>
            <w:shd w:fill="FAFCFD" w:val="clear"/>
            <w:tcMar>
              <w:top w:type="dxa" w:w="70"/>
              <w:left w:type="dxa" w:w="120"/>
              <w:bottom w:type="dxa" w:w="70"/>
              <w:right w:type="dxa" w:w="120"/>
            </w:tcMar>
          </w:tcPr>
          <w:p>
            <w:r>
              <w:rPr>
                <w:sz w:val="19"/>
                <w:szCs w:val="19"/>
              </w:rPr>
              <w:t xml:space="preserve">tono → volumen</w:t>
            </w:r>
          </w:p>
        </w:tc>
        <w:tc>
          <w:tcPr>
            <w:tcW w:type="pct" w:w="1250"/>
            <w:shd w:fill="FAFCFD" w:val="clear"/>
            <w:tcMar>
              <w:top w:type="dxa" w:w="70"/>
              <w:left w:type="dxa" w:w="120"/>
              <w:bottom w:type="dxa" w:w="70"/>
              <w:right w:type="dxa" w:w="120"/>
            </w:tcMar>
          </w:tcPr>
          <w:p>
            <w:r>
              <w:rPr>
                <w:sz w:val="19"/>
                <w:szCs w:val="19"/>
              </w:rPr>
              <w:t xml:space="preserve">p = 0,0498</w:t>
            </w:r>
          </w:p>
        </w:tc>
        <w:tc>
          <w:tcPr>
            <w:tcW w:type="pct" w:w="1250"/>
            <w:shd w:fill="FAFCFD" w:val="clear"/>
            <w:tcMar>
              <w:top w:type="dxa" w:w="70"/>
              <w:left w:type="dxa" w:w="120"/>
              <w:bottom w:type="dxa" w:w="70"/>
              <w:right w:type="dxa" w:w="120"/>
            </w:tcMar>
          </w:tcPr>
          <w:p>
            <w:r>
              <w:rPr>
                <w:sz w:val="19"/>
                <w:szCs w:val="19"/>
              </w:rPr>
              <w:t xml:space="preserve">p = 0,2778</w:t>
            </w:r>
          </w:p>
        </w:tc>
        <w:tc>
          <w:tcPr>
            <w:tcW w:type="pct" w:w="1250"/>
            <w:shd w:fill="FAFCFD" w:val="clear"/>
            <w:tcMar>
              <w:top w:type="dxa" w:w="70"/>
              <w:left w:type="dxa" w:w="120"/>
              <w:bottom w:type="dxa" w:w="70"/>
              <w:right w:type="dxa" w:w="120"/>
            </w:tcMar>
          </w:tcPr>
          <w:p>
            <w:r>
              <w:rPr>
                <w:sz w:val="19"/>
                <w:szCs w:val="19"/>
              </w:rPr>
              <w:t xml:space="preserve">p = 0,2810</w:t>
            </w:r>
          </w:p>
        </w:tc>
      </w:tr>
      <w:tr>
        <w:trPr>
          <w:cantSplit/>
        </w:trPr>
        <w:tc>
          <w:tcPr>
            <w:tcW w:type="pct" w:w="1250"/>
            <w:shd w:fill="FFFFFF" w:val="clear"/>
            <w:tcMar>
              <w:top w:type="dxa" w:w="70"/>
              <w:left w:type="dxa" w:w="120"/>
              <w:bottom w:type="dxa" w:w="70"/>
              <w:right w:type="dxa" w:w="120"/>
            </w:tcMar>
          </w:tcPr>
          <w:p>
            <w:r>
              <w:rPr>
                <w:sz w:val="19"/>
                <w:szCs w:val="19"/>
              </w:rPr>
              <w:t xml:space="preserve">retorno → tono</w:t>
            </w:r>
          </w:p>
        </w:tc>
        <w:tc>
          <w:tcPr>
            <w:tcW w:type="pct" w:w="1250"/>
            <w:shd w:fill="FFFFFF" w:val="clear"/>
            <w:tcMar>
              <w:top w:type="dxa" w:w="70"/>
              <w:left w:type="dxa" w:w="120"/>
              <w:bottom w:type="dxa" w:w="70"/>
              <w:right w:type="dxa" w:w="120"/>
            </w:tcMar>
          </w:tcPr>
          <w:p>
            <w:r>
              <w:rPr>
                <w:sz w:val="19"/>
                <w:szCs w:val="19"/>
              </w:rPr>
              <w:t xml:space="preserve">p = 0,0011 (Sí)</w:t>
            </w:r>
          </w:p>
        </w:tc>
        <w:tc>
          <w:tcPr>
            <w:tcW w:type="pct" w:w="1250"/>
            <w:shd w:fill="FFFFFF" w:val="clear"/>
            <w:tcMar>
              <w:top w:type="dxa" w:w="70"/>
              <w:left w:type="dxa" w:w="120"/>
              <w:bottom w:type="dxa" w:w="70"/>
              <w:right w:type="dxa" w:w="120"/>
            </w:tcMar>
          </w:tcPr>
          <w:p>
            <w:r>
              <w:rPr>
                <w:sz w:val="19"/>
                <w:szCs w:val="19"/>
              </w:rPr>
              <w:t xml:space="preserve">p = 0,0006 (Sí)</w:t>
            </w:r>
          </w:p>
        </w:tc>
        <w:tc>
          <w:tcPr>
            <w:tcW w:type="pct" w:w="1250"/>
            <w:shd w:fill="FFFFFF" w:val="clear"/>
            <w:tcMar>
              <w:top w:type="dxa" w:w="70"/>
              <w:left w:type="dxa" w:w="120"/>
              <w:bottom w:type="dxa" w:w="70"/>
              <w:right w:type="dxa" w:w="120"/>
            </w:tcMar>
          </w:tcPr>
          <w:p>
            <w:r>
              <w:rPr>
                <w:sz w:val="19"/>
                <w:szCs w:val="19"/>
              </w:rPr>
              <w:t xml:space="preserve">p = 0,6762</w:t>
            </w:r>
          </w:p>
        </w:tc>
      </w:tr>
      <w:tr>
        <w:trPr>
          <w:cantSplit/>
        </w:trPr>
        <w:tc>
          <w:tcPr>
            <w:tcW w:type="pct" w:w="1250"/>
            <w:shd w:fill="FAFCFD" w:val="clear"/>
            <w:tcMar>
              <w:top w:type="dxa" w:w="70"/>
              <w:left w:type="dxa" w:w="120"/>
              <w:bottom w:type="dxa" w:w="70"/>
              <w:right w:type="dxa" w:w="120"/>
            </w:tcMar>
          </w:tcPr>
          <w:p>
            <w:r>
              <w:rPr>
                <w:sz w:val="19"/>
                <w:szCs w:val="19"/>
              </w:rPr>
              <w:t xml:space="preserve">volumen → tono</w:t>
            </w:r>
          </w:p>
        </w:tc>
        <w:tc>
          <w:tcPr>
            <w:tcW w:type="pct" w:w="1250"/>
            <w:shd w:fill="FAFCFD" w:val="clear"/>
            <w:tcMar>
              <w:top w:type="dxa" w:w="70"/>
              <w:left w:type="dxa" w:w="120"/>
              <w:bottom w:type="dxa" w:w="70"/>
              <w:right w:type="dxa" w:w="120"/>
            </w:tcMar>
          </w:tcPr>
          <w:p>
            <w:r>
              <w:rPr>
                <w:sz w:val="19"/>
                <w:szCs w:val="19"/>
              </w:rPr>
              <w:t xml:space="preserve">p = 0,4521</w:t>
            </w:r>
          </w:p>
        </w:tc>
        <w:tc>
          <w:tcPr>
            <w:tcW w:type="pct" w:w="1250"/>
            <w:shd w:fill="FAFCFD" w:val="clear"/>
            <w:tcMar>
              <w:top w:type="dxa" w:w="70"/>
              <w:left w:type="dxa" w:w="120"/>
              <w:bottom w:type="dxa" w:w="70"/>
              <w:right w:type="dxa" w:w="120"/>
            </w:tcMar>
          </w:tcPr>
          <w:p>
            <w:r>
              <w:rPr>
                <w:sz w:val="19"/>
                <w:szCs w:val="19"/>
              </w:rPr>
              <w:t xml:space="preserve">p = 0,0021 (Sí)</w:t>
            </w:r>
          </w:p>
        </w:tc>
        <w:tc>
          <w:tcPr>
            <w:tcW w:type="pct" w:w="1250"/>
            <w:shd w:fill="FAFCFD" w:val="clear"/>
            <w:tcMar>
              <w:top w:type="dxa" w:w="70"/>
              <w:left w:type="dxa" w:w="120"/>
              <w:bottom w:type="dxa" w:w="70"/>
              <w:right w:type="dxa" w:w="120"/>
            </w:tcMar>
          </w:tcPr>
          <w:p>
            <w:r>
              <w:rPr>
                <w:sz w:val="19"/>
                <w:szCs w:val="19"/>
              </w:rPr>
              <w:t xml:space="preserve">p = 0,0496</w:t>
            </w:r>
          </w:p>
        </w:tc>
      </w:tr>
    </w:tbl>
    <w:p>
      <w:pPr>
        <w:spacing w:after="160" w:line="300"/>
      </w:pPr>
      <w:r>
        <w:t xml:space="preserve">El retorno anticipa el tono tanto en días Calmo como en días Tenso, sin diferencia entre ellos. El volumen anticipa el tono solo en los días Tenso, pero la diferencia con los días Calmo no llega a ser significativa después de la corrección. Hay 40 días Tenso con datos: es poco para afirmar diferencias entre regímenes. En ningún régimen el tono anticipa al mercado.</w:t>
      </w:r>
    </w:p>
    <w:p>
      <w:pPr>
        <w:pStyle w:val="Heading1"/>
        <w:keepNext/>
        <w:spacing w:after="160" w:before="360"/>
      </w:pPr>
      <w:r>
        <w:t xml:space="preserve">8. Cómo leer el resultado</w:t>
      </w:r>
    </w:p>
    <w:p>
      <w:pPr>
        <w:spacing w:after="160" w:line="300"/>
        <w:ind w:left="360" w:hanging="240"/>
      </w:pPr>
      <w:r>
        <w:t xml:space="preserve">•  </w:t>
      </w:r>
      <w:r>
        <w:rPr>
          <w:b/>
          <w:bCs/>
        </w:rPr>
        <w:t xml:space="preserve">Los medios siguen al mercado. </w:t>
      </w:r>
      <w:r>
        <w:t xml:space="preserve">Después de una suba, las notas asignadas a las ruedas siguientes son más positivas, en general y para cada empresa: después de que una acción sube, se habla mejor de esa empresa que del resto.</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Precisión de U8: cuándo lo siguen</w:t>
            </w:r>
          </w:p>
          <w:p>
            <w:pPr>
              <w:spacing w:after="60" w:line="276"/>
            </w:pPr>
            <w:r>
              <w:t xml:space="preserve">La prueba de robustez (U8) separó las notas según la hora en que se publicaron. El efecto está en las notas de la misma noche, entre las 17:00 y la medianoche del día de la rueda: un desvío del retorno sube su tono 4,8 puntos (p &lt; 0,0001). En las notas de la mañana siguiente es casi nulo (0,5 puntos, p = 0,51). La regla de las 17:00 manda las notas de la noche a la rueda siguiente, y por eso acá el efecto aparece como "el retorno anticipa el tono de las ruedas siguientes". Lo que pasa en realidad es que, después del cierre, los medios cuentan cómo le fue al mercado y a cada empresa con un tono que acompaña la suba o la baja, y no hay un efecto que dure días. Usando solo las notas del día antes del cierre, el resultado desaparece, también en el tono propio de las empresas.</w:t>
            </w:r>
          </w:p>
        </w:tc>
      </w:tr>
    </w:tbl>
    <w:p>
      <w:pPr>
        <w:spacing w:after="160" w:line="300"/>
        <w:ind w:left="360" w:hanging="240"/>
      </w:pPr>
      <w:r>
        <w:t xml:space="preserve">•  </w:t>
      </w:r>
      <w:r>
        <w:rPr>
          <w:b/>
          <w:bCs/>
        </w:rPr>
        <w:t xml:space="preserve">No hay evidencia de que el tono anticipe a los precios. </w:t>
      </w:r>
      <w:r>
        <w:t xml:space="preserve">Ni en el mercado, ni en las empresas, ni en los sectores, ni según el régimen. Es lo que esperaría un mercado que incorpora la información rápido: si una noticia mueve el precio, lo hace en la misma rueda, y a la rueda siguiente ya no queda nada para anticipar.</w:t>
      </w:r>
    </w:p>
    <w:p>
      <w:pPr>
        <w:spacing w:after="160" w:line="300"/>
        <w:ind w:left="360" w:hanging="240"/>
      </w:pPr>
      <w:r>
        <w:t xml:space="preserve">•  </w:t>
      </w:r>
      <w:r>
        <w:rPr>
          <w:b/>
          <w:bCs/>
        </w:rPr>
        <w:t xml:space="preserve">La atención de los medios tampoco anticipa el volumen operado. </w:t>
      </w:r>
      <w:r>
        <w:t xml:space="preserve">Que haya más notas que lo habitual no anuncia más operaciones en los días siguientes.</w:t>
      </w:r>
    </w:p>
    <w:p>
      <w:pPr>
        <w:pStyle w:val="Heading1"/>
        <w:keepNext/>
        <w:spacing w:after="160" w:before="360"/>
      </w:pPr>
      <w:r>
        <w:t xml:space="preserve">9. Controles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7903"/>
        <w:gridCol w:w="1735"/>
      </w:tblGrid>
      <w:tr>
        <w:trPr>
          <w:tblHeader/>
        </w:trPr>
        <w:tc>
          <w:tcPr>
            <w:tcW w:type="pct" w:w="4100"/>
            <w:shd w:fill="1C3A5C" w:val="clear"/>
            <w:tcMar>
              <w:top w:type="dxa" w:w="80"/>
              <w:left w:type="dxa" w:w="120"/>
              <w:bottom w:type="dxa" w:w="80"/>
              <w:right w:type="dxa" w:w="120"/>
            </w:tcMar>
          </w:tcPr>
          <w:p>
            <w:r>
              <w:rPr>
                <w:b/>
                <w:bCs/>
                <w:color w:val="FFFFFF"/>
                <w:sz w:val="19"/>
                <w:szCs w:val="19"/>
              </w:rPr>
              <w:t xml:space="preserve">Control</w:t>
            </w:r>
          </w:p>
        </w:tc>
        <w:tc>
          <w:tcPr>
            <w:tcW w:type="pct" w:w="900"/>
            <w:shd w:fill="1C3A5C" w:val="clear"/>
            <w:tcMar>
              <w:top w:type="dxa" w:w="80"/>
              <w:left w:type="dxa" w:w="120"/>
              <w:bottom w:type="dxa" w:w="80"/>
              <w:right w:type="dxa" w:w="120"/>
            </w:tcMar>
          </w:tcPr>
          <w:p>
            <w:r>
              <w:rPr>
                <w:b/>
                <w:bCs/>
                <w:color w:val="FFFFFF"/>
                <w:sz w:val="19"/>
                <w:szCs w:val="19"/>
              </w:rPr>
              <w:t xml:space="preserve">Resultado</w:t>
            </w:r>
          </w:p>
        </w:tc>
      </w:tr>
      <w:tr>
        <w:trPr>
          <w:cantSplit/>
        </w:trPr>
        <w:tc>
          <w:tcPr>
            <w:tcW w:type="pct" w:w="4100"/>
            <w:shd w:fill="FFFFFF" w:val="clear"/>
            <w:tcMar>
              <w:top w:type="dxa" w:w="70"/>
              <w:left w:type="dxa" w:w="120"/>
              <w:bottom w:type="dxa" w:w="70"/>
              <w:right w:type="dxa" w:w="120"/>
            </w:tcMar>
          </w:tcPr>
          <w:p>
            <w:r>
              <w:rPr>
                <w:sz w:val="19"/>
                <w:szCs w:val="19"/>
              </w:rPr>
              <w:t xml:space="preserve">Todos los modelos usan las 224 ruedas, sin valores faltantes</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Se corrieron todos los tests previstos</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Todos los VAR son estables (raíces dentro del círculo unitario)</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Rezagos entre 1 y 5 en todos los modelos</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La corrección BH nunca achica un p-valor</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El test está calibrado: con el tono mezclado al azar, entre 2% y 9% de p &lt; 0,05 (dio 6.9%)</w:t>
            </w:r>
          </w:p>
        </w:tc>
        <w:tc>
          <w:tcPr>
            <w:tcW w:type="pct" w:w="900"/>
            <w:shd w:fill="FAFCFD" w:val="clear"/>
            <w:tcMar>
              <w:top w:type="dxa" w:w="70"/>
              <w:left w:type="dxa" w:w="120"/>
              <w:bottom w:type="dxa" w:w="70"/>
              <w:right w:type="dxa" w:w="120"/>
            </w:tcMar>
          </w:tcPr>
          <w:p>
            <w:r>
              <w:rPr>
                <w:sz w:val="19"/>
                <w:szCs w:val="19"/>
              </w:rPr>
              <w:t xml:space="preserve">Pasa</w:t>
            </w:r>
          </w:p>
        </w:tc>
      </w:tr>
    </w:tbl>
    <w:p>
      <w:pPr>
        <w:spacing w:after="160" w:line="300"/>
      </w:pPr>
      <w:r>
        <w:t xml:space="preserve">Un detalle técnico: las bandas del impulso-respuesta son las asintóticas (estimación ± 1,96 errores estándar). Las bandas por simulación de statsmodels 0.14.6 devuelven el límite inferior igual al superior, así que no se usaron.</w:t>
      </w:r>
    </w:p>
    <w:p>
      <w:pPr>
        <w:pStyle w:val="Heading1"/>
        <w:keepNext/>
        <w:spacing w:after="160" w:before="360"/>
      </w:pPr>
      <w:r>
        <w:t xml:space="preserve">10. Archivos que genera</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277"/>
        <w:gridCol w:w="6361"/>
      </w:tblGrid>
      <w:tr>
        <w:trPr>
          <w:tblHeader/>
        </w:trPr>
        <w:tc>
          <w:tcPr>
            <w:tcW w:type="pct" w:w="1700"/>
            <w:shd w:fill="1C3A5C" w:val="clear"/>
            <w:tcMar>
              <w:top w:type="dxa" w:w="80"/>
              <w:left w:type="dxa" w:w="120"/>
              <w:bottom w:type="dxa" w:w="80"/>
              <w:right w:type="dxa" w:w="120"/>
            </w:tcMar>
          </w:tcPr>
          <w:p>
            <w:r>
              <w:rPr>
                <w:b/>
                <w:bCs/>
                <w:color w:val="FFFFFF"/>
                <w:sz w:val="19"/>
                <w:szCs w:val="19"/>
              </w:rPr>
              <w:t xml:space="preserve">Archivo</w:t>
            </w:r>
          </w:p>
        </w:tc>
        <w:tc>
          <w:tcPr>
            <w:tcW w:type="pct" w:w="3300"/>
            <w:shd w:fill="1C3A5C" w:val="clear"/>
            <w:tcMar>
              <w:top w:type="dxa" w:w="80"/>
              <w:left w:type="dxa" w:w="120"/>
              <w:bottom w:type="dxa" w:w="80"/>
              <w:right w:type="dxa" w:w="120"/>
            </w:tcMar>
          </w:tcPr>
          <w:p>
            <w:r>
              <w:rPr>
                <w:b/>
                <w:bCs/>
                <w:color w:val="FFFFFF"/>
                <w:sz w:val="19"/>
                <w:szCs w:val="19"/>
              </w:rPr>
              <w:t xml:space="preserve">Qué tiene</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granger_resultados.csv</w:t>
            </w:r>
          </w:p>
        </w:tc>
        <w:tc>
          <w:tcPr>
            <w:tcW w:type="pct" w:w="3300"/>
            <w:shd w:fill="FFFFFF" w:val="clear"/>
            <w:tcMar>
              <w:top w:type="dxa" w:w="70"/>
              <w:left w:type="dxa" w:w="120"/>
              <w:bottom w:type="dxa" w:w="70"/>
              <w:right w:type="dxa" w:w="120"/>
            </w:tcMar>
          </w:tcPr>
          <w:p>
            <w:r>
              <w:rPr>
                <w:sz w:val="19"/>
                <w:szCs w:val="19"/>
              </w:rPr>
              <w:t xml:space="preserve">Los 304 tests: nivel, unidad, causa, efecto, dirección, rezagos, F, p, p corregido y signo del efecto</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regimen_resultados.csv</w:t>
            </w:r>
          </w:p>
        </w:tc>
        <w:tc>
          <w:tcPr>
            <w:tcW w:type="pct" w:w="3300"/>
            <w:shd w:fill="FAFCFD" w:val="clear"/>
            <w:tcMar>
              <w:top w:type="dxa" w:w="70"/>
              <w:left w:type="dxa" w:w="120"/>
              <w:bottom w:type="dxa" w:w="70"/>
              <w:right w:type="dxa" w:w="120"/>
            </w:tcMar>
          </w:tcPr>
          <w:p>
            <w:r>
              <w:rPr>
                <w:sz w:val="19"/>
                <w:szCs w:val="19"/>
              </w:rPr>
              <w:t xml:space="preserve">Las 12 pruebas por régimen (Calmo, Tenso y diferencia)</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rezagos.csv</w:t>
            </w:r>
          </w:p>
        </w:tc>
        <w:tc>
          <w:tcPr>
            <w:tcW w:type="pct" w:w="3300"/>
            <w:shd w:fill="FFFFFF" w:val="clear"/>
            <w:tcMar>
              <w:top w:type="dxa" w:w="70"/>
              <w:left w:type="dxa" w:w="120"/>
              <w:bottom w:type="dxa" w:w="70"/>
              <w:right w:type="dxa" w:w="120"/>
            </w:tcMar>
          </w:tcPr>
          <w:p>
            <w:r>
              <w:rPr>
                <w:sz w:val="19"/>
                <w:szCs w:val="19"/>
              </w:rPr>
              <w:t xml:space="preserve">Rezagos elegidos y estabilidad de cada uno de los 75 VAR</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irf_mercado.csv</w:t>
            </w:r>
          </w:p>
        </w:tc>
        <w:tc>
          <w:tcPr>
            <w:tcW w:type="pct" w:w="3300"/>
            <w:shd w:fill="FAFCFD" w:val="clear"/>
            <w:tcMar>
              <w:top w:type="dxa" w:w="70"/>
              <w:left w:type="dxa" w:w="120"/>
              <w:bottom w:type="dxa" w:w="70"/>
              <w:right w:type="dxa" w:w="120"/>
            </w:tcMar>
          </w:tcPr>
          <w:p>
            <w:r>
              <w:rPr>
                <w:sz w:val="19"/>
                <w:szCs w:val="19"/>
              </w:rPr>
              <w:t xml:space="preserve">Impulso-respuesta del mercado, con sus bandas, para cada par de variables y cada horizonte</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resumen_u6.csv</w:t>
            </w:r>
            <w:r>
              <w:t xml:space="preserve">, </w:t>
            </w:r>
            <w:r>
              <w:rPr>
                <w:rFonts w:ascii="Consolas" w:cs="Consolas" w:eastAsia="Consolas" w:hAnsi="Consolas"/>
                <w:color w:val="1C3A5C"/>
                <w:sz w:val="19"/>
                <w:szCs w:val="19"/>
              </w:rPr>
              <w:t xml:space="preserve">verificaciones.csv</w:t>
            </w:r>
          </w:p>
        </w:tc>
        <w:tc>
          <w:tcPr>
            <w:tcW w:type="pct" w:w="3300"/>
            <w:shd w:fill="FFFFFF" w:val="clear"/>
            <w:tcMar>
              <w:top w:type="dxa" w:w="70"/>
              <w:left w:type="dxa" w:w="120"/>
              <w:bottom w:type="dxa" w:w="70"/>
              <w:right w:type="dxa" w:w="120"/>
            </w:tcMar>
          </w:tcPr>
          <w:p>
            <w:r>
              <w:rPr>
                <w:sz w:val="19"/>
                <w:szCs w:val="19"/>
              </w:rPr>
              <w:t xml:space="preserve">Las cifras y los controles de este documento</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u6_irf_mercado.png</w:t>
            </w:r>
            <w:r>
              <w:t xml:space="preserve">, </w:t>
            </w:r>
            <w:r>
              <w:rPr>
                <w:rFonts w:ascii="Consolas" w:cs="Consolas" w:eastAsia="Consolas" w:hAnsi="Consolas"/>
                <w:color w:val="1C3A5C"/>
                <w:sz w:val="19"/>
                <w:szCs w:val="19"/>
              </w:rPr>
              <w:t xml:space="preserve">u6_empresas.png</w:t>
            </w:r>
          </w:p>
        </w:tc>
        <w:tc>
          <w:tcPr>
            <w:tcW w:type="pct" w:w="3300"/>
            <w:shd w:fill="FAFCFD" w:val="clear"/>
            <w:tcMar>
              <w:top w:type="dxa" w:w="70"/>
              <w:left w:type="dxa" w:w="120"/>
              <w:bottom w:type="dxa" w:w="70"/>
              <w:right w:type="dxa" w:w="120"/>
            </w:tcMar>
          </w:tcPr>
          <w:p>
            <w:r>
              <w:rPr>
                <w:sz w:val="19"/>
                <w:szCs w:val="19"/>
              </w:rPr>
              <w:t xml:space="preserve">Las figuras</w:t>
            </w:r>
          </w:p>
        </w:tc>
      </w:tr>
    </w:tbl>
    <w:p>
      <w:pPr>
        <w:pStyle w:val="Heading1"/>
        <w:keepNext/>
        <w:spacing w:after="160" w:before="360"/>
      </w:pPr>
      <w:r>
        <w:t xml:space="preserve">11. Limitaciones</w:t>
      </w:r>
    </w:p>
    <w:p>
      <w:pPr>
        <w:spacing w:after="160" w:line="300"/>
        <w:ind w:left="360" w:hanging="240"/>
      </w:pPr>
      <w:r>
        <w:t xml:space="preserve">•  Granger mide quién se mueve antes, no causas en sentido estricto. Lo que pasa dentro de una misma rueda no se puede ordenar con datos diarios.</w:t>
      </w:r>
    </w:p>
    <w:p>
      <w:pPr>
        <w:spacing w:after="160" w:line="300"/>
        <w:ind w:left="360" w:hanging="240"/>
      </w:pPr>
      <w:r>
        <w:t xml:space="preserve">•  Es un año de datos (224 ruedas). Un efecto chico de las noticias sobre los precios podría existir y no detectarse.</w:t>
      </w:r>
    </w:p>
    <w:p>
      <w:pPr>
        <w:spacing w:after="160" w:line="300"/>
        <w:ind w:left="360" w:hanging="240"/>
      </w:pPr>
      <w:r>
        <w:t xml:space="preserve">•  El tono depende del modelo de sentimiento, que se entrenó con etiquetas de Gemma sin validación humana, y el tono por empresa es el de las oraciones que la mencionan.</w:t>
      </w:r>
    </w:p>
    <w:p>
      <w:pPr>
        <w:spacing w:after="160" w:line="300"/>
        <w:ind w:left="360" w:hanging="240"/>
      </w:pPr>
      <w:r>
        <w:t xml:space="preserve">•  Los retornos están en pesos nominales. Las pruebas de robustez (U8) repiten los resultados principales con otras decisiones.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6"/>
        <w:szCs w:val="16"/>
      </w:rPr>
      <w:t xml:space="preserve">Nicolás Diddi · Gino Frigoni · Página </w:t>
    </w:r>
    <w:r>
      <w:rPr>
        <w:color w:val="5C6B7A"/>
        <w:sz w:val="16"/>
        <w:szCs w:val="16"/>
      </w:rPr>
      <w:fldChar w:fldCharType="begin"/>
      <w:instrText xml:space="preserve">PAGE</w:instrText>
      <w:fldChar w:fldCharType="separate"/>
      <w:fldChar w:fldCharType="end"/>
    </w:r>
    <w:r>
      <w:rPr>
        <w:color w:val="5C6B7A"/>
        <w:sz w:val="16"/>
        <w:szCs w:val="16"/>
      </w:rPr>
      <w:t xml:space="preserve"> de </w:t>
    </w:r>
    <w:r>
      <w:rPr>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U6 · VAR y Granger — tesis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798C" w:sz="6" w:space="4"/>
      </w:pBdr>
      <w:spacing w:after="160" w:before="360"/>
    </w:pPr>
    <w:rPr>
      <w:rFonts w:ascii="Cambria" w:cs="Cambria" w:eastAsia="Cambria" w:hAnsi="Cambria"/>
      <w:b/>
      <w:bCs/>
      <w:color w:val="12263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5274dc1372ef08142c7cb8a8d5982fd4c05cf30.png"/><Relationship Id="rId10" Type="http://schemas.openxmlformats.org/officeDocument/2006/relationships/image" Target="media/00fd0998b4fb0de54f732a4efa5b3a54bae404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2026-10-24T13:53:08.588Z</dcterms:created>
  <dcterms:modified xsi:type="dcterms:W3CDTF">2026-10-24T13:53:08.588Z</dcterms:modified>
</cp:coreProperties>
</file>

<file path=docProps/custom.xml><?xml version="1.0" encoding="utf-8"?>
<Properties xmlns="http://schemas.openxmlformats.org/officeDocument/2006/custom-properties" xmlns:vt="http://schemas.openxmlformats.org/officeDocument/2006/docPropsVTypes"/>
</file>