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ambria" w:cs="Cambria" w:eastAsia="Cambria" w:hAnsi="Cambria"/>
          <w:b/>
          <w:bCs/>
          <w:color w:val="12263A"/>
          <w:sz w:val="44"/>
          <w:szCs w:val="44"/>
        </w:rPr>
        <w:t xml:space="preserve">U6b · Noticias publicadas con el mercado cerrado</w:t>
      </w:r>
    </w:p>
    <w:p>
      <w:pPr>
        <w:spacing w:after="200"/>
      </w:pPr>
      <w:r>
        <w:rPr>
          <w:rFonts w:ascii="Cambria" w:cs="Cambria" w:eastAsia="Cambria" w:hAnsi="Cambria"/>
          <w:i/>
          <w:iCs/>
          <w:color w:val="1C3A5C"/>
          <w:sz w:val="24"/>
          <w:szCs w:val="24"/>
        </w:rPr>
        <w:t xml:space="preserve">La prueba más directa de la hipótesis principal: ¿el tono de la noche anticipa la apertura?</w:t>
      </w:r>
    </w:p>
    <w:p>
      <w:pPr>
        <w:pBdr>
          <w:bottom w:val="single" w:color="D9E0E7" w:sz="4" w:space="8"/>
        </w:pBdr>
        <w:spacing w:after="200"/>
      </w:pPr>
      <w:r>
        <w:rPr>
          <w:color w:val="5C6B7A"/>
          <w:sz w:val="19"/>
          <w:szCs w:val="19"/>
        </w:rPr>
        <w:t xml:space="preserve">Tesina — Impacto de shocks informativos en acciones argentinas (BYMA / S&amp;P Merval). Documento de la unión: lee el lado bursátil y el lado de noticias sin modificarlos.</w:t>
      </w:r>
    </w:p>
    <w:p>
      <w:pPr>
        <w:spacing w:after="160" w:line="300"/>
      </w:pPr>
      <w:r>
        <w:rPr>
          <w:b/>
          <w:bCs/>
        </w:rPr>
        <w:t xml:space="preserve">Ubicación. </w:t>
      </w:r>
      <w:r>
        <w:rPr>
          <w:rFonts w:ascii="Consolas" w:cs="Consolas" w:eastAsia="Consolas" w:hAnsi="Consolas"/>
          <w:color w:val="1C3A5C"/>
          <w:sz w:val="19"/>
          <w:szCs w:val="19"/>
        </w:rPr>
        <w:t xml:space="preserve">D:\2.Tesina\tesis version 3.0\Unión\06b_noticias_preapertura\</w:t>
      </w:r>
      <w:r>
        <w:t xml:space="preserve">. Script: </w:t>
      </w:r>
      <w:r>
        <w:rPr>
          <w:rFonts w:ascii="Consolas" w:cs="Consolas" w:eastAsia="Consolas" w:hAnsi="Consolas"/>
          <w:color w:val="1C3A5C"/>
          <w:sz w:val="19"/>
          <w:szCs w:val="19"/>
        </w:rPr>
        <w:t xml:space="preserve">noticias_preapertura.py</w:t>
      </w:r>
      <w:r>
        <w:t xml:space="preserve">. Especificación previa: </w:t>
      </w:r>
      <w:r>
        <w:rPr>
          <w:rFonts w:ascii="Consolas" w:cs="Consolas" w:eastAsia="Consolas" w:hAnsi="Consolas"/>
          <w:color w:val="1C3A5C"/>
          <w:sz w:val="19"/>
          <w:szCs w:val="19"/>
        </w:rPr>
        <w:t xml:space="preserve">especificacion_previa.md</w:t>
      </w:r>
      <w:r>
        <w:t xml:space="preserve">.</w:t>
      </w:r>
    </w:p>
    <w:tbl>
      <w:tblPr>
        <w:tblW w:type="pct" w:w="5000"/>
        <w:tblBorders>
          <w:top w:val="single" w:color="D9E0E7" w:sz="4"/>
          <w:left w:val="single" w:color="40798C" w:sz="24"/>
          <w:bottom w:val="single" w:color="D9E0E7" w:sz="4"/>
          <w:right w:val="single" w:color="D9E0E7" w:sz="4"/>
          <w:insideH w:val="none" w:color="FFFFFF" w:sz="0"/>
          <w:insideV w:val="none" w:color="FFFFFF" w:sz="0"/>
        </w:tblBorders>
      </w:tblPr>
      <w:tblGrid>
        <w:gridCol w:w="9638"/>
      </w:tblGrid>
      <w:tr>
        <w:trPr>
          <w:cantSplit/>
        </w:trPr>
        <w:tc>
          <w:tcPr>
            <w:shd w:fill="F5F8FA" w:val="clear"/>
            <w:tcMar>
              <w:top w:type="dxa" w:w="160"/>
              <w:left w:type="dxa" w:w="220"/>
              <w:bottom w:type="dxa" w:w="160"/>
              <w:right w:type="dxa" w:w="220"/>
            </w:tcMar>
          </w:tcPr>
          <w:p>
            <w:pPr>
              <w:spacing w:after="80"/>
            </w:pPr>
            <w:r>
              <w:rPr>
                <w:b/>
                <w:bCs/>
                <w:color w:val="1C3A5C"/>
              </w:rPr>
              <w:t xml:space="preserve">En una frase</w:t>
            </w:r>
          </w:p>
          <w:p>
            <w:pPr>
              <w:spacing w:after="60" w:line="276"/>
            </w:pPr>
            <w:r>
              <w:t xml:space="preserve">El tono de las 8.069 notas publicadas con el mercado cerrado va en la dirección de la hipótesis (notas más positivas, apertura más alta), pero no llega a ser significativo (p = 0,107 en el mercado y 0,105 en las empresas), y sin los dos días electorales se achica a menos de la mitad. La hipótesis de que el tono de las noticias anticipa al mercado no encuentra apoyo, ni siquiera con la prueba más favorable.</w:t>
            </w:r>
          </w:p>
        </w:tc>
      </w:tr>
    </w:tbl>
    <w:p>
      <w:pPr>
        <w:pStyle w:val="Heading1"/>
        <w:keepNext/>
        <w:spacing w:after="160" w:before="360"/>
      </w:pPr>
      <w:r>
        <w:t xml:space="preserve">1. Por qué esta prueba</w:t>
      </w:r>
    </w:p>
    <w:p>
      <w:pPr>
        <w:spacing w:after="160" w:line="300"/>
      </w:pPr>
      <w:r>
        <w:t xml:space="preserve">En U6 el tono no anticipó los precios. Pero quedaba una duda: dentro de una misma rueda, el tono y el retorno se mueven juntos, y con datos diarios no se sabe quién movió a quién. Esta prueba resuelve esa duda usando la hora de cada nota.</w:t>
      </w:r>
    </w:p>
    <w:p>
      <w:pPr>
        <w:spacing w:after="160" w:line="300"/>
      </w:pPr>
      <w:r>
        <w:t xml:space="preserve">Las notas publicadas entre el cierre de la rueda anterior (17:00) y la apertura (11:00) salen antes de cualquier operación de la rueda. El precio de esa rueda no puede haberlas causado. Si su tono anticipa el salto de apertura, eso es noticias → mercado sin ambigüedad. Es la prueba más favorable posible para la hipótesis principal.</w:t>
      </w:r>
    </w:p>
    <w:p>
      <w:pPr>
        <w:spacing w:after="160" w:line="300"/>
      </w:pPr>
      <w:r>
        <w:rPr>
          <w:b/>
          <w:bCs/>
        </w:rPr>
        <w:t xml:space="preserve">Ejemplo. </w:t>
      </w:r>
      <w:r>
        <w:t xml:space="preserve">A las 21:00 sale una nota muy positiva. Al día siguiente, ¿el mercado abre más arriba de lo que cerró? Si eso pasa en general, las noticias movieron el precio, porque la nota existió antes que cualquier operación de esa rueda.</w:t>
      </w:r>
    </w:p>
    <w:p>
      <w:pPr>
        <w:pStyle w:val="Heading1"/>
        <w:keepNext/>
        <w:spacing w:after="160" w:before="360"/>
      </w:pPr>
      <w:r>
        <w:t xml:space="preserve">2. Fijada antes de ver los resultados</w:t>
      </w:r>
    </w:p>
    <w:p>
      <w:pPr>
        <w:spacing w:after="160" w:line="300"/>
      </w:pPr>
      <w:r>
        <w:t xml:space="preserve">Para que el resultado valga, sea cual sea, la especificación se escribió y se guardó antes de correr ningún cálculo (especificacion_previa.md). Define qué notas se usan, qué variables, qué modelos y qué cuenta como evidencia. La única agregación posterior, todavía antes de correr, fue informar también el resultado sin los dos días electorales.</w:t>
      </w:r>
    </w:p>
    <w:p>
      <w:pPr>
        <w:spacing w:after="160" w:line="300"/>
        <w:ind w:left="360" w:hanging="240"/>
      </w:pPr>
      <w:r>
        <w:t xml:space="preserve">•  </w:t>
      </w:r>
      <w:r>
        <w:rPr>
          <w:b/>
          <w:bCs/>
        </w:rPr>
        <w:t xml:space="preserve">Notas: </w:t>
      </w:r>
      <w:r>
        <w:t xml:space="preserve">las asignadas a la rueda que no se publicaron durante la sesión (11:00 a 17:00), sin las de hora sospechosa: 8.069 notas. 1855 pre-apertura excluidas por hora sospechosa. Todas las ruedas tienen notas de este tipo (mínimo 7, mediana 29).</w:t>
      </w:r>
    </w:p>
    <w:p>
      <w:pPr>
        <w:spacing w:after="160" w:line="300"/>
        <w:ind w:left="360" w:hanging="240"/>
      </w:pPr>
      <w:r>
        <w:t xml:space="preserve">•  </w:t>
      </w:r>
      <w:r>
        <w:rPr>
          <w:b/>
          <w:bCs/>
        </w:rPr>
        <w:t xml:space="preserve">Tono: </w:t>
      </w:r>
      <w:r>
        <w:t xml:space="preserve">el tono anormal de esas notas (comparado con las 20 ruedas previas, como en U5) y, para las 17 empresas, su tono propio con solo esas notas.</w:t>
      </w:r>
    </w:p>
    <w:p>
      <w:pPr>
        <w:spacing w:after="160" w:line="300"/>
        <w:ind w:left="360" w:hanging="240"/>
      </w:pPr>
      <w:r>
        <w:t xml:space="preserve">•  </w:t>
      </w:r>
      <w:r>
        <w:rPr>
          <w:b/>
          <w:bCs/>
        </w:rPr>
        <w:t xml:space="preserve">Retornos: </w:t>
      </w:r>
      <w:r>
        <w:t xml:space="preserve">de apertura (de cierre de ayer a apertura de hoy) y de la sesión (de apertura a cierre). El mercado es el promedio de las 47 acciones, porque los datos no traen la apertura del Merval.</w:t>
      </w:r>
    </w:p>
    <w:p>
      <w:pPr>
        <w:spacing w:after="160" w:line="300"/>
        <w:ind w:left="360" w:hanging="240"/>
      </w:pPr>
      <w:r>
        <w:t xml:space="preserve">•  </w:t>
      </w:r>
      <w:r>
        <w:rPr>
          <w:b/>
          <w:bCs/>
        </w:rPr>
        <w:t xml:space="preserve">Controles: </w:t>
      </w:r>
      <w:r>
        <w:t xml:space="preserve">el retorno del día anterior, porque muchas notas de la noche cuentan cómo cerró el mercado, y si la rueda viene de un día sin mercado.</w:t>
      </w:r>
    </w:p>
    <w:p>
      <w:pPr>
        <w:spacing w:after="160" w:line="300"/>
        <w:ind w:left="360" w:hanging="240"/>
      </w:pPr>
      <w:r>
        <w:t xml:space="preserve">•  </w:t>
      </w:r>
      <w:r>
        <w:rPr>
          <w:b/>
          <w:bCs/>
        </w:rPr>
        <w:t xml:space="preserve">Evidencia a favor: </w:t>
      </w:r>
      <w:r>
        <w:t xml:space="preserve">que el tono anticipe el retorno de apertura con signo positivo y p &lt; 0,05, con la corrección por pruebas múltiples.</w:t>
      </w:r>
    </w:p>
    <w:p>
      <w:pPr>
        <w:pStyle w:val="Heading1"/>
        <w:keepNext/>
        <w:spacing w:after="160" w:before="360"/>
      </w:pPr>
      <w:r>
        <w:t xml:space="preserve">3. Resultado</w:t>
      </w:r>
    </w:p>
    <w:tbl>
      <w:tblPr>
        <w:tblW w:type="pct" w:w="5000"/>
        <w:tblBorders>
          <w:top w:val="single" w:color="D9E0E7" w:sz="4"/>
          <w:left w:val="single" w:color="D9E0E7" w:sz="4"/>
          <w:bottom w:val="single" w:color="D9E0E7" w:sz="4"/>
          <w:right w:val="single" w:color="D9E0E7" w:sz="4"/>
          <w:insideH w:val="single" w:color="D9E0E7" w:sz="4"/>
          <w:insideV w:val="single" w:color="D9E0E7" w:sz="4"/>
        </w:tblBorders>
      </w:tblPr>
      <w:tblGrid>
        <w:gridCol w:w="1928"/>
        <w:gridCol w:w="2120"/>
        <w:gridCol w:w="1157"/>
        <w:gridCol w:w="1735"/>
        <w:gridCol w:w="1253"/>
        <w:gridCol w:w="1446"/>
      </w:tblGrid>
      <w:tr>
        <w:trPr>
          <w:tblHeader/>
        </w:trPr>
        <w:tc>
          <w:tcPr>
            <w:tcW w:type="pct" w:w="1000"/>
            <w:shd w:fill="1C3A5C" w:val="clear"/>
            <w:tcMar>
              <w:top w:type="dxa" w:w="80"/>
              <w:left w:type="dxa" w:w="120"/>
              <w:bottom w:type="dxa" w:w="80"/>
              <w:right w:type="dxa" w:w="120"/>
            </w:tcMar>
          </w:tcPr>
          <w:p>
            <w:r>
              <w:rPr>
                <w:b/>
                <w:bCs/>
                <w:color w:val="FFFFFF"/>
                <w:sz w:val="19"/>
                <w:szCs w:val="19"/>
              </w:rPr>
              <w:t xml:space="preserve">Muestra</w:t>
            </w:r>
          </w:p>
        </w:tc>
        <w:tc>
          <w:tcPr>
            <w:tcW w:type="pct" w:w="1100"/>
            <w:shd w:fill="1C3A5C" w:val="clear"/>
            <w:tcMar>
              <w:top w:type="dxa" w:w="80"/>
              <w:left w:type="dxa" w:w="120"/>
              <w:bottom w:type="dxa" w:w="80"/>
              <w:right w:type="dxa" w:w="120"/>
            </w:tcMar>
          </w:tcPr>
          <w:p>
            <w:r>
              <w:rPr>
                <w:b/>
                <w:bCs/>
                <w:color w:val="FFFFFF"/>
                <w:sz w:val="19"/>
                <w:szCs w:val="19"/>
              </w:rPr>
              <w:t xml:space="preserve">Nivel</w:t>
            </w:r>
          </w:p>
        </w:tc>
        <w:tc>
          <w:tcPr>
            <w:tcW w:type="pct" w:w="600"/>
            <w:shd w:fill="1C3A5C" w:val="clear"/>
            <w:tcMar>
              <w:top w:type="dxa" w:w="80"/>
              <w:left w:type="dxa" w:w="120"/>
              <w:bottom w:type="dxa" w:w="80"/>
              <w:right w:type="dxa" w:w="120"/>
            </w:tcMar>
          </w:tcPr>
          <w:p>
            <w:r>
              <w:rPr>
                <w:b/>
                <w:bCs/>
                <w:color w:val="FFFFFF"/>
                <w:sz w:val="19"/>
                <w:szCs w:val="19"/>
              </w:rPr>
              <w:t xml:space="preserve">Retorno</w:t>
            </w:r>
          </w:p>
        </w:tc>
        <w:tc>
          <w:tcPr>
            <w:tcW w:type="pct" w:w="900"/>
            <w:shd w:fill="1C3A5C" w:val="clear"/>
            <w:tcMar>
              <w:top w:type="dxa" w:w="80"/>
              <w:left w:type="dxa" w:w="120"/>
              <w:bottom w:type="dxa" w:w="80"/>
              <w:right w:type="dxa" w:w="120"/>
            </w:tcMar>
          </w:tcPr>
          <w:p>
            <w:r>
              <w:rPr>
                <w:b/>
                <w:bCs/>
                <w:color w:val="FFFFFF"/>
                <w:sz w:val="19"/>
                <w:szCs w:val="19"/>
              </w:rPr>
              <w:t xml:space="preserve">Efecto por desvío del tono</w:t>
            </w:r>
          </w:p>
        </w:tc>
        <w:tc>
          <w:tcPr>
            <w:tcW w:type="pct" w:w="650"/>
            <w:shd w:fill="1C3A5C" w:val="clear"/>
            <w:tcMar>
              <w:top w:type="dxa" w:w="80"/>
              <w:left w:type="dxa" w:w="120"/>
              <w:bottom w:type="dxa" w:w="80"/>
              <w:right w:type="dxa" w:w="120"/>
            </w:tcMar>
          </w:tcPr>
          <w:p>
            <w:r>
              <w:rPr>
                <w:b/>
                <w:bCs/>
                <w:color w:val="FFFFFF"/>
                <w:sz w:val="19"/>
                <w:szCs w:val="19"/>
              </w:rPr>
              <w:t xml:space="preserve">p</w:t>
            </w:r>
          </w:p>
        </w:tc>
        <w:tc>
          <w:tcPr>
            <w:tcW w:type="pct" w:w="750"/>
            <w:shd w:fill="1C3A5C" w:val="clear"/>
            <w:tcMar>
              <w:top w:type="dxa" w:w="80"/>
              <w:left w:type="dxa" w:w="120"/>
              <w:bottom w:type="dxa" w:w="80"/>
              <w:right w:type="dxa" w:w="120"/>
            </w:tcMar>
          </w:tcPr>
          <w:p>
            <w:r>
              <w:rPr>
                <w:b/>
                <w:bCs/>
                <w:color w:val="FFFFFF"/>
                <w:sz w:val="19"/>
                <w:szCs w:val="19"/>
              </w:rPr>
              <w:t xml:space="preserve">p corregido</w:t>
            </w:r>
          </w:p>
        </w:tc>
      </w:tr>
      <w:tr>
        <w:trPr>
          <w:cantSplit/>
        </w:trPr>
        <w:tc>
          <w:tcPr>
            <w:tcW w:type="pct" w:w="1000"/>
            <w:shd w:fill="FFFFFF" w:val="clear"/>
            <w:tcMar>
              <w:top w:type="dxa" w:w="70"/>
              <w:left w:type="dxa" w:w="120"/>
              <w:bottom w:type="dxa" w:w="70"/>
              <w:right w:type="dxa" w:w="120"/>
            </w:tcMar>
          </w:tcPr>
          <w:p>
            <w:r>
              <w:rPr>
                <w:sz w:val="19"/>
                <w:szCs w:val="19"/>
              </w:rPr>
              <w:t xml:space="preserve">todas las ruedas</w:t>
            </w:r>
          </w:p>
        </w:tc>
        <w:tc>
          <w:tcPr>
            <w:tcW w:type="pct" w:w="1100"/>
            <w:shd w:fill="FFFFFF" w:val="clear"/>
            <w:tcMar>
              <w:top w:type="dxa" w:w="70"/>
              <w:left w:type="dxa" w:w="120"/>
              <w:bottom w:type="dxa" w:w="70"/>
              <w:right w:type="dxa" w:w="120"/>
            </w:tcMar>
          </w:tcPr>
          <w:p>
            <w:r>
              <w:rPr>
                <w:sz w:val="19"/>
                <w:szCs w:val="19"/>
              </w:rPr>
              <w:t xml:space="preserve">mercado</w:t>
            </w:r>
          </w:p>
        </w:tc>
        <w:tc>
          <w:tcPr>
            <w:tcW w:type="pct" w:w="600"/>
            <w:shd w:fill="FFFFFF" w:val="clear"/>
            <w:tcMar>
              <w:top w:type="dxa" w:w="70"/>
              <w:left w:type="dxa" w:w="120"/>
              <w:bottom w:type="dxa" w:w="70"/>
              <w:right w:type="dxa" w:w="120"/>
            </w:tcMar>
          </w:tcPr>
          <w:p>
            <w:r>
              <w:rPr>
                <w:sz w:val="19"/>
                <w:szCs w:val="19"/>
              </w:rPr>
              <w:t xml:space="preserve">Apertura</w:t>
            </w:r>
          </w:p>
        </w:tc>
        <w:tc>
          <w:tcPr>
            <w:tcW w:type="pct" w:w="900"/>
            <w:shd w:fill="FFFFFF" w:val="clear"/>
            <w:tcMar>
              <w:top w:type="dxa" w:w="70"/>
              <w:left w:type="dxa" w:w="120"/>
              <w:bottom w:type="dxa" w:w="70"/>
              <w:right w:type="dxa" w:w="120"/>
            </w:tcMar>
          </w:tcPr>
          <w:p>
            <w:r>
              <w:rPr>
                <w:sz w:val="19"/>
                <w:szCs w:val="19"/>
              </w:rPr>
              <w:t xml:space="preserve">+0,181%</w:t>
            </w:r>
          </w:p>
        </w:tc>
        <w:tc>
          <w:tcPr>
            <w:tcW w:type="pct" w:w="650"/>
            <w:shd w:fill="FFFFFF" w:val="clear"/>
            <w:tcMar>
              <w:top w:type="dxa" w:w="70"/>
              <w:left w:type="dxa" w:w="120"/>
              <w:bottom w:type="dxa" w:w="70"/>
              <w:right w:type="dxa" w:w="120"/>
            </w:tcMar>
          </w:tcPr>
          <w:p>
            <w:r>
              <w:rPr>
                <w:sz w:val="19"/>
                <w:szCs w:val="19"/>
              </w:rPr>
              <w:t xml:space="preserve">0,107</w:t>
            </w:r>
          </w:p>
        </w:tc>
        <w:tc>
          <w:tcPr>
            <w:tcW w:type="pct" w:w="750"/>
            <w:shd w:fill="FFFFFF" w:val="clear"/>
            <w:tcMar>
              <w:top w:type="dxa" w:w="70"/>
              <w:left w:type="dxa" w:w="120"/>
              <w:bottom w:type="dxa" w:w="70"/>
              <w:right w:type="dxa" w:w="120"/>
            </w:tcMar>
          </w:tcPr>
          <w:p>
            <w:r>
              <w:rPr>
                <w:sz w:val="19"/>
                <w:szCs w:val="19"/>
              </w:rPr>
              <w:t xml:space="preserve">0,213</w:t>
            </w:r>
          </w:p>
        </w:tc>
      </w:tr>
      <w:tr>
        <w:trPr>
          <w:cantSplit/>
        </w:trPr>
        <w:tc>
          <w:tcPr>
            <w:tcW w:type="pct" w:w="1000"/>
            <w:shd w:fill="FAFCFD" w:val="clear"/>
            <w:tcMar>
              <w:top w:type="dxa" w:w="70"/>
              <w:left w:type="dxa" w:w="120"/>
              <w:bottom w:type="dxa" w:w="70"/>
              <w:right w:type="dxa" w:w="120"/>
            </w:tcMar>
          </w:tcPr>
          <w:p>
            <w:r>
              <w:rPr>
                <w:sz w:val="19"/>
                <w:szCs w:val="19"/>
              </w:rPr>
              <w:t xml:space="preserve">todas las ruedas</w:t>
            </w:r>
          </w:p>
        </w:tc>
        <w:tc>
          <w:tcPr>
            <w:tcW w:type="pct" w:w="1100"/>
            <w:shd w:fill="FAFCFD" w:val="clear"/>
            <w:tcMar>
              <w:top w:type="dxa" w:w="70"/>
              <w:left w:type="dxa" w:w="120"/>
              <w:bottom w:type="dxa" w:w="70"/>
              <w:right w:type="dxa" w:w="120"/>
            </w:tcMar>
          </w:tcPr>
          <w:p>
            <w:r>
              <w:rPr>
                <w:sz w:val="19"/>
                <w:szCs w:val="19"/>
              </w:rPr>
              <w:t xml:space="preserve">panel de las 17 empresas</w:t>
            </w:r>
          </w:p>
        </w:tc>
        <w:tc>
          <w:tcPr>
            <w:tcW w:type="pct" w:w="600"/>
            <w:shd w:fill="FAFCFD" w:val="clear"/>
            <w:tcMar>
              <w:top w:type="dxa" w:w="70"/>
              <w:left w:type="dxa" w:w="120"/>
              <w:bottom w:type="dxa" w:w="70"/>
              <w:right w:type="dxa" w:w="120"/>
            </w:tcMar>
          </w:tcPr>
          <w:p>
            <w:r>
              <w:rPr>
                <w:sz w:val="19"/>
                <w:szCs w:val="19"/>
              </w:rPr>
              <w:t xml:space="preserve">Apertura</w:t>
            </w:r>
          </w:p>
        </w:tc>
        <w:tc>
          <w:tcPr>
            <w:tcW w:type="pct" w:w="900"/>
            <w:shd w:fill="FAFCFD" w:val="clear"/>
            <w:tcMar>
              <w:top w:type="dxa" w:w="70"/>
              <w:left w:type="dxa" w:w="120"/>
              <w:bottom w:type="dxa" w:w="70"/>
              <w:right w:type="dxa" w:w="120"/>
            </w:tcMar>
          </w:tcPr>
          <w:p>
            <w:r>
              <w:rPr>
                <w:sz w:val="19"/>
                <w:szCs w:val="19"/>
              </w:rPr>
              <w:t xml:space="preserve">+0,073%</w:t>
            </w:r>
          </w:p>
        </w:tc>
        <w:tc>
          <w:tcPr>
            <w:tcW w:type="pct" w:w="650"/>
            <w:shd w:fill="FAFCFD" w:val="clear"/>
            <w:tcMar>
              <w:top w:type="dxa" w:w="70"/>
              <w:left w:type="dxa" w:w="120"/>
              <w:bottom w:type="dxa" w:w="70"/>
              <w:right w:type="dxa" w:w="120"/>
            </w:tcMar>
          </w:tcPr>
          <w:p>
            <w:r>
              <w:rPr>
                <w:sz w:val="19"/>
                <w:szCs w:val="19"/>
              </w:rPr>
              <w:t xml:space="preserve">0,105</w:t>
            </w:r>
          </w:p>
        </w:tc>
        <w:tc>
          <w:tcPr>
            <w:tcW w:type="pct" w:w="750"/>
            <w:shd w:fill="FAFCFD" w:val="clear"/>
            <w:tcMar>
              <w:top w:type="dxa" w:w="70"/>
              <w:left w:type="dxa" w:w="120"/>
              <w:bottom w:type="dxa" w:w="70"/>
              <w:right w:type="dxa" w:w="120"/>
            </w:tcMar>
          </w:tcPr>
          <w:p>
            <w:r>
              <w:rPr>
                <w:sz w:val="19"/>
                <w:szCs w:val="19"/>
              </w:rPr>
              <w:t xml:space="preserve">0,213</w:t>
            </w:r>
          </w:p>
        </w:tc>
      </w:tr>
      <w:tr>
        <w:trPr>
          <w:cantSplit/>
        </w:trPr>
        <w:tc>
          <w:tcPr>
            <w:tcW w:type="pct" w:w="1000"/>
            <w:shd w:fill="FFFFFF" w:val="clear"/>
            <w:tcMar>
              <w:top w:type="dxa" w:w="70"/>
              <w:left w:type="dxa" w:w="120"/>
              <w:bottom w:type="dxa" w:w="70"/>
              <w:right w:type="dxa" w:w="120"/>
            </w:tcMar>
          </w:tcPr>
          <w:p>
            <w:r>
              <w:rPr>
                <w:sz w:val="19"/>
                <w:szCs w:val="19"/>
              </w:rPr>
              <w:t xml:space="preserve">todas las ruedas</w:t>
            </w:r>
          </w:p>
        </w:tc>
        <w:tc>
          <w:tcPr>
            <w:tcW w:type="pct" w:w="1100"/>
            <w:shd w:fill="FFFFFF" w:val="clear"/>
            <w:tcMar>
              <w:top w:type="dxa" w:w="70"/>
              <w:left w:type="dxa" w:w="120"/>
              <w:bottom w:type="dxa" w:w="70"/>
              <w:right w:type="dxa" w:w="120"/>
            </w:tcMar>
          </w:tcPr>
          <w:p>
            <w:r>
              <w:rPr>
                <w:sz w:val="19"/>
                <w:szCs w:val="19"/>
              </w:rPr>
              <w:t xml:space="preserve">mercado</w:t>
            </w:r>
          </w:p>
        </w:tc>
        <w:tc>
          <w:tcPr>
            <w:tcW w:type="pct" w:w="600"/>
            <w:shd w:fill="FFFFFF" w:val="clear"/>
            <w:tcMar>
              <w:top w:type="dxa" w:w="70"/>
              <w:left w:type="dxa" w:w="120"/>
              <w:bottom w:type="dxa" w:w="70"/>
              <w:right w:type="dxa" w:w="120"/>
            </w:tcMar>
          </w:tcPr>
          <w:p>
            <w:r>
              <w:rPr>
                <w:sz w:val="19"/>
                <w:szCs w:val="19"/>
              </w:rPr>
              <w:t xml:space="preserve">Sesión</w:t>
            </w:r>
          </w:p>
        </w:tc>
        <w:tc>
          <w:tcPr>
            <w:tcW w:type="pct" w:w="900"/>
            <w:shd w:fill="FFFFFF" w:val="clear"/>
            <w:tcMar>
              <w:top w:type="dxa" w:w="70"/>
              <w:left w:type="dxa" w:w="120"/>
              <w:bottom w:type="dxa" w:w="70"/>
              <w:right w:type="dxa" w:w="120"/>
            </w:tcMar>
          </w:tcPr>
          <w:p>
            <w:r>
              <w:rPr>
                <w:sz w:val="19"/>
                <w:szCs w:val="19"/>
              </w:rPr>
              <w:t xml:space="preserve">+0,201%</w:t>
            </w:r>
          </w:p>
        </w:tc>
        <w:tc>
          <w:tcPr>
            <w:tcW w:type="pct" w:w="650"/>
            <w:shd w:fill="FFFFFF" w:val="clear"/>
            <w:tcMar>
              <w:top w:type="dxa" w:w="70"/>
              <w:left w:type="dxa" w:w="120"/>
              <w:bottom w:type="dxa" w:w="70"/>
              <w:right w:type="dxa" w:w="120"/>
            </w:tcMar>
          </w:tcPr>
          <w:p>
            <w:r>
              <w:rPr>
                <w:sz w:val="19"/>
                <w:szCs w:val="19"/>
              </w:rPr>
              <w:t xml:space="preserve">0,267</w:t>
            </w:r>
          </w:p>
        </w:tc>
        <w:tc>
          <w:tcPr>
            <w:tcW w:type="pct" w:w="750"/>
            <w:shd w:fill="FFFFFF" w:val="clear"/>
            <w:tcMar>
              <w:top w:type="dxa" w:w="70"/>
              <w:left w:type="dxa" w:w="120"/>
              <w:bottom w:type="dxa" w:w="70"/>
              <w:right w:type="dxa" w:w="120"/>
            </w:tcMar>
          </w:tcPr>
          <w:p>
            <w:r>
              <w:rPr>
                <w:sz w:val="19"/>
                <w:szCs w:val="19"/>
              </w:rPr>
              <w:t xml:space="preserve">0,356</w:t>
            </w:r>
          </w:p>
        </w:tc>
      </w:tr>
      <w:tr>
        <w:trPr>
          <w:cantSplit/>
        </w:trPr>
        <w:tc>
          <w:tcPr>
            <w:tcW w:type="pct" w:w="1000"/>
            <w:shd w:fill="FAFCFD" w:val="clear"/>
            <w:tcMar>
              <w:top w:type="dxa" w:w="70"/>
              <w:left w:type="dxa" w:w="120"/>
              <w:bottom w:type="dxa" w:w="70"/>
              <w:right w:type="dxa" w:w="120"/>
            </w:tcMar>
          </w:tcPr>
          <w:p>
            <w:r>
              <w:rPr>
                <w:sz w:val="19"/>
                <w:szCs w:val="19"/>
              </w:rPr>
              <w:t xml:space="preserve">todas las ruedas</w:t>
            </w:r>
          </w:p>
        </w:tc>
        <w:tc>
          <w:tcPr>
            <w:tcW w:type="pct" w:w="1100"/>
            <w:shd w:fill="FAFCFD" w:val="clear"/>
            <w:tcMar>
              <w:top w:type="dxa" w:w="70"/>
              <w:left w:type="dxa" w:w="120"/>
              <w:bottom w:type="dxa" w:w="70"/>
              <w:right w:type="dxa" w:w="120"/>
            </w:tcMar>
          </w:tcPr>
          <w:p>
            <w:r>
              <w:rPr>
                <w:sz w:val="19"/>
                <w:szCs w:val="19"/>
              </w:rPr>
              <w:t xml:space="preserve">panel de las 17 empresas</w:t>
            </w:r>
          </w:p>
        </w:tc>
        <w:tc>
          <w:tcPr>
            <w:tcW w:type="pct" w:w="600"/>
            <w:shd w:fill="FAFCFD" w:val="clear"/>
            <w:tcMar>
              <w:top w:type="dxa" w:w="70"/>
              <w:left w:type="dxa" w:w="120"/>
              <w:bottom w:type="dxa" w:w="70"/>
              <w:right w:type="dxa" w:w="120"/>
            </w:tcMar>
          </w:tcPr>
          <w:p>
            <w:r>
              <w:rPr>
                <w:sz w:val="19"/>
                <w:szCs w:val="19"/>
              </w:rPr>
              <w:t xml:space="preserve">Sesión</w:t>
            </w:r>
          </w:p>
        </w:tc>
        <w:tc>
          <w:tcPr>
            <w:tcW w:type="pct" w:w="900"/>
            <w:shd w:fill="FAFCFD" w:val="clear"/>
            <w:tcMar>
              <w:top w:type="dxa" w:w="70"/>
              <w:left w:type="dxa" w:w="120"/>
              <w:bottom w:type="dxa" w:w="70"/>
              <w:right w:type="dxa" w:w="120"/>
            </w:tcMar>
          </w:tcPr>
          <w:p>
            <w:r>
              <w:rPr>
                <w:sz w:val="19"/>
                <w:szCs w:val="19"/>
              </w:rPr>
              <w:t xml:space="preserve">+0,041%</w:t>
            </w:r>
          </w:p>
        </w:tc>
        <w:tc>
          <w:tcPr>
            <w:tcW w:type="pct" w:w="650"/>
            <w:shd w:fill="FAFCFD" w:val="clear"/>
            <w:tcMar>
              <w:top w:type="dxa" w:w="70"/>
              <w:left w:type="dxa" w:w="120"/>
              <w:bottom w:type="dxa" w:w="70"/>
              <w:right w:type="dxa" w:w="120"/>
            </w:tcMar>
          </w:tcPr>
          <w:p>
            <w:r>
              <w:rPr>
                <w:sz w:val="19"/>
                <w:szCs w:val="19"/>
              </w:rPr>
              <w:t xml:space="preserve">0,656</w:t>
            </w:r>
          </w:p>
        </w:tc>
        <w:tc>
          <w:tcPr>
            <w:tcW w:type="pct" w:w="750"/>
            <w:shd w:fill="FAFCFD" w:val="clear"/>
            <w:tcMar>
              <w:top w:type="dxa" w:w="70"/>
              <w:left w:type="dxa" w:w="120"/>
              <w:bottom w:type="dxa" w:w="70"/>
              <w:right w:type="dxa" w:w="120"/>
            </w:tcMar>
          </w:tcPr>
          <w:p>
            <w:r>
              <w:rPr>
                <w:sz w:val="19"/>
                <w:szCs w:val="19"/>
              </w:rPr>
              <w:t xml:space="preserve">0,656</w:t>
            </w:r>
          </w:p>
        </w:tc>
      </w:tr>
      <w:tr>
        <w:trPr>
          <w:cantSplit/>
        </w:trPr>
        <w:tc>
          <w:tcPr>
            <w:tcW w:type="pct" w:w="1000"/>
            <w:shd w:fill="FFFFFF" w:val="clear"/>
            <w:tcMar>
              <w:top w:type="dxa" w:w="70"/>
              <w:left w:type="dxa" w:w="120"/>
              <w:bottom w:type="dxa" w:w="70"/>
              <w:right w:type="dxa" w:w="120"/>
            </w:tcMar>
          </w:tcPr>
          <w:p>
            <w:r>
              <w:rPr>
                <w:sz w:val="19"/>
                <w:szCs w:val="19"/>
              </w:rPr>
              <w:t xml:space="preserve">sin días electorales</w:t>
            </w:r>
          </w:p>
        </w:tc>
        <w:tc>
          <w:tcPr>
            <w:tcW w:type="pct" w:w="1100"/>
            <w:shd w:fill="FFFFFF" w:val="clear"/>
            <w:tcMar>
              <w:top w:type="dxa" w:w="70"/>
              <w:left w:type="dxa" w:w="120"/>
              <w:bottom w:type="dxa" w:w="70"/>
              <w:right w:type="dxa" w:w="120"/>
            </w:tcMar>
          </w:tcPr>
          <w:p>
            <w:r>
              <w:rPr>
                <w:sz w:val="19"/>
                <w:szCs w:val="19"/>
              </w:rPr>
              <w:t xml:space="preserve">mercado</w:t>
            </w:r>
          </w:p>
        </w:tc>
        <w:tc>
          <w:tcPr>
            <w:tcW w:type="pct" w:w="600"/>
            <w:shd w:fill="FFFFFF" w:val="clear"/>
            <w:tcMar>
              <w:top w:type="dxa" w:w="70"/>
              <w:left w:type="dxa" w:w="120"/>
              <w:bottom w:type="dxa" w:w="70"/>
              <w:right w:type="dxa" w:w="120"/>
            </w:tcMar>
          </w:tcPr>
          <w:p>
            <w:r>
              <w:rPr>
                <w:sz w:val="19"/>
                <w:szCs w:val="19"/>
              </w:rPr>
              <w:t xml:space="preserve">Apertura</w:t>
            </w:r>
          </w:p>
        </w:tc>
        <w:tc>
          <w:tcPr>
            <w:tcW w:type="pct" w:w="900"/>
            <w:shd w:fill="FFFFFF" w:val="clear"/>
            <w:tcMar>
              <w:top w:type="dxa" w:w="70"/>
              <w:left w:type="dxa" w:w="120"/>
              <w:bottom w:type="dxa" w:w="70"/>
              <w:right w:type="dxa" w:w="120"/>
            </w:tcMar>
          </w:tcPr>
          <w:p>
            <w:r>
              <w:rPr>
                <w:sz w:val="19"/>
                <w:szCs w:val="19"/>
              </w:rPr>
              <w:t xml:space="preserve">+0,059%</w:t>
            </w:r>
          </w:p>
        </w:tc>
        <w:tc>
          <w:tcPr>
            <w:tcW w:type="pct" w:w="650"/>
            <w:shd w:fill="FFFFFF" w:val="clear"/>
            <w:tcMar>
              <w:top w:type="dxa" w:w="70"/>
              <w:left w:type="dxa" w:w="120"/>
              <w:bottom w:type="dxa" w:w="70"/>
              <w:right w:type="dxa" w:w="120"/>
            </w:tcMar>
          </w:tcPr>
          <w:p>
            <w:r>
              <w:rPr>
                <w:sz w:val="19"/>
                <w:szCs w:val="19"/>
              </w:rPr>
              <w:t xml:space="preserve">0,154</w:t>
            </w:r>
          </w:p>
        </w:tc>
        <w:tc>
          <w:tcPr>
            <w:tcW w:type="pct" w:w="750"/>
            <w:shd w:fill="FFFFFF" w:val="clear"/>
            <w:tcMar>
              <w:top w:type="dxa" w:w="70"/>
              <w:left w:type="dxa" w:w="120"/>
              <w:bottom w:type="dxa" w:w="70"/>
              <w:right w:type="dxa" w:w="120"/>
            </w:tcMar>
          </w:tcPr>
          <w:p>
            <w:r>
              <w:rPr>
                <w:sz w:val="19"/>
                <w:szCs w:val="19"/>
              </w:rPr>
              <w:t xml:space="preserve">0,534</w:t>
            </w:r>
          </w:p>
        </w:tc>
      </w:tr>
      <w:tr>
        <w:trPr>
          <w:cantSplit/>
        </w:trPr>
        <w:tc>
          <w:tcPr>
            <w:tcW w:type="pct" w:w="1000"/>
            <w:shd w:fill="FAFCFD" w:val="clear"/>
            <w:tcMar>
              <w:top w:type="dxa" w:w="70"/>
              <w:left w:type="dxa" w:w="120"/>
              <w:bottom w:type="dxa" w:w="70"/>
              <w:right w:type="dxa" w:w="120"/>
            </w:tcMar>
          </w:tcPr>
          <w:p>
            <w:r>
              <w:rPr>
                <w:sz w:val="19"/>
                <w:szCs w:val="19"/>
              </w:rPr>
              <w:t xml:space="preserve">sin días electorales</w:t>
            </w:r>
          </w:p>
        </w:tc>
        <w:tc>
          <w:tcPr>
            <w:tcW w:type="pct" w:w="1100"/>
            <w:shd w:fill="FAFCFD" w:val="clear"/>
            <w:tcMar>
              <w:top w:type="dxa" w:w="70"/>
              <w:left w:type="dxa" w:w="120"/>
              <w:bottom w:type="dxa" w:w="70"/>
              <w:right w:type="dxa" w:w="120"/>
            </w:tcMar>
          </w:tcPr>
          <w:p>
            <w:r>
              <w:rPr>
                <w:sz w:val="19"/>
                <w:szCs w:val="19"/>
              </w:rPr>
              <w:t xml:space="preserve">panel de las 17 empresas</w:t>
            </w:r>
          </w:p>
        </w:tc>
        <w:tc>
          <w:tcPr>
            <w:tcW w:type="pct" w:w="600"/>
            <w:shd w:fill="FAFCFD" w:val="clear"/>
            <w:tcMar>
              <w:top w:type="dxa" w:w="70"/>
              <w:left w:type="dxa" w:w="120"/>
              <w:bottom w:type="dxa" w:w="70"/>
              <w:right w:type="dxa" w:w="120"/>
            </w:tcMar>
          </w:tcPr>
          <w:p>
            <w:r>
              <w:rPr>
                <w:sz w:val="19"/>
                <w:szCs w:val="19"/>
              </w:rPr>
              <w:t xml:space="preserve">Apertura</w:t>
            </w:r>
          </w:p>
        </w:tc>
        <w:tc>
          <w:tcPr>
            <w:tcW w:type="pct" w:w="900"/>
            <w:shd w:fill="FAFCFD" w:val="clear"/>
            <w:tcMar>
              <w:top w:type="dxa" w:w="70"/>
              <w:left w:type="dxa" w:w="120"/>
              <w:bottom w:type="dxa" w:w="70"/>
              <w:right w:type="dxa" w:w="120"/>
            </w:tcMar>
          </w:tcPr>
          <w:p>
            <w:r>
              <w:rPr>
                <w:sz w:val="19"/>
                <w:szCs w:val="19"/>
              </w:rPr>
              <w:t xml:space="preserve">+0,023%</w:t>
            </w:r>
          </w:p>
        </w:tc>
        <w:tc>
          <w:tcPr>
            <w:tcW w:type="pct" w:w="650"/>
            <w:shd w:fill="FAFCFD" w:val="clear"/>
            <w:tcMar>
              <w:top w:type="dxa" w:w="70"/>
              <w:left w:type="dxa" w:w="120"/>
              <w:bottom w:type="dxa" w:w="70"/>
              <w:right w:type="dxa" w:w="120"/>
            </w:tcMar>
          </w:tcPr>
          <w:p>
            <w:r>
              <w:rPr>
                <w:sz w:val="19"/>
                <w:szCs w:val="19"/>
              </w:rPr>
              <w:t xml:space="preserve">0,391</w:t>
            </w:r>
          </w:p>
        </w:tc>
        <w:tc>
          <w:tcPr>
            <w:tcW w:type="pct" w:w="750"/>
            <w:shd w:fill="FAFCFD" w:val="clear"/>
            <w:tcMar>
              <w:top w:type="dxa" w:w="70"/>
              <w:left w:type="dxa" w:w="120"/>
              <w:bottom w:type="dxa" w:w="70"/>
              <w:right w:type="dxa" w:w="120"/>
            </w:tcMar>
          </w:tcPr>
          <w:p>
            <w:r>
              <w:rPr>
                <w:sz w:val="19"/>
                <w:szCs w:val="19"/>
              </w:rPr>
              <w:t xml:space="preserve">0,534</w:t>
            </w:r>
          </w:p>
        </w:tc>
      </w:tr>
      <w:tr>
        <w:trPr>
          <w:cantSplit/>
        </w:trPr>
        <w:tc>
          <w:tcPr>
            <w:tcW w:type="pct" w:w="1000"/>
            <w:shd w:fill="FFFFFF" w:val="clear"/>
            <w:tcMar>
              <w:top w:type="dxa" w:w="70"/>
              <w:left w:type="dxa" w:w="120"/>
              <w:bottom w:type="dxa" w:w="70"/>
              <w:right w:type="dxa" w:w="120"/>
            </w:tcMar>
          </w:tcPr>
          <w:p>
            <w:r>
              <w:rPr>
                <w:sz w:val="19"/>
                <w:szCs w:val="19"/>
              </w:rPr>
              <w:t xml:space="preserve">sin días electorales</w:t>
            </w:r>
          </w:p>
        </w:tc>
        <w:tc>
          <w:tcPr>
            <w:tcW w:type="pct" w:w="1100"/>
            <w:shd w:fill="FFFFFF" w:val="clear"/>
            <w:tcMar>
              <w:top w:type="dxa" w:w="70"/>
              <w:left w:type="dxa" w:w="120"/>
              <w:bottom w:type="dxa" w:w="70"/>
              <w:right w:type="dxa" w:w="120"/>
            </w:tcMar>
          </w:tcPr>
          <w:p>
            <w:r>
              <w:rPr>
                <w:sz w:val="19"/>
                <w:szCs w:val="19"/>
              </w:rPr>
              <w:t xml:space="preserve">mercado</w:t>
            </w:r>
          </w:p>
        </w:tc>
        <w:tc>
          <w:tcPr>
            <w:tcW w:type="pct" w:w="600"/>
            <w:shd w:fill="FFFFFF" w:val="clear"/>
            <w:tcMar>
              <w:top w:type="dxa" w:w="70"/>
              <w:left w:type="dxa" w:w="120"/>
              <w:bottom w:type="dxa" w:w="70"/>
              <w:right w:type="dxa" w:w="120"/>
            </w:tcMar>
          </w:tcPr>
          <w:p>
            <w:r>
              <w:rPr>
                <w:sz w:val="19"/>
                <w:szCs w:val="19"/>
              </w:rPr>
              <w:t xml:space="preserve">Sesión</w:t>
            </w:r>
          </w:p>
        </w:tc>
        <w:tc>
          <w:tcPr>
            <w:tcW w:type="pct" w:w="900"/>
            <w:shd w:fill="FFFFFF" w:val="clear"/>
            <w:tcMar>
              <w:top w:type="dxa" w:w="70"/>
              <w:left w:type="dxa" w:w="120"/>
              <w:bottom w:type="dxa" w:w="70"/>
              <w:right w:type="dxa" w:w="120"/>
            </w:tcMar>
          </w:tcPr>
          <w:p>
            <w:r>
              <w:rPr>
                <w:sz w:val="19"/>
                <w:szCs w:val="19"/>
              </w:rPr>
              <w:t xml:space="preserve">+0,148%</w:t>
            </w:r>
          </w:p>
        </w:tc>
        <w:tc>
          <w:tcPr>
            <w:tcW w:type="pct" w:w="650"/>
            <w:shd w:fill="FFFFFF" w:val="clear"/>
            <w:tcMar>
              <w:top w:type="dxa" w:w="70"/>
              <w:left w:type="dxa" w:w="120"/>
              <w:bottom w:type="dxa" w:w="70"/>
              <w:right w:type="dxa" w:w="120"/>
            </w:tcMar>
          </w:tcPr>
          <w:p>
            <w:r>
              <w:rPr>
                <w:sz w:val="19"/>
                <w:szCs w:val="19"/>
              </w:rPr>
              <w:t xml:space="preserve">0,401</w:t>
            </w:r>
          </w:p>
        </w:tc>
        <w:tc>
          <w:tcPr>
            <w:tcW w:type="pct" w:w="750"/>
            <w:shd w:fill="FFFFFF" w:val="clear"/>
            <w:tcMar>
              <w:top w:type="dxa" w:w="70"/>
              <w:left w:type="dxa" w:w="120"/>
              <w:bottom w:type="dxa" w:w="70"/>
              <w:right w:type="dxa" w:w="120"/>
            </w:tcMar>
          </w:tcPr>
          <w:p>
            <w:r>
              <w:rPr>
                <w:sz w:val="19"/>
                <w:szCs w:val="19"/>
              </w:rPr>
              <w:t xml:space="preserve">0,534</w:t>
            </w:r>
          </w:p>
        </w:tc>
      </w:tr>
      <w:tr>
        <w:trPr>
          <w:cantSplit/>
        </w:trPr>
        <w:tc>
          <w:tcPr>
            <w:tcW w:type="pct" w:w="1000"/>
            <w:shd w:fill="FAFCFD" w:val="clear"/>
            <w:tcMar>
              <w:top w:type="dxa" w:w="70"/>
              <w:left w:type="dxa" w:w="120"/>
              <w:bottom w:type="dxa" w:w="70"/>
              <w:right w:type="dxa" w:w="120"/>
            </w:tcMar>
          </w:tcPr>
          <w:p>
            <w:r>
              <w:rPr>
                <w:sz w:val="19"/>
                <w:szCs w:val="19"/>
              </w:rPr>
              <w:t xml:space="preserve">sin días electorales</w:t>
            </w:r>
          </w:p>
        </w:tc>
        <w:tc>
          <w:tcPr>
            <w:tcW w:type="pct" w:w="1100"/>
            <w:shd w:fill="FAFCFD" w:val="clear"/>
            <w:tcMar>
              <w:top w:type="dxa" w:w="70"/>
              <w:left w:type="dxa" w:w="120"/>
              <w:bottom w:type="dxa" w:w="70"/>
              <w:right w:type="dxa" w:w="120"/>
            </w:tcMar>
          </w:tcPr>
          <w:p>
            <w:r>
              <w:rPr>
                <w:sz w:val="19"/>
                <w:szCs w:val="19"/>
              </w:rPr>
              <w:t xml:space="preserve">panel de las 17 empresas</w:t>
            </w:r>
          </w:p>
        </w:tc>
        <w:tc>
          <w:tcPr>
            <w:tcW w:type="pct" w:w="600"/>
            <w:shd w:fill="FAFCFD" w:val="clear"/>
            <w:tcMar>
              <w:top w:type="dxa" w:w="70"/>
              <w:left w:type="dxa" w:w="120"/>
              <w:bottom w:type="dxa" w:w="70"/>
              <w:right w:type="dxa" w:w="120"/>
            </w:tcMar>
          </w:tcPr>
          <w:p>
            <w:r>
              <w:rPr>
                <w:sz w:val="19"/>
                <w:szCs w:val="19"/>
              </w:rPr>
              <w:t xml:space="preserve">Sesión</w:t>
            </w:r>
          </w:p>
        </w:tc>
        <w:tc>
          <w:tcPr>
            <w:tcW w:type="pct" w:w="900"/>
            <w:shd w:fill="FAFCFD" w:val="clear"/>
            <w:tcMar>
              <w:top w:type="dxa" w:w="70"/>
              <w:left w:type="dxa" w:w="120"/>
              <w:bottom w:type="dxa" w:w="70"/>
              <w:right w:type="dxa" w:w="120"/>
            </w:tcMar>
          </w:tcPr>
          <w:p>
            <w:r>
              <w:rPr>
                <w:sz w:val="19"/>
                <w:szCs w:val="19"/>
              </w:rPr>
              <w:t xml:space="preserve">+0,016%</w:t>
            </w:r>
          </w:p>
        </w:tc>
        <w:tc>
          <w:tcPr>
            <w:tcW w:type="pct" w:w="650"/>
            <w:shd w:fill="FAFCFD" w:val="clear"/>
            <w:tcMar>
              <w:top w:type="dxa" w:w="70"/>
              <w:left w:type="dxa" w:w="120"/>
              <w:bottom w:type="dxa" w:w="70"/>
              <w:right w:type="dxa" w:w="120"/>
            </w:tcMar>
          </w:tcPr>
          <w:p>
            <w:r>
              <w:rPr>
                <w:sz w:val="19"/>
                <w:szCs w:val="19"/>
              </w:rPr>
              <w:t xml:space="preserve">0,861</w:t>
            </w:r>
          </w:p>
        </w:tc>
        <w:tc>
          <w:tcPr>
            <w:tcW w:type="pct" w:w="750"/>
            <w:shd w:fill="FAFCFD" w:val="clear"/>
            <w:tcMar>
              <w:top w:type="dxa" w:w="70"/>
              <w:left w:type="dxa" w:w="120"/>
              <w:bottom w:type="dxa" w:w="70"/>
              <w:right w:type="dxa" w:w="120"/>
            </w:tcMar>
          </w:tcPr>
          <w:p>
            <w:r>
              <w:rPr>
                <w:sz w:val="19"/>
                <w:szCs w:val="19"/>
              </w:rPr>
              <w:t xml:space="preserve">0,861</w:t>
            </w:r>
          </w:p>
        </w:tc>
      </w:tr>
    </w:tbl>
    <w:p>
      <w:pPr>
        <w:spacing w:after="160" w:line="300"/>
      </w:pPr>
      <w:r>
        <w:rPr>
          <w:i/>
          <w:iCs/>
          <w:color w:val="5C6B7A"/>
          <w:sz w:val="18"/>
          <w:szCs w:val="18"/>
        </w:rPr>
        <w:t xml:space="preserve">Efecto por desvío: cuánto cambia el retorno promedio cuando el tono de la noche sube un desvío. Para dimensionarlo: el retorno de apertura del promedio de las 47 varía 1,1% de un día a otro (un desvío), y el de la sesión 2,1%.</w:t>
      </w:r>
    </w:p>
    <w:p>
      <w:pPr>
        <w:spacing w:after="160"/>
        <w:jc w:val="center"/>
      </w:pPr>
      <w:r>
        <w:drawing>
          <wp:inline distT="0" distB="0" distL="0" distR="0">
            <wp:extent cx="5619750" cy="2352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619750" cy="2352675"/>
                    </a:xfrm>
                    <a:prstGeom prst="rect">
                      <a:avLst/>
                    </a:prstGeom>
                  </pic:spPr>
                </pic:pic>
              </a:graphicData>
            </a:graphic>
          </wp:inline>
        </w:drawing>
      </w:r>
    </w:p>
    <w:p>
      <w:pPr>
        <w:spacing w:after="160" w:line="300"/>
      </w:pPr>
      <w:r>
        <w:rPr>
          <w:i/>
          <w:iCs/>
          <w:color w:val="5C6B7A"/>
          <w:sz w:val="18"/>
          <w:szCs w:val="18"/>
        </w:rPr>
        <w:t xml:space="preserve">Cada punto es una rueda. Horizontal: tono anormal de las notas publicadas con el mercado cerrado. Vertical: retorno promedio de las 47 acciones.</w:t>
      </w:r>
    </w:p>
    <w:p>
      <w:pPr>
        <w:spacing w:after="160" w:line="300"/>
      </w:pPr>
      <w:r>
        <w:t xml:space="preserve">El signo va en la dirección de la hipótesis: con notas de la noche más positivas, el mercado abre algo más arriba (0,18% por desvío del tono). Pero ninguna prueba llega al 5% (mercado p = 0,107; empresas p = 0,105). Sin los dos días electorales, el efecto del mercado se achica a 0,06% (p = 0,154) y el de las empresas a 0,02% (p = 0,391). Durante la sesión no hay nada.</w:t>
      </w:r>
    </w:p>
    <w:p>
      <w:pPr>
        <w:spacing w:after="160" w:line="300"/>
      </w:pPr>
      <w:r>
        <w:t xml:space="preserve">Por empresa, 1 de 34 pruebas da p &lt; 0,05 sin corregir y 0 después de la corrección: lo esperable por casualidad.</w:t>
      </w:r>
    </w:p>
    <w:p>
      <w:pPr>
        <w:pStyle w:val="Heading1"/>
        <w:keepNext/>
        <w:spacing w:after="160" w:before="360"/>
      </w:pPr>
      <w:r>
        <w:t xml:space="preserve">4. Los días electorales</w:t>
      </w:r>
    </w:p>
    <w:tbl>
      <w:tblPr>
        <w:tblW w:type="pct" w:w="5000"/>
        <w:tblBorders>
          <w:top w:val="single" w:color="D9E0E7" w:sz="4"/>
          <w:left w:val="single" w:color="D9E0E7" w:sz="4"/>
          <w:bottom w:val="single" w:color="D9E0E7" w:sz="4"/>
          <w:right w:val="single" w:color="D9E0E7" w:sz="4"/>
          <w:insideH w:val="single" w:color="D9E0E7" w:sz="4"/>
          <w:insideV w:val="single" w:color="D9E0E7" w:sz="4"/>
        </w:tblBorders>
      </w:tblPr>
      <w:tblGrid>
        <w:gridCol w:w="3084"/>
        <w:gridCol w:w="1542"/>
        <w:gridCol w:w="1542"/>
        <w:gridCol w:w="1735"/>
        <w:gridCol w:w="1735"/>
      </w:tblGrid>
      <w:tr>
        <w:trPr>
          <w:tblHeader/>
        </w:trPr>
        <w:tc>
          <w:tcPr>
            <w:tcW w:type="pct" w:w="1600"/>
            <w:shd w:fill="1C3A5C" w:val="clear"/>
            <w:tcMar>
              <w:top w:type="dxa" w:w="80"/>
              <w:left w:type="dxa" w:w="120"/>
              <w:bottom w:type="dxa" w:w="80"/>
              <w:right w:type="dxa" w:w="120"/>
            </w:tcMar>
          </w:tcPr>
          <w:p>
            <w:r>
              <w:rPr>
                <w:b/>
                <w:bCs/>
                <w:color w:val="FFFFFF"/>
                <w:sz w:val="19"/>
                <w:szCs w:val="19"/>
              </w:rPr>
              <w:t xml:space="preserve">Rueda</w:t>
            </w:r>
          </w:p>
        </w:tc>
        <w:tc>
          <w:tcPr>
            <w:tcW w:type="pct" w:w="800"/>
            <w:shd w:fill="1C3A5C" w:val="clear"/>
            <w:tcMar>
              <w:top w:type="dxa" w:w="80"/>
              <w:left w:type="dxa" w:w="120"/>
              <w:bottom w:type="dxa" w:w="80"/>
              <w:right w:type="dxa" w:w="120"/>
            </w:tcMar>
          </w:tcPr>
          <w:p>
            <w:r>
              <w:rPr>
                <w:b/>
                <w:bCs/>
                <w:color w:val="FFFFFF"/>
                <w:sz w:val="19"/>
                <w:szCs w:val="19"/>
              </w:rPr>
              <w:t xml:space="preserve">Notas de la noche</w:t>
            </w:r>
          </w:p>
        </w:tc>
        <w:tc>
          <w:tcPr>
            <w:tcW w:type="pct" w:w="800"/>
            <w:shd w:fill="1C3A5C" w:val="clear"/>
            <w:tcMar>
              <w:top w:type="dxa" w:w="80"/>
              <w:left w:type="dxa" w:w="120"/>
              <w:bottom w:type="dxa" w:w="80"/>
              <w:right w:type="dxa" w:w="120"/>
            </w:tcMar>
          </w:tcPr>
          <w:p>
            <w:r>
              <w:rPr>
                <w:b/>
                <w:bCs/>
                <w:color w:val="FFFFFF"/>
                <w:sz w:val="19"/>
                <w:szCs w:val="19"/>
              </w:rPr>
              <w:t xml:space="preserve">Tono anormal</w:t>
            </w:r>
          </w:p>
        </w:tc>
        <w:tc>
          <w:tcPr>
            <w:tcW w:type="pct" w:w="900"/>
            <w:shd w:fill="1C3A5C" w:val="clear"/>
            <w:tcMar>
              <w:top w:type="dxa" w:w="80"/>
              <w:left w:type="dxa" w:w="120"/>
              <w:bottom w:type="dxa" w:w="80"/>
              <w:right w:type="dxa" w:w="120"/>
            </w:tcMar>
          </w:tcPr>
          <w:p>
            <w:r>
              <w:rPr>
                <w:b/>
                <w:bCs/>
                <w:color w:val="FFFFFF"/>
                <w:sz w:val="19"/>
                <w:szCs w:val="19"/>
              </w:rPr>
              <w:t xml:space="preserve">Retorno de apertura</w:t>
            </w:r>
          </w:p>
        </w:tc>
        <w:tc>
          <w:tcPr>
            <w:tcW w:type="pct" w:w="900"/>
            <w:shd w:fill="1C3A5C" w:val="clear"/>
            <w:tcMar>
              <w:top w:type="dxa" w:w="80"/>
              <w:left w:type="dxa" w:w="120"/>
              <w:bottom w:type="dxa" w:w="80"/>
              <w:right w:type="dxa" w:w="120"/>
            </w:tcMar>
          </w:tcPr>
          <w:p>
            <w:r>
              <w:rPr>
                <w:b/>
                <w:bCs/>
                <w:color w:val="FFFFFF"/>
                <w:sz w:val="19"/>
                <w:szCs w:val="19"/>
              </w:rPr>
              <w:t xml:space="preserve">Retorno de la sesión</w:t>
            </w:r>
          </w:p>
        </w:tc>
      </w:tr>
      <w:tr>
        <w:trPr>
          <w:cantSplit/>
        </w:trPr>
        <w:tc>
          <w:tcPr>
            <w:tcW w:type="pct" w:w="1600"/>
            <w:shd w:fill="FFFFFF" w:val="clear"/>
            <w:tcMar>
              <w:top w:type="dxa" w:w="70"/>
              <w:left w:type="dxa" w:w="120"/>
              <w:bottom w:type="dxa" w:w="70"/>
              <w:right w:type="dxa" w:w="120"/>
            </w:tcMar>
          </w:tcPr>
          <w:p>
            <w:r>
              <w:rPr>
                <w:sz w:val="19"/>
                <w:szCs w:val="19"/>
              </w:rPr>
              <w:t xml:space="preserve">08/09/2025 (tras las bonaerenses)</w:t>
            </w:r>
          </w:p>
        </w:tc>
        <w:tc>
          <w:tcPr>
            <w:tcW w:type="pct" w:w="800"/>
            <w:shd w:fill="FFFFFF" w:val="clear"/>
            <w:tcMar>
              <w:top w:type="dxa" w:w="70"/>
              <w:left w:type="dxa" w:w="120"/>
              <w:bottom w:type="dxa" w:w="70"/>
              <w:right w:type="dxa" w:w="120"/>
            </w:tcMar>
          </w:tcPr>
          <w:p>
            <w:r>
              <w:rPr>
                <w:sz w:val="19"/>
                <w:szCs w:val="19"/>
              </w:rPr>
              <w:t xml:space="preserve">66</w:t>
            </w:r>
          </w:p>
        </w:tc>
        <w:tc>
          <w:tcPr>
            <w:tcW w:type="pct" w:w="800"/>
            <w:shd w:fill="FFFFFF" w:val="clear"/>
            <w:tcMar>
              <w:top w:type="dxa" w:w="70"/>
              <w:left w:type="dxa" w:w="120"/>
              <w:bottom w:type="dxa" w:w="70"/>
              <w:right w:type="dxa" w:w="120"/>
            </w:tcMar>
          </w:tcPr>
          <w:p>
            <w:r>
              <w:rPr>
                <w:sz w:val="19"/>
                <w:szCs w:val="19"/>
              </w:rPr>
              <w:t xml:space="preserve">-5,3</w:t>
            </w:r>
          </w:p>
        </w:tc>
        <w:tc>
          <w:tcPr>
            <w:tcW w:type="pct" w:w="900"/>
            <w:shd w:fill="FFFFFF" w:val="clear"/>
            <w:tcMar>
              <w:top w:type="dxa" w:w="70"/>
              <w:left w:type="dxa" w:w="120"/>
              <w:bottom w:type="dxa" w:w="70"/>
              <w:right w:type="dxa" w:w="120"/>
            </w:tcMar>
          </w:tcPr>
          <w:p>
            <w:r>
              <w:rPr>
                <w:sz w:val="19"/>
                <w:szCs w:val="19"/>
              </w:rPr>
              <w:t xml:space="preserve">-6,6%</w:t>
            </w:r>
          </w:p>
        </w:tc>
        <w:tc>
          <w:tcPr>
            <w:tcW w:type="pct" w:w="900"/>
            <w:shd w:fill="FFFFFF" w:val="clear"/>
            <w:tcMar>
              <w:top w:type="dxa" w:w="70"/>
              <w:left w:type="dxa" w:w="120"/>
              <w:bottom w:type="dxa" w:w="70"/>
              <w:right w:type="dxa" w:w="120"/>
            </w:tcMar>
          </w:tcPr>
          <w:p>
            <w:r>
              <w:rPr>
                <w:sz w:val="19"/>
                <w:szCs w:val="19"/>
              </w:rPr>
              <w:t xml:space="preserve">-2,8%</w:t>
            </w:r>
          </w:p>
        </w:tc>
      </w:tr>
      <w:tr>
        <w:trPr>
          <w:cantSplit/>
        </w:trPr>
        <w:tc>
          <w:tcPr>
            <w:tcW w:type="pct" w:w="1600"/>
            <w:shd w:fill="FAFCFD" w:val="clear"/>
            <w:tcMar>
              <w:top w:type="dxa" w:w="70"/>
              <w:left w:type="dxa" w:w="120"/>
              <w:bottom w:type="dxa" w:w="70"/>
              <w:right w:type="dxa" w:w="120"/>
            </w:tcMar>
          </w:tcPr>
          <w:p>
            <w:r>
              <w:rPr>
                <w:sz w:val="19"/>
                <w:szCs w:val="19"/>
              </w:rPr>
              <w:t xml:space="preserve">27/10/2025 (tras las legislativas)</w:t>
            </w:r>
          </w:p>
        </w:tc>
        <w:tc>
          <w:tcPr>
            <w:tcW w:type="pct" w:w="800"/>
            <w:shd w:fill="FAFCFD" w:val="clear"/>
            <w:tcMar>
              <w:top w:type="dxa" w:w="70"/>
              <w:left w:type="dxa" w:w="120"/>
              <w:bottom w:type="dxa" w:w="70"/>
              <w:right w:type="dxa" w:w="120"/>
            </w:tcMar>
          </w:tcPr>
          <w:p>
            <w:r>
              <w:rPr>
                <w:sz w:val="19"/>
                <w:szCs w:val="19"/>
              </w:rPr>
              <w:t xml:space="preserve">81</w:t>
            </w:r>
          </w:p>
        </w:tc>
        <w:tc>
          <w:tcPr>
            <w:tcW w:type="pct" w:w="800"/>
            <w:shd w:fill="FAFCFD" w:val="clear"/>
            <w:tcMar>
              <w:top w:type="dxa" w:w="70"/>
              <w:left w:type="dxa" w:w="120"/>
              <w:bottom w:type="dxa" w:w="70"/>
              <w:right w:type="dxa" w:w="120"/>
            </w:tcMar>
          </w:tcPr>
          <w:p>
            <w:r>
              <w:rPr>
                <w:sz w:val="19"/>
                <w:szCs w:val="19"/>
              </w:rPr>
              <w:t xml:space="preserve">8,5</w:t>
            </w:r>
          </w:p>
        </w:tc>
        <w:tc>
          <w:tcPr>
            <w:tcW w:type="pct" w:w="900"/>
            <w:shd w:fill="FAFCFD" w:val="clear"/>
            <w:tcMar>
              <w:top w:type="dxa" w:w="70"/>
              <w:left w:type="dxa" w:w="120"/>
              <w:bottom w:type="dxa" w:w="70"/>
              <w:right w:type="dxa" w:w="120"/>
            </w:tcMar>
          </w:tcPr>
          <w:p>
            <w:r>
              <w:rPr>
                <w:sz w:val="19"/>
                <w:szCs w:val="19"/>
              </w:rPr>
              <w:t xml:space="preserve">13,4%</w:t>
            </w:r>
          </w:p>
        </w:tc>
        <w:tc>
          <w:tcPr>
            <w:tcW w:type="pct" w:w="900"/>
            <w:shd w:fill="FAFCFD" w:val="clear"/>
            <w:tcMar>
              <w:top w:type="dxa" w:w="70"/>
              <w:left w:type="dxa" w:w="120"/>
              <w:bottom w:type="dxa" w:w="70"/>
              <w:right w:type="dxa" w:w="120"/>
            </w:tcMar>
          </w:tcPr>
          <w:p>
            <w:r>
              <w:rPr>
                <w:sz w:val="19"/>
                <w:szCs w:val="19"/>
              </w:rPr>
              <w:t xml:space="preserve">5,6%</w:t>
            </w:r>
          </w:p>
        </w:tc>
      </w:tr>
    </w:tbl>
    <w:p>
      <w:pPr>
        <w:spacing w:after="160" w:line="300"/>
      </w:pPr>
      <w:r>
        <w:t xml:space="preserve">Los dos días electorales son exactamente el caso que plantea la hipótesis: noticias de la noche muy positivas o muy negativas, y una apertura que salta en la misma dirección. Pero lo que mueve al mercado ahí es el resultado de la elección, no el tono con que los medios lo cuentan. Fuera de esos dos días, el tono de la noche casi no se relaciona con la apertura.</w:t>
      </w:r>
    </w:p>
    <w:p>
      <w:pPr>
        <w:pStyle w:val="Heading1"/>
        <w:keepNext/>
        <w:spacing w:after="160" w:before="360"/>
      </w:pPr>
      <w:r>
        <w:t xml:space="preserve">5. La otra dirección, otra vez</w:t>
      </w:r>
    </w:p>
    <w:p>
      <w:pPr>
        <w:spacing w:after="160" w:line="300"/>
      </w:pPr>
      <w:r>
        <w:t xml:space="preserve">El tono de las notas de la noche se relaciona fuerte con cómo cerró el mercado ese mismo día (correlación 0,42): después de una rueda buena, las notas de la noche son más positivas. Es el mismo resultado de U6 visto desde otro lado: los medios cuentan lo que hizo el mercado. Por eso el modelo descuenta el retorno del día anterior; si no, ese reflejo se confundiría con un efecto de las noticias.</w:t>
      </w:r>
    </w:p>
    <w:p>
      <w:pPr>
        <w:pStyle w:val="Heading1"/>
        <w:keepNext/>
        <w:spacing w:after="160" w:before="360"/>
      </w:pPr>
      <w:r>
        <w:t xml:space="preserve">6. Conclusión</w:t>
      </w:r>
    </w:p>
    <w:p>
      <w:pPr>
        <w:spacing w:after="160" w:line="300"/>
        <w:ind w:left="360" w:hanging="240"/>
      </w:pPr>
      <w:r>
        <w:t xml:space="preserve">•  </w:t>
      </w:r>
      <w:r>
        <w:rPr>
          <w:b/>
          <w:bCs/>
        </w:rPr>
        <w:t xml:space="preserve">La hipótesis principal no encuentra apoyo. </w:t>
      </w:r>
      <w:r>
        <w:t xml:space="preserve">Ni con la prueba más favorable, que usa el orden real en el tiempo, el tono de las noticias anticipa los precios a un nivel significativo.</w:t>
      </w:r>
    </w:p>
    <w:p>
      <w:pPr>
        <w:spacing w:after="160" w:line="300"/>
        <w:ind w:left="360" w:hanging="240"/>
      </w:pPr>
      <w:r>
        <w:t xml:space="preserve">•  </w:t>
      </w:r>
      <w:r>
        <w:rPr>
          <w:b/>
          <w:bCs/>
        </w:rPr>
        <w:t xml:space="preserve">Hay un indicio débil, del signo esperado. </w:t>
      </w:r>
      <w:r>
        <w:t xml:space="preserve">Se apoya en buena parte en los días electorales, donde la noticia es el hecho mismo.</w:t>
      </w:r>
    </w:p>
    <w:p>
      <w:pPr>
        <w:spacing w:after="160" w:line="300"/>
        <w:ind w:left="360" w:hanging="240"/>
      </w:pPr>
      <w:r>
        <w:t xml:space="preserve">•  </w:t>
      </w:r>
      <w:r>
        <w:rPr>
          <w:b/>
          <w:bCs/>
        </w:rPr>
        <w:t xml:space="preserve">Encaja con un mercado que incorpora la información rápido. </w:t>
      </w:r>
      <w:r>
        <w:t xml:space="preserve">Los hechos grandes (las elecciones) se reflejan de inmediato en la apertura. El tono habitual de la cobertura no agrega información que el precio no tenga ya, y en cambio sí refleja lo que el precio ya hizo.</w:t>
      </w:r>
    </w:p>
    <w:p>
      <w:pPr>
        <w:pStyle w:val="Heading1"/>
        <w:keepNext/>
        <w:spacing w:after="160" w:before="360"/>
      </w:pPr>
      <w:r>
        <w:t xml:space="preserve">7. Controles</w:t>
      </w:r>
    </w:p>
    <w:tbl>
      <w:tblPr>
        <w:tblW w:type="pct" w:w="5000"/>
        <w:tblBorders>
          <w:top w:val="single" w:color="D9E0E7" w:sz="4"/>
          <w:left w:val="single" w:color="D9E0E7" w:sz="4"/>
          <w:bottom w:val="single" w:color="D9E0E7" w:sz="4"/>
          <w:right w:val="single" w:color="D9E0E7" w:sz="4"/>
          <w:insideH w:val="single" w:color="D9E0E7" w:sz="4"/>
          <w:insideV w:val="single" w:color="D9E0E7" w:sz="4"/>
        </w:tblBorders>
      </w:tblPr>
      <w:tblGrid>
        <w:gridCol w:w="7903"/>
        <w:gridCol w:w="1735"/>
      </w:tblGrid>
      <w:tr>
        <w:trPr>
          <w:tblHeader/>
        </w:trPr>
        <w:tc>
          <w:tcPr>
            <w:tcW w:type="pct" w:w="4100"/>
            <w:shd w:fill="1C3A5C" w:val="clear"/>
            <w:tcMar>
              <w:top w:type="dxa" w:w="80"/>
              <w:left w:type="dxa" w:w="120"/>
              <w:bottom w:type="dxa" w:w="80"/>
              <w:right w:type="dxa" w:w="120"/>
            </w:tcMar>
          </w:tcPr>
          <w:p>
            <w:r>
              <w:rPr>
                <w:b/>
                <w:bCs/>
                <w:color w:val="FFFFFF"/>
                <w:sz w:val="19"/>
                <w:szCs w:val="19"/>
              </w:rPr>
              <w:t xml:space="preserve">Control</w:t>
            </w:r>
          </w:p>
        </w:tc>
        <w:tc>
          <w:tcPr>
            <w:tcW w:type="pct" w:w="900"/>
            <w:shd w:fill="1C3A5C" w:val="clear"/>
            <w:tcMar>
              <w:top w:type="dxa" w:w="80"/>
              <w:left w:type="dxa" w:w="120"/>
              <w:bottom w:type="dxa" w:w="80"/>
              <w:right w:type="dxa" w:w="120"/>
            </w:tcMar>
          </w:tcPr>
          <w:p>
            <w:r>
              <w:rPr>
                <w:b/>
                <w:bCs/>
                <w:color w:val="FFFFFF"/>
                <w:sz w:val="19"/>
                <w:szCs w:val="19"/>
              </w:rPr>
              <w:t xml:space="preserve">Resultado</w:t>
            </w:r>
          </w:p>
        </w:tc>
      </w:tr>
      <w:tr>
        <w:trPr>
          <w:cantSplit/>
        </w:trPr>
        <w:tc>
          <w:tcPr>
            <w:tcW w:type="pct" w:w="4100"/>
            <w:shd w:fill="FFFFFF" w:val="clear"/>
            <w:tcMar>
              <w:top w:type="dxa" w:w="70"/>
              <w:left w:type="dxa" w:w="120"/>
              <w:bottom w:type="dxa" w:w="70"/>
              <w:right w:type="dxa" w:w="120"/>
            </w:tcMar>
          </w:tcPr>
          <w:p>
            <w:r>
              <w:rPr>
                <w:sz w:val="19"/>
                <w:szCs w:val="19"/>
              </w:rPr>
              <w:t xml:space="preserve">Ninguna nota pre-apertura se publicó durante la sesión de su rueda (11:00 a 17:00)</w:t>
            </w:r>
          </w:p>
        </w:tc>
        <w:tc>
          <w:tcPr>
            <w:tcW w:type="pct" w:w="900"/>
            <w:shd w:fill="FFFFFF" w:val="clear"/>
            <w:tcMar>
              <w:top w:type="dxa" w:w="70"/>
              <w:left w:type="dxa" w:w="120"/>
              <w:bottom w:type="dxa" w:w="70"/>
              <w:right w:type="dxa" w:w="120"/>
            </w:tcMar>
          </w:tcPr>
          <w:p>
            <w:r>
              <w:rPr>
                <w:sz w:val="19"/>
                <w:szCs w:val="19"/>
              </w:rPr>
              <w:t xml:space="preserve">Pasa</w:t>
            </w:r>
          </w:p>
        </w:tc>
      </w:tr>
      <w:tr>
        <w:trPr>
          <w:cantSplit/>
        </w:trPr>
        <w:tc>
          <w:tcPr>
            <w:tcW w:type="pct" w:w="4100"/>
            <w:shd w:fill="FAFCFD" w:val="clear"/>
            <w:tcMar>
              <w:top w:type="dxa" w:w="70"/>
              <w:left w:type="dxa" w:w="120"/>
              <w:bottom w:type="dxa" w:w="70"/>
              <w:right w:type="dxa" w:w="120"/>
            </w:tcMar>
          </w:tcPr>
          <w:p>
            <w:r>
              <w:rPr>
                <w:sz w:val="19"/>
                <w:szCs w:val="19"/>
              </w:rPr>
              <w:t xml:space="preserve">Ninguna nota pre-apertura tiene hora sospechosa</w:t>
            </w:r>
          </w:p>
        </w:tc>
        <w:tc>
          <w:tcPr>
            <w:tcW w:type="pct" w:w="900"/>
            <w:shd w:fill="FAFCFD" w:val="clear"/>
            <w:tcMar>
              <w:top w:type="dxa" w:w="70"/>
              <w:left w:type="dxa" w:w="120"/>
              <w:bottom w:type="dxa" w:w="70"/>
              <w:right w:type="dxa" w:w="120"/>
            </w:tcMar>
          </w:tcPr>
          <w:p>
            <w:r>
              <w:rPr>
                <w:sz w:val="19"/>
                <w:szCs w:val="19"/>
              </w:rPr>
              <w:t xml:space="preserve">Pasa</w:t>
            </w:r>
          </w:p>
        </w:tc>
      </w:tr>
      <w:tr>
        <w:trPr>
          <w:cantSplit/>
        </w:trPr>
        <w:tc>
          <w:tcPr>
            <w:tcW w:type="pct" w:w="4100"/>
            <w:shd w:fill="FFFFFF" w:val="clear"/>
            <w:tcMar>
              <w:top w:type="dxa" w:w="70"/>
              <w:left w:type="dxa" w:w="120"/>
              <w:bottom w:type="dxa" w:w="70"/>
              <w:right w:type="dxa" w:w="120"/>
            </w:tcMar>
          </w:tcPr>
          <w:p>
            <w:r>
              <w:rPr>
                <w:sz w:val="19"/>
                <w:szCs w:val="19"/>
              </w:rPr>
              <w:t xml:space="preserve">Todas las ruedas tienen notas pre-apertura</w:t>
            </w:r>
          </w:p>
        </w:tc>
        <w:tc>
          <w:tcPr>
            <w:tcW w:type="pct" w:w="900"/>
            <w:shd w:fill="FFFFFF" w:val="clear"/>
            <w:tcMar>
              <w:top w:type="dxa" w:w="70"/>
              <w:left w:type="dxa" w:w="120"/>
              <w:bottom w:type="dxa" w:w="70"/>
              <w:right w:type="dxa" w:w="120"/>
            </w:tcMar>
          </w:tcPr>
          <w:p>
            <w:r>
              <w:rPr>
                <w:sz w:val="19"/>
                <w:szCs w:val="19"/>
              </w:rPr>
              <w:t xml:space="preserve">Pasa</w:t>
            </w:r>
          </w:p>
        </w:tc>
      </w:tr>
      <w:tr>
        <w:trPr>
          <w:cantSplit/>
        </w:trPr>
        <w:tc>
          <w:tcPr>
            <w:tcW w:type="pct" w:w="4100"/>
            <w:shd w:fill="FAFCFD" w:val="clear"/>
            <w:tcMar>
              <w:top w:type="dxa" w:w="70"/>
              <w:left w:type="dxa" w:w="120"/>
              <w:bottom w:type="dxa" w:w="70"/>
              <w:right w:type="dxa" w:w="120"/>
            </w:tcMar>
          </w:tcPr>
          <w:p>
            <w:r>
              <w:rPr>
                <w:sz w:val="19"/>
                <w:szCs w:val="19"/>
              </w:rPr>
              <w:t xml:space="preserve">Los modelos principales usan 224 ruedas (mercado) con todas las ruedas</w:t>
            </w:r>
          </w:p>
        </w:tc>
        <w:tc>
          <w:tcPr>
            <w:tcW w:type="pct" w:w="900"/>
            <w:shd w:fill="FAFCFD" w:val="clear"/>
            <w:tcMar>
              <w:top w:type="dxa" w:w="70"/>
              <w:left w:type="dxa" w:w="120"/>
              <w:bottom w:type="dxa" w:w="70"/>
              <w:right w:type="dxa" w:w="120"/>
            </w:tcMar>
          </w:tcPr>
          <w:p>
            <w:r>
              <w:rPr>
                <w:sz w:val="19"/>
                <w:szCs w:val="19"/>
              </w:rPr>
              <w:t xml:space="preserve">Pasa</w:t>
            </w:r>
          </w:p>
        </w:tc>
      </w:tr>
      <w:tr>
        <w:trPr>
          <w:cantSplit/>
        </w:trPr>
        <w:tc>
          <w:tcPr>
            <w:tcW w:type="pct" w:w="4100"/>
            <w:shd w:fill="FFFFFF" w:val="clear"/>
            <w:tcMar>
              <w:top w:type="dxa" w:w="70"/>
              <w:left w:type="dxa" w:w="120"/>
              <w:bottom w:type="dxa" w:w="70"/>
              <w:right w:type="dxa" w:w="120"/>
            </w:tcMar>
          </w:tcPr>
          <w:p>
            <w:r>
              <w:rPr>
                <w:sz w:val="19"/>
                <w:szCs w:val="19"/>
              </w:rPr>
              <w:t xml:space="preserve">El panel tiene las 17 empresas</w:t>
            </w:r>
          </w:p>
        </w:tc>
        <w:tc>
          <w:tcPr>
            <w:tcW w:type="pct" w:w="900"/>
            <w:shd w:fill="FFFFFF" w:val="clear"/>
            <w:tcMar>
              <w:top w:type="dxa" w:w="70"/>
              <w:left w:type="dxa" w:w="120"/>
              <w:bottom w:type="dxa" w:w="70"/>
              <w:right w:type="dxa" w:w="120"/>
            </w:tcMar>
          </w:tcPr>
          <w:p>
            <w:r>
              <w:rPr>
                <w:sz w:val="19"/>
                <w:szCs w:val="19"/>
              </w:rPr>
              <w:t xml:space="preserve">Pasa</w:t>
            </w:r>
          </w:p>
        </w:tc>
      </w:tr>
      <w:tr>
        <w:trPr>
          <w:cantSplit/>
        </w:trPr>
        <w:tc>
          <w:tcPr>
            <w:tcW w:type="pct" w:w="4100"/>
            <w:shd w:fill="FAFCFD" w:val="clear"/>
            <w:tcMar>
              <w:top w:type="dxa" w:w="70"/>
              <w:left w:type="dxa" w:w="120"/>
              <w:bottom w:type="dxa" w:w="70"/>
              <w:right w:type="dxa" w:w="120"/>
            </w:tcMar>
          </w:tcPr>
          <w:p>
            <w:r>
              <w:rPr>
                <w:sz w:val="19"/>
                <w:szCs w:val="19"/>
              </w:rPr>
              <w:t xml:space="preserve">Calibración: con el tono mezclado al azar, entre 2% y 9% de p &lt; 0,05 (dio 4.7%)</w:t>
            </w:r>
          </w:p>
        </w:tc>
        <w:tc>
          <w:tcPr>
            <w:tcW w:type="pct" w:w="900"/>
            <w:shd w:fill="FAFCFD" w:val="clear"/>
            <w:tcMar>
              <w:top w:type="dxa" w:w="70"/>
              <w:left w:type="dxa" w:w="120"/>
              <w:bottom w:type="dxa" w:w="70"/>
              <w:right w:type="dxa" w:w="120"/>
            </w:tcMar>
          </w:tcPr>
          <w:p>
            <w:r>
              <w:rPr>
                <w:sz w:val="19"/>
                <w:szCs w:val="19"/>
              </w:rPr>
              <w:t xml:space="preserve">Pasa</w:t>
            </w:r>
          </w:p>
        </w:tc>
      </w:tr>
    </w:tbl>
    <w:p>
      <w:pPr>
        <w:pStyle w:val="Heading1"/>
        <w:keepNext/>
        <w:spacing w:after="160" w:before="360"/>
      </w:pPr>
      <w:r>
        <w:t xml:space="preserve">8. Archivos que genera</w:t>
      </w:r>
    </w:p>
    <w:tbl>
      <w:tblPr>
        <w:tblW w:type="pct" w:w="5000"/>
        <w:tblBorders>
          <w:top w:val="single" w:color="D9E0E7" w:sz="4"/>
          <w:left w:val="single" w:color="D9E0E7" w:sz="4"/>
          <w:bottom w:val="single" w:color="D9E0E7" w:sz="4"/>
          <w:right w:val="single" w:color="D9E0E7" w:sz="4"/>
          <w:insideH w:val="single" w:color="D9E0E7" w:sz="4"/>
          <w:insideV w:val="single" w:color="D9E0E7" w:sz="4"/>
        </w:tblBorders>
      </w:tblPr>
      <w:tblGrid>
        <w:gridCol w:w="3277"/>
        <w:gridCol w:w="6361"/>
      </w:tblGrid>
      <w:tr>
        <w:trPr>
          <w:tblHeader/>
        </w:trPr>
        <w:tc>
          <w:tcPr>
            <w:tcW w:type="pct" w:w="1700"/>
            <w:shd w:fill="1C3A5C" w:val="clear"/>
            <w:tcMar>
              <w:top w:type="dxa" w:w="80"/>
              <w:left w:type="dxa" w:w="120"/>
              <w:bottom w:type="dxa" w:w="80"/>
              <w:right w:type="dxa" w:w="120"/>
            </w:tcMar>
          </w:tcPr>
          <w:p>
            <w:r>
              <w:rPr>
                <w:b/>
                <w:bCs/>
                <w:color w:val="FFFFFF"/>
                <w:sz w:val="19"/>
                <w:szCs w:val="19"/>
              </w:rPr>
              <w:t xml:space="preserve">Archivo</w:t>
            </w:r>
          </w:p>
        </w:tc>
        <w:tc>
          <w:tcPr>
            <w:tcW w:type="pct" w:w="3300"/>
            <w:shd w:fill="1C3A5C" w:val="clear"/>
            <w:tcMar>
              <w:top w:type="dxa" w:w="80"/>
              <w:left w:type="dxa" w:w="120"/>
              <w:bottom w:type="dxa" w:w="80"/>
              <w:right w:type="dxa" w:w="120"/>
            </w:tcMar>
          </w:tcPr>
          <w:p>
            <w:r>
              <w:rPr>
                <w:b/>
                <w:bCs/>
                <w:color w:val="FFFFFF"/>
                <w:sz w:val="19"/>
                <w:szCs w:val="19"/>
              </w:rPr>
              <w:t xml:space="preserve">Qué tiene</w:t>
            </w:r>
          </w:p>
        </w:tc>
      </w:tr>
      <w:tr>
        <w:trPr>
          <w:cantSplit/>
        </w:trPr>
        <w:tc>
          <w:tcPr>
            <w:tcW w:type="pct" w:w="1700"/>
            <w:shd w:fill="FFFFFF" w:val="clear"/>
            <w:tcMar>
              <w:top w:type="dxa" w:w="70"/>
              <w:left w:type="dxa" w:w="120"/>
              <w:bottom w:type="dxa" w:w="70"/>
              <w:right w:type="dxa" w:w="120"/>
            </w:tcMar>
          </w:tcPr>
          <w:p>
            <w:r>
              <w:rPr>
                <w:rFonts w:ascii="Consolas" w:cs="Consolas" w:eastAsia="Consolas" w:hAnsi="Consolas"/>
                <w:color w:val="1C3A5C"/>
                <w:sz w:val="19"/>
                <w:szCs w:val="19"/>
              </w:rPr>
              <w:t xml:space="preserve">especificacion_previa.md</w:t>
            </w:r>
          </w:p>
        </w:tc>
        <w:tc>
          <w:tcPr>
            <w:tcW w:type="pct" w:w="3300"/>
            <w:shd w:fill="FFFFFF" w:val="clear"/>
            <w:tcMar>
              <w:top w:type="dxa" w:w="70"/>
              <w:left w:type="dxa" w:w="120"/>
              <w:bottom w:type="dxa" w:w="70"/>
              <w:right w:type="dxa" w:w="120"/>
            </w:tcMar>
          </w:tcPr>
          <w:p>
            <w:r>
              <w:rPr>
                <w:sz w:val="19"/>
                <w:szCs w:val="19"/>
              </w:rPr>
              <w:t xml:space="preserve">La especificación, escrita antes de correr el análisis</w:t>
            </w:r>
          </w:p>
        </w:tc>
      </w:tr>
      <w:tr>
        <w:trPr>
          <w:cantSplit/>
        </w:trPr>
        <w:tc>
          <w:tcPr>
            <w:tcW w:type="pct" w:w="1700"/>
            <w:shd w:fill="FAFCFD" w:val="clear"/>
            <w:tcMar>
              <w:top w:type="dxa" w:w="70"/>
              <w:left w:type="dxa" w:w="120"/>
              <w:bottom w:type="dxa" w:w="70"/>
              <w:right w:type="dxa" w:w="120"/>
            </w:tcMar>
          </w:tcPr>
          <w:p>
            <w:r>
              <w:rPr>
                <w:rFonts w:ascii="Consolas" w:cs="Consolas" w:eastAsia="Consolas" w:hAnsi="Consolas"/>
                <w:color w:val="1C3A5C"/>
                <w:sz w:val="19"/>
                <w:szCs w:val="19"/>
              </w:rPr>
              <w:t xml:space="preserve">serie_preapertura.csv</w:t>
            </w:r>
          </w:p>
        </w:tc>
        <w:tc>
          <w:tcPr>
            <w:tcW w:type="pct" w:w="3300"/>
            <w:shd w:fill="FAFCFD" w:val="clear"/>
            <w:tcMar>
              <w:top w:type="dxa" w:w="70"/>
              <w:left w:type="dxa" w:w="120"/>
              <w:bottom w:type="dxa" w:w="70"/>
              <w:right w:type="dxa" w:w="120"/>
            </w:tcMar>
          </w:tcPr>
          <w:p>
            <w:r>
              <w:rPr>
                <w:sz w:val="19"/>
                <w:szCs w:val="19"/>
              </w:rPr>
              <w:t xml:space="preserve">Por rueda: notas pre-apertura, tono y tono anormal, retornos de apertura, de la sesión y del día anterior</w:t>
            </w:r>
          </w:p>
        </w:tc>
      </w:tr>
      <w:tr>
        <w:trPr>
          <w:cantSplit/>
        </w:trPr>
        <w:tc>
          <w:tcPr>
            <w:tcW w:type="pct" w:w="1700"/>
            <w:shd w:fill="FFFFFF" w:val="clear"/>
            <w:tcMar>
              <w:top w:type="dxa" w:w="70"/>
              <w:left w:type="dxa" w:w="120"/>
              <w:bottom w:type="dxa" w:w="70"/>
              <w:right w:type="dxa" w:w="120"/>
            </w:tcMar>
          </w:tcPr>
          <w:p>
            <w:r>
              <w:rPr>
                <w:rFonts w:ascii="Consolas" w:cs="Consolas" w:eastAsia="Consolas" w:hAnsi="Consolas"/>
                <w:color w:val="1C3A5C"/>
                <w:sz w:val="19"/>
                <w:szCs w:val="19"/>
              </w:rPr>
              <w:t xml:space="preserve">panel_preapertura.csv</w:t>
            </w:r>
          </w:p>
        </w:tc>
        <w:tc>
          <w:tcPr>
            <w:tcW w:type="pct" w:w="3300"/>
            <w:shd w:fill="FFFFFF" w:val="clear"/>
            <w:tcMar>
              <w:top w:type="dxa" w:w="70"/>
              <w:left w:type="dxa" w:w="120"/>
              <w:bottom w:type="dxa" w:w="70"/>
              <w:right w:type="dxa" w:w="120"/>
            </w:tcMar>
          </w:tcPr>
          <w:p>
            <w:r>
              <w:rPr>
                <w:sz w:val="19"/>
                <w:szCs w:val="19"/>
              </w:rPr>
              <w:t xml:space="preserve">Por empresa y rueda: oraciones pre-apertura que la mencionan, su tono y el tono propio pre-apertura</w:t>
            </w:r>
          </w:p>
        </w:tc>
      </w:tr>
      <w:tr>
        <w:trPr>
          <w:cantSplit/>
        </w:trPr>
        <w:tc>
          <w:tcPr>
            <w:tcW w:type="pct" w:w="1700"/>
            <w:shd w:fill="FAFCFD" w:val="clear"/>
            <w:tcMar>
              <w:top w:type="dxa" w:w="70"/>
              <w:left w:type="dxa" w:w="120"/>
              <w:bottom w:type="dxa" w:w="70"/>
              <w:right w:type="dxa" w:w="120"/>
            </w:tcMar>
          </w:tcPr>
          <w:p>
            <w:r>
              <w:rPr>
                <w:rFonts w:ascii="Consolas" w:cs="Consolas" w:eastAsia="Consolas" w:hAnsi="Consolas"/>
                <w:color w:val="1C3A5C"/>
                <w:sz w:val="19"/>
                <w:szCs w:val="19"/>
              </w:rPr>
              <w:t xml:space="preserve">resultados_principales.csv</w:t>
            </w:r>
          </w:p>
        </w:tc>
        <w:tc>
          <w:tcPr>
            <w:tcW w:type="pct" w:w="3300"/>
            <w:shd w:fill="FAFCFD" w:val="clear"/>
            <w:tcMar>
              <w:top w:type="dxa" w:w="70"/>
              <w:left w:type="dxa" w:w="120"/>
              <w:bottom w:type="dxa" w:w="70"/>
              <w:right w:type="dxa" w:w="120"/>
            </w:tcMar>
          </w:tcPr>
          <w:p>
            <w:r>
              <w:rPr>
                <w:sz w:val="19"/>
                <w:szCs w:val="19"/>
              </w:rPr>
              <w:t xml:space="preserve">Las 8 pruebas principales (mercado y panel, apertura y sesión, con y sin días electorales)</w:t>
            </w:r>
          </w:p>
        </w:tc>
      </w:tr>
      <w:tr>
        <w:trPr>
          <w:cantSplit/>
        </w:trPr>
        <w:tc>
          <w:tcPr>
            <w:tcW w:type="pct" w:w="1700"/>
            <w:shd w:fill="FFFFFF" w:val="clear"/>
            <w:tcMar>
              <w:top w:type="dxa" w:w="70"/>
              <w:left w:type="dxa" w:w="120"/>
              <w:bottom w:type="dxa" w:w="70"/>
              <w:right w:type="dxa" w:w="120"/>
            </w:tcMar>
          </w:tcPr>
          <w:p>
            <w:r>
              <w:rPr>
                <w:rFonts w:ascii="Consolas" w:cs="Consolas" w:eastAsia="Consolas" w:hAnsi="Consolas"/>
                <w:color w:val="1C3A5C"/>
                <w:sz w:val="19"/>
                <w:szCs w:val="19"/>
              </w:rPr>
              <w:t xml:space="preserve">resultados_empresas.csv</w:t>
            </w:r>
          </w:p>
        </w:tc>
        <w:tc>
          <w:tcPr>
            <w:tcW w:type="pct" w:w="3300"/>
            <w:shd w:fill="FFFFFF" w:val="clear"/>
            <w:tcMar>
              <w:top w:type="dxa" w:w="70"/>
              <w:left w:type="dxa" w:w="120"/>
              <w:bottom w:type="dxa" w:w="70"/>
              <w:right w:type="dxa" w:w="120"/>
            </w:tcMar>
          </w:tcPr>
          <w:p>
            <w:r>
              <w:rPr>
                <w:sz w:val="19"/>
                <w:szCs w:val="19"/>
              </w:rPr>
              <w:t xml:space="preserve">Las 34 pruebas por empresa</w:t>
            </w:r>
          </w:p>
        </w:tc>
      </w:tr>
      <w:tr>
        <w:trPr>
          <w:cantSplit/>
        </w:trPr>
        <w:tc>
          <w:tcPr>
            <w:tcW w:type="pct" w:w="1700"/>
            <w:shd w:fill="FAFCFD" w:val="clear"/>
            <w:tcMar>
              <w:top w:type="dxa" w:w="70"/>
              <w:left w:type="dxa" w:w="120"/>
              <w:bottom w:type="dxa" w:w="70"/>
              <w:right w:type="dxa" w:w="120"/>
            </w:tcMar>
          </w:tcPr>
          <w:p>
            <w:r>
              <w:rPr>
                <w:rFonts w:ascii="Consolas" w:cs="Consolas" w:eastAsia="Consolas" w:hAnsi="Consolas"/>
                <w:color w:val="1C3A5C"/>
                <w:sz w:val="19"/>
                <w:szCs w:val="19"/>
              </w:rPr>
              <w:t xml:space="preserve">resumen_u6b.csv</w:t>
            </w:r>
            <w:r>
              <w:t xml:space="preserve">, </w:t>
            </w:r>
            <w:r>
              <w:rPr>
                <w:rFonts w:ascii="Consolas" w:cs="Consolas" w:eastAsia="Consolas" w:hAnsi="Consolas"/>
                <w:color w:val="1C3A5C"/>
                <w:sz w:val="19"/>
                <w:szCs w:val="19"/>
              </w:rPr>
              <w:t xml:space="preserve">verificaciones.csv</w:t>
            </w:r>
          </w:p>
        </w:tc>
        <w:tc>
          <w:tcPr>
            <w:tcW w:type="pct" w:w="3300"/>
            <w:shd w:fill="FAFCFD" w:val="clear"/>
            <w:tcMar>
              <w:top w:type="dxa" w:w="70"/>
              <w:left w:type="dxa" w:w="120"/>
              <w:bottom w:type="dxa" w:w="70"/>
              <w:right w:type="dxa" w:w="120"/>
            </w:tcMar>
          </w:tcPr>
          <w:p>
            <w:r>
              <w:rPr>
                <w:sz w:val="19"/>
                <w:szCs w:val="19"/>
              </w:rPr>
              <w:t xml:space="preserve">Las cifras y los controles de este documento</w:t>
            </w:r>
          </w:p>
        </w:tc>
      </w:tr>
      <w:tr>
        <w:trPr>
          <w:cantSplit/>
        </w:trPr>
        <w:tc>
          <w:tcPr>
            <w:tcW w:type="pct" w:w="1700"/>
            <w:shd w:fill="FFFFFF" w:val="clear"/>
            <w:tcMar>
              <w:top w:type="dxa" w:w="70"/>
              <w:left w:type="dxa" w:w="120"/>
              <w:bottom w:type="dxa" w:w="70"/>
              <w:right w:type="dxa" w:w="120"/>
            </w:tcMar>
          </w:tcPr>
          <w:p>
            <w:r>
              <w:rPr>
                <w:rFonts w:ascii="Consolas" w:cs="Consolas" w:eastAsia="Consolas" w:hAnsi="Consolas"/>
                <w:color w:val="1C3A5C"/>
                <w:sz w:val="19"/>
                <w:szCs w:val="19"/>
              </w:rPr>
              <w:t xml:space="preserve">u6b_preapertura.png</w:t>
            </w:r>
          </w:p>
        </w:tc>
        <w:tc>
          <w:tcPr>
            <w:tcW w:type="pct" w:w="3300"/>
            <w:shd w:fill="FFFFFF" w:val="clear"/>
            <w:tcMar>
              <w:top w:type="dxa" w:w="70"/>
              <w:left w:type="dxa" w:w="120"/>
              <w:bottom w:type="dxa" w:w="70"/>
              <w:right w:type="dxa" w:w="120"/>
            </w:tcMar>
          </w:tcPr>
          <w:p>
            <w:r>
              <w:rPr>
                <w:sz w:val="19"/>
                <w:szCs w:val="19"/>
              </w:rPr>
              <w:t xml:space="preserve">La figura de la sección 3</w:t>
            </w:r>
          </w:p>
        </w:tc>
      </w:tr>
    </w:tbl>
    <w:p>
      <w:pPr>
        <w:pStyle w:val="Heading1"/>
        <w:keepNext/>
        <w:spacing w:after="160" w:before="360"/>
      </w:pPr>
      <w:r>
        <w:t xml:space="preserve">9. Limitaciones</w:t>
      </w:r>
    </w:p>
    <w:p>
      <w:pPr>
        <w:spacing w:after="160" w:line="300"/>
        <w:ind w:left="360" w:hanging="240"/>
      </w:pPr>
      <w:r>
        <w:t xml:space="preserve">•  Los precios de apertura vienen de Yahoo Finance; en algunos días la apertura puede no reflejar la primera operación real.</w:t>
      </w:r>
    </w:p>
    <w:p>
      <w:pPr>
        <w:spacing w:after="160" w:line="300"/>
        <w:ind w:left="360" w:hanging="240"/>
      </w:pPr>
      <w:r>
        <w:t xml:space="preserve">•  El mercado es el promedio simple de las 47 acciones, no el Merval (que pondera por tamaño).</w:t>
      </w:r>
    </w:p>
    <w:p>
      <w:pPr>
        <w:spacing w:after="160" w:line="300"/>
        <w:ind w:left="360" w:hanging="240"/>
      </w:pPr>
      <w:r>
        <w:t xml:space="preserve">•  Se excluyen las notas con hora sospechosa; si eran pre-apertura, la prueba pierde esa información.</w:t>
      </w:r>
    </w:p>
    <w:p>
      <w:pPr>
        <w:spacing w:after="160" w:line="300"/>
        <w:ind w:left="360" w:hanging="240"/>
      </w:pPr>
      <w:r>
        <w:t xml:space="preserve">•  Un año de datos: un efecto chico podría existir y no detectarse. El indicio de esta prueba (p ≈ 0,1) es compatible con un efecto chico o con ninguno.</w:t>
      </w:r>
    </w:p>
    <w:sectPr>
      <w:headerReference w:type="default" r:id="rId6"/>
      <w:footerReference w:type="default" r:id="rId7"/>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C6B7A"/>
        <w:sz w:val="16"/>
        <w:szCs w:val="16"/>
      </w:rPr>
      <w:t xml:space="preserve">Nicolás Diddi · Gino Frigoni · Página </w:t>
    </w:r>
    <w:r>
      <w:rPr>
        <w:color w:val="5C6B7A"/>
        <w:sz w:val="16"/>
        <w:szCs w:val="16"/>
      </w:rPr>
      <w:fldChar w:fldCharType="begin"/>
      <w:instrText xml:space="preserve">PAGE</w:instrText>
      <w:fldChar w:fldCharType="separate"/>
      <w:fldChar w:fldCharType="end"/>
    </w:r>
    <w:r>
      <w:rPr>
        <w:color w:val="5C6B7A"/>
        <w:sz w:val="16"/>
        <w:szCs w:val="16"/>
      </w:rPr>
      <w:t xml:space="preserve"> de </w:t>
    </w:r>
    <w:r>
      <w:rPr>
        <w:color w:val="5C6B7A"/>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C6B7A"/>
        <w:sz w:val="16"/>
        <w:szCs w:val="16"/>
      </w:rPr>
      <w:t xml:space="preserve">U6b · Noticias pre-apertura — tesis version 3.0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40798C" w:sz="6" w:space="4"/>
      </w:pBdr>
      <w:spacing w:after="160" w:before="360"/>
    </w:pPr>
    <w:rPr>
      <w:rFonts w:ascii="Cambria" w:cs="Cambria" w:eastAsia="Cambria" w:hAnsi="Cambria"/>
      <w:b/>
      <w:bCs/>
      <w:color w:val="12263A"/>
      <w:sz w:val="30"/>
      <w:szCs w:val="3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de1cd64d99c3fae9ec1c46b38a3d6b6e831d67d2.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2026-10-24T13:40:23.693Z</dcterms:created>
  <dcterms:modified xsi:type="dcterms:W3CDTF">2026-10-24T13:40:23.693Z</dcterms:modified>
</cp:coreProperties>
</file>

<file path=docProps/custom.xml><?xml version="1.0" encoding="utf-8"?>
<Properties xmlns="http://schemas.openxmlformats.org/officeDocument/2006/custom-properties" xmlns:vt="http://schemas.openxmlformats.org/officeDocument/2006/docPropsVTypes"/>
</file>