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U7 · Event study</w:t>
      </w:r>
    </w:p>
    <w:p>
      <w:pPr>
        <w:spacing w:after="200"/>
      </w:pPr>
      <w:r>
        <w:rPr>
          <w:rFonts w:ascii="Cambria" w:cs="Cambria" w:eastAsia="Cambria" w:hAnsi="Cambria"/>
          <w:i/>
          <w:iCs/>
          <w:color w:val="1C3A5C"/>
          <w:sz w:val="24"/>
          <w:szCs w:val="24"/>
        </w:rPr>
        <w:t xml:space="preserve">Qué hacen los precios y el volumen alrededor de las ruedas de noticias extremas</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3.0\Unión\07_event_study\</w:t>
      </w:r>
      <w:r>
        <w:t xml:space="preserve">. Script: </w:t>
      </w:r>
      <w:r>
        <w:rPr>
          <w:rFonts w:ascii="Consolas" w:cs="Consolas" w:eastAsia="Consolas" w:hAnsi="Consolas"/>
          <w:color w:val="1C3A5C"/>
          <w:sz w:val="19"/>
          <w:szCs w:val="19"/>
        </w:rPr>
        <w:t xml:space="preserve">event_study.py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En las ruedas de tono extremo positivo, el Merval sube +2,01% ese mismo día (7 de 7 eventos) y ya venía subiendo +3,19% en las tres ruedas previas; después no pasa nada. Con las empresas ocurre lo mismo: cuando se habla de una empresa de forma muy positiva, su acción ya había subido +1,24% más que el mercado antes. Las noticias acompañan o siguen al precio; no lo anticipan.</w:t>
            </w:r>
          </w:p>
        </w:tc>
      </w:tr>
    </w:tbl>
    <w:p>
      <w:pPr>
        <w:pStyle w:val="Heading1"/>
        <w:keepNext/>
        <w:spacing w:after="160" w:before="360"/>
      </w:pPr>
      <w:r>
        <w:t xml:space="preserve">1. Qué es un event study</w:t>
      </w:r>
    </w:p>
    <w:p>
      <w:pPr>
        <w:spacing w:after="160" w:line="300"/>
      </w:pPr>
      <w:r>
        <w:t xml:space="preserve">Se toman los días con noticias extremas (los eventos) y se mira qué hicieron los precios unos días antes y unos días después, comparado con lo que habría sido normal. Si las noticias mueven al mercado, el precio debería cambiar el día del evento o después. Si las noticias reflejan lo que el mercado ya hizo, el cambio aparece antes.</w:t>
      </w:r>
    </w:p>
    <w:p>
      <w:pPr>
        <w:spacing w:after="160" w:line="300"/>
      </w:pPr>
      <w:r>
        <w:t xml:space="preserve">La ventana va de 3 ruedas antes a 5 después del evento ([−3, +5]; la rueda 0 es la del evento) y se separa en tres tramos: antes [−3, −1], el día [0] y después [+1, +5]. Lo "normal" se estima con las ruedas −25 a −4, que terminan antes de la ventana para que el evento no contamine su propia comparación. Al movimiento de más o de menos respecto de lo normal se le llama retorno anormal, y a su suma en un tramo, retorno anormal acumulado (CAR).</w:t>
      </w:r>
    </w:p>
    <w:p>
      <w:pPr>
        <w:pStyle w:val="Heading1"/>
        <w:keepNext/>
        <w:spacing w:after="160" w:before="360"/>
      </w:pPr>
      <w:r>
        <w:t xml:space="preserve">2. Dos tipos de eventos</w:t>
      </w:r>
    </w:p>
    <w:p>
      <w:pPr>
        <w:spacing w:after="160" w:line="300"/>
      </w:pPr>
      <w:r>
        <w:rPr>
          <w:b/>
          <w:bCs/>
        </w:rPr>
        <w:t xml:space="preserve">A. Ruedas de tono extremo del mercado. </w:t>
      </w:r>
      <w:r>
        <w:t xml:space="preserve">Son las de U2 (18 eventos). Son noticias generales: si mueven precios, mueven al Merval entero. Por eso se mide el Merval mismo, contra su retorno promedio de las ruedas −25 a −4. No se usa un modelo de mercado por acción, porque resta justamente el movimiento del Merval y el efecto buscado desaparecería por construcción.</w:t>
      </w:r>
    </w:p>
    <w:p>
      <w:pPr>
        <w:spacing w:after="160" w:line="300"/>
      </w:pPr>
      <w:r>
        <w:rPr>
          <w:b/>
          <w:bCs/>
        </w:rPr>
        <w:t xml:space="preserve">B. Ruedas de tono propio extremo de cada empresa. </w:t>
      </w:r>
      <w:r>
        <w:t xml:space="preserve">Para las 17 empresas con tono propio, las ruedas en que se habló de ellas mucho mejor o mucho peor que del mercado (más de 2,5 desvíos de su propia serie): 88 eventos. Acá sí se usa el modelo de mercado por acción, porque la pregunta es si esa acción se movió distinto del resto.</w:t>
      </w:r>
    </w:p>
    <w:p>
      <w:pPr>
        <w:spacing w:after="160" w:line="300"/>
      </w:pPr>
      <w:r>
        <w:rPr>
          <w:b/>
          <w:bCs/>
        </w:rPr>
        <w:t xml:space="preserve">Cómo se decide si un resultado es real. </w:t>
      </w:r>
      <w:r>
        <w:t xml:space="preserve">Con pocos eventos, además del test t y del test de signo, se compara contra fechas al azar: se sortean 5000 veces tantas fechas como eventos, entre 221 ruedas posibles, y se ve cuántas veces el azar da un promedio tan extremo como el observado.</w:t>
      </w:r>
    </w:p>
    <w:p>
      <w:pPr>
        <w:pStyle w:val="Heading1"/>
        <w:keepNext/>
        <w:spacing w:after="160" w:before="360"/>
      </w:pPr>
      <w:r>
        <w:t xml:space="preserve">3. Lo que hubo que corregir: el salto electoral</w:t>
      </w:r>
    </w:p>
    <w:p>
      <w:pPr>
        <w:spacing w:after="160" w:line="300"/>
      </w:pPr>
      <w:r>
        <w:t xml:space="preserve">La primera corrida mostró un +6,3% en las ruedas previas a los eventos positivos. Mirado evento por evento, lo generaba casi todo uno solo: el del 30/10/2025, con +30,38% en su tramo "antes", porque incluía el 27/10, cuando el Merval saltó +21% después de las legislativas. Además, un salto así dentro de las ruedas −25 a −4 infla el "promedio normal" de los eventos siguientes.</w:t>
      </w:r>
    </w:p>
    <w:p>
      <w:pPr>
        <w:spacing w:after="160" w:line="300"/>
      </w:pPr>
      <w:r>
        <w:t xml:space="preserve">Por eso los dos días electorales (08/09 y 27/10) no entran al cálculo de lo normal, y los eventos cuya ventana incluye uno se analizan aparte (27/10/2025 y 30/10/2025). Quedan 16 eventos: 7 positivos y 9 negativos. El sorteo al azar aplica la misma exclusión.</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1542"/>
        <w:gridCol w:w="1157"/>
        <w:gridCol w:w="1157"/>
        <w:gridCol w:w="1253"/>
        <w:gridCol w:w="1253"/>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Día electoral</w:t>
            </w:r>
          </w:p>
        </w:tc>
        <w:tc>
          <w:tcPr>
            <w:tcW w:type="pct" w:w="800"/>
            <w:shd w:fill="1C3A5C" w:val="clear"/>
            <w:tcMar>
              <w:top w:type="dxa" w:w="80"/>
              <w:left w:type="dxa" w:w="120"/>
              <w:bottom w:type="dxa" w:w="80"/>
              <w:right w:type="dxa" w:w="120"/>
            </w:tcMar>
          </w:tcPr>
          <w:p>
            <w:r>
              <w:rPr>
                <w:b/>
                <w:bCs/>
                <w:color w:val="FFFFFF"/>
                <w:sz w:val="19"/>
                <w:szCs w:val="19"/>
              </w:rPr>
              <w:t xml:space="preserve">¿Shock de tono?</w:t>
            </w:r>
          </w:p>
        </w:tc>
        <w:tc>
          <w:tcPr>
            <w:tcW w:type="pct" w:w="600"/>
            <w:shd w:fill="1C3A5C" w:val="clear"/>
            <w:tcMar>
              <w:top w:type="dxa" w:w="80"/>
              <w:left w:type="dxa" w:w="120"/>
              <w:bottom w:type="dxa" w:w="80"/>
              <w:right w:type="dxa" w:w="120"/>
            </w:tcMar>
          </w:tcPr>
          <w:p>
            <w:r>
              <w:rPr>
                <w:b/>
                <w:bCs/>
                <w:color w:val="FFFFFF"/>
                <w:sz w:val="19"/>
                <w:szCs w:val="19"/>
              </w:rPr>
              <w:t xml:space="preserve">Antes</w:t>
            </w:r>
          </w:p>
        </w:tc>
        <w:tc>
          <w:tcPr>
            <w:tcW w:type="pct" w:w="600"/>
            <w:shd w:fill="1C3A5C" w:val="clear"/>
            <w:tcMar>
              <w:top w:type="dxa" w:w="80"/>
              <w:left w:type="dxa" w:w="120"/>
              <w:bottom w:type="dxa" w:w="80"/>
              <w:right w:type="dxa" w:w="120"/>
            </w:tcMar>
          </w:tcPr>
          <w:p>
            <w:r>
              <w:rPr>
                <w:b/>
                <w:bCs/>
                <w:color w:val="FFFFFF"/>
                <w:sz w:val="19"/>
                <w:szCs w:val="19"/>
              </w:rPr>
              <w:t xml:space="preserve">Día</w:t>
            </w:r>
          </w:p>
        </w:tc>
        <w:tc>
          <w:tcPr>
            <w:tcW w:type="pct" w:w="650"/>
            <w:shd w:fill="1C3A5C" w:val="clear"/>
            <w:tcMar>
              <w:top w:type="dxa" w:w="80"/>
              <w:left w:type="dxa" w:w="120"/>
              <w:bottom w:type="dxa" w:w="80"/>
              <w:right w:type="dxa" w:w="120"/>
            </w:tcMar>
          </w:tcPr>
          <w:p>
            <w:r>
              <w:rPr>
                <w:b/>
                <w:bCs/>
                <w:color w:val="FFFFFF"/>
                <w:sz w:val="19"/>
                <w:szCs w:val="19"/>
              </w:rPr>
              <w:t xml:space="preserve">Después</w:t>
            </w:r>
          </w:p>
        </w:tc>
        <w:tc>
          <w:tcPr>
            <w:tcW w:type="pct" w:w="650"/>
            <w:shd w:fill="1C3A5C" w:val="clear"/>
            <w:tcMar>
              <w:top w:type="dxa" w:w="80"/>
              <w:left w:type="dxa" w:w="120"/>
              <w:bottom w:type="dxa" w:w="80"/>
              <w:right w:type="dxa" w:w="120"/>
            </w:tcMar>
          </w:tcPr>
          <w:p>
            <w:r>
              <w:rPr>
                <w:b/>
                <w:bCs/>
                <w:color w:val="FFFFFF"/>
                <w:sz w:val="19"/>
                <w:szCs w:val="19"/>
              </w:rPr>
              <w:t xml:space="preserve">Total</w:t>
            </w:r>
          </w:p>
        </w:tc>
      </w:tr>
      <w:tr>
        <w:trPr>
          <w:cantSplit/>
        </w:trPr>
        <w:tc>
          <w:tcPr>
            <w:tcW w:type="pct" w:w="1700"/>
            <w:shd w:fill="FFFFFF" w:val="clear"/>
            <w:tcMar>
              <w:top w:type="dxa" w:w="70"/>
              <w:left w:type="dxa" w:w="120"/>
              <w:bottom w:type="dxa" w:w="70"/>
              <w:right w:type="dxa" w:w="120"/>
            </w:tcMar>
          </w:tcPr>
          <w:p>
            <w:r>
              <w:rPr>
                <w:sz w:val="19"/>
                <w:szCs w:val="19"/>
              </w:rPr>
              <w:t xml:space="preserve">08/09/2025 · elecciones bonaerenses (07/09)</w:t>
            </w:r>
          </w:p>
        </w:tc>
        <w:tc>
          <w:tcPr>
            <w:tcW w:type="pct" w:w="800"/>
            <w:shd w:fill="FFFFFF" w:val="clear"/>
            <w:tcMar>
              <w:top w:type="dxa" w:w="70"/>
              <w:left w:type="dxa" w:w="120"/>
              <w:bottom w:type="dxa" w:w="70"/>
              <w:right w:type="dxa" w:w="120"/>
            </w:tcMar>
          </w:tcPr>
          <w:p>
            <w:r>
              <w:rPr>
                <w:sz w:val="19"/>
                <w:szCs w:val="19"/>
              </w:rPr>
              <w:t xml:space="preserve">No</w:t>
            </w:r>
          </w:p>
        </w:tc>
        <w:tc>
          <w:tcPr>
            <w:tcW w:type="pct" w:w="600"/>
            <w:shd w:fill="FFFFFF" w:val="clear"/>
            <w:tcMar>
              <w:top w:type="dxa" w:w="70"/>
              <w:left w:type="dxa" w:w="120"/>
              <w:bottom w:type="dxa" w:w="70"/>
              <w:right w:type="dxa" w:w="120"/>
            </w:tcMar>
          </w:tcPr>
          <w:p>
            <w:r>
              <w:rPr>
                <w:sz w:val="19"/>
                <w:szCs w:val="19"/>
              </w:rPr>
              <w:t xml:space="preserve">+3,28%</w:t>
            </w:r>
          </w:p>
        </w:tc>
        <w:tc>
          <w:tcPr>
            <w:tcW w:type="pct" w:w="600"/>
            <w:shd w:fill="FFFFFF" w:val="clear"/>
            <w:tcMar>
              <w:top w:type="dxa" w:w="70"/>
              <w:left w:type="dxa" w:w="120"/>
              <w:bottom w:type="dxa" w:w="70"/>
              <w:right w:type="dxa" w:w="120"/>
            </w:tcMar>
          </w:tcPr>
          <w:p>
            <w:r>
              <w:rPr>
                <w:sz w:val="19"/>
                <w:szCs w:val="19"/>
              </w:rPr>
              <w:t xml:space="preserve">-12,55%</w:t>
            </w:r>
          </w:p>
        </w:tc>
        <w:tc>
          <w:tcPr>
            <w:tcW w:type="pct" w:w="650"/>
            <w:shd w:fill="FFFFFF" w:val="clear"/>
            <w:tcMar>
              <w:top w:type="dxa" w:w="70"/>
              <w:left w:type="dxa" w:w="120"/>
              <w:bottom w:type="dxa" w:w="70"/>
              <w:right w:type="dxa" w:w="120"/>
            </w:tcMar>
          </w:tcPr>
          <w:p>
            <w:r>
              <w:rPr>
                <w:sz w:val="19"/>
                <w:szCs w:val="19"/>
              </w:rPr>
              <w:t xml:space="preserve">+4,62%</w:t>
            </w:r>
          </w:p>
        </w:tc>
        <w:tc>
          <w:tcPr>
            <w:tcW w:type="pct" w:w="650"/>
            <w:shd w:fill="FFFFFF" w:val="clear"/>
            <w:tcMar>
              <w:top w:type="dxa" w:w="70"/>
              <w:left w:type="dxa" w:w="120"/>
              <w:bottom w:type="dxa" w:w="70"/>
              <w:right w:type="dxa" w:w="120"/>
            </w:tcMar>
          </w:tcPr>
          <w:p>
            <w:r>
              <w:rPr>
                <w:sz w:val="19"/>
                <w:szCs w:val="19"/>
              </w:rPr>
              <w:t xml:space="preserve">-4,65%</w:t>
            </w:r>
          </w:p>
        </w:tc>
      </w:tr>
      <w:tr>
        <w:trPr>
          <w:cantSplit/>
        </w:trPr>
        <w:tc>
          <w:tcPr>
            <w:tcW w:type="pct" w:w="1700"/>
            <w:shd w:fill="FAFCFD" w:val="clear"/>
            <w:tcMar>
              <w:top w:type="dxa" w:w="70"/>
              <w:left w:type="dxa" w:w="120"/>
              <w:bottom w:type="dxa" w:w="70"/>
              <w:right w:type="dxa" w:w="120"/>
            </w:tcMar>
          </w:tcPr>
          <w:p>
            <w:r>
              <w:rPr>
                <w:sz w:val="19"/>
                <w:szCs w:val="19"/>
              </w:rPr>
              <w:t xml:space="preserve">27/10/2025 · elecciones legislativas (26/10)</w:t>
            </w:r>
          </w:p>
        </w:tc>
        <w:tc>
          <w:tcPr>
            <w:tcW w:type="pct" w:w="800"/>
            <w:shd w:fill="FAFCFD" w:val="clear"/>
            <w:tcMar>
              <w:top w:type="dxa" w:w="70"/>
              <w:left w:type="dxa" w:w="120"/>
              <w:bottom w:type="dxa" w:w="70"/>
              <w:right w:type="dxa" w:w="120"/>
            </w:tcMar>
          </w:tcPr>
          <w:p>
            <w:r>
              <w:rPr>
                <w:sz w:val="19"/>
                <w:szCs w:val="19"/>
              </w:rPr>
              <w:t xml:space="preserve">Sí (positivo)</w:t>
            </w:r>
          </w:p>
        </w:tc>
        <w:tc>
          <w:tcPr>
            <w:tcW w:type="pct" w:w="600"/>
            <w:shd w:fill="FAFCFD" w:val="clear"/>
            <w:tcMar>
              <w:top w:type="dxa" w:w="70"/>
              <w:left w:type="dxa" w:w="120"/>
              <w:bottom w:type="dxa" w:w="70"/>
              <w:right w:type="dxa" w:w="120"/>
            </w:tcMar>
          </w:tcPr>
          <w:p>
            <w:r>
              <w:rPr>
                <w:sz w:val="19"/>
                <w:szCs w:val="19"/>
              </w:rPr>
              <w:t xml:space="preserve">+1,28%</w:t>
            </w:r>
          </w:p>
        </w:tc>
        <w:tc>
          <w:tcPr>
            <w:tcW w:type="pct" w:w="600"/>
            <w:shd w:fill="FAFCFD" w:val="clear"/>
            <w:tcMar>
              <w:top w:type="dxa" w:w="70"/>
              <w:left w:type="dxa" w:w="120"/>
              <w:bottom w:type="dxa" w:w="70"/>
              <w:right w:type="dxa" w:w="120"/>
            </w:tcMar>
          </w:tcPr>
          <w:p>
            <w:r>
              <w:rPr>
                <w:sz w:val="19"/>
                <w:szCs w:val="19"/>
              </w:rPr>
              <w:t xml:space="preserve">+20,98%</w:t>
            </w:r>
          </w:p>
        </w:tc>
        <w:tc>
          <w:tcPr>
            <w:tcW w:type="pct" w:w="650"/>
            <w:shd w:fill="FAFCFD" w:val="clear"/>
            <w:tcMar>
              <w:top w:type="dxa" w:w="70"/>
              <w:left w:type="dxa" w:w="120"/>
              <w:bottom w:type="dxa" w:w="70"/>
              <w:right w:type="dxa" w:w="120"/>
            </w:tcMar>
          </w:tcPr>
          <w:p>
            <w:r>
              <w:rPr>
                <w:sz w:val="19"/>
                <w:szCs w:val="19"/>
              </w:rPr>
              <w:t xml:space="preserve">+17,14%</w:t>
            </w:r>
          </w:p>
        </w:tc>
        <w:tc>
          <w:tcPr>
            <w:tcW w:type="pct" w:w="650"/>
            <w:shd w:fill="FAFCFD" w:val="clear"/>
            <w:tcMar>
              <w:top w:type="dxa" w:w="70"/>
              <w:left w:type="dxa" w:w="120"/>
              <w:bottom w:type="dxa" w:w="70"/>
              <w:right w:type="dxa" w:w="120"/>
            </w:tcMar>
          </w:tcPr>
          <w:p>
            <w:r>
              <w:rPr>
                <w:sz w:val="19"/>
                <w:szCs w:val="19"/>
              </w:rPr>
              <w:t xml:space="preserve">+39,40%</w:t>
            </w:r>
          </w:p>
        </w:tc>
      </w:tr>
    </w:tbl>
    <w:p>
      <w:pPr>
        <w:spacing w:after="160" w:line="300"/>
      </w:pPr>
      <w:r>
        <w:rPr>
          <w:i/>
          <w:iCs/>
          <w:color w:val="5C6B7A"/>
          <w:sz w:val="18"/>
          <w:szCs w:val="18"/>
        </w:rPr>
        <w:t xml:space="preserve">Los días electorales fueron los mayores saltos del período. El 27/10 también fue una rueda de tono extremo positivo, pero el salto lo explica la elección, no el tono.</w:t>
      </w:r>
    </w:p>
    <w:p>
      <w:pPr>
        <w:pStyle w:val="Heading1"/>
        <w:keepNext/>
        <w:spacing w:after="160" w:before="360"/>
      </w:pPr>
      <w:r>
        <w:t xml:space="preserve">4. Resultado A: el Merval en las ruedas de tono extremo</w:t>
      </w:r>
    </w:p>
    <w:p>
      <w:pPr>
        <w:spacing w:after="160" w:line="300"/>
      </w:pPr>
      <w:r>
        <w:rPr>
          <w:b/>
          <w:bCs/>
        </w:rPr>
        <w:t xml:space="preserve">Tono extremo positivo (7 eventos)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831"/>
        <w:gridCol w:w="1060"/>
        <w:gridCol w:w="1253"/>
        <w:gridCol w:w="1060"/>
        <w:gridCol w:w="1060"/>
        <w:gridCol w:w="1060"/>
        <w:gridCol w:w="2313"/>
      </w:tblGrid>
      <w:tr>
        <w:trPr>
          <w:tblHeader/>
        </w:trPr>
        <w:tc>
          <w:tcPr>
            <w:tcW w:type="pct" w:w="950"/>
            <w:shd w:fill="1C3A5C" w:val="clear"/>
            <w:tcMar>
              <w:top w:type="dxa" w:w="80"/>
              <w:left w:type="dxa" w:w="120"/>
              <w:bottom w:type="dxa" w:w="80"/>
              <w:right w:type="dxa" w:w="120"/>
            </w:tcMar>
          </w:tcPr>
          <w:p>
            <w:r>
              <w:rPr>
                <w:b/>
                <w:bCs/>
                <w:color w:val="FFFFFF"/>
                <w:sz w:val="19"/>
                <w:szCs w:val="19"/>
              </w:rPr>
              <w:t xml:space="preserve">Tramo</w:t>
            </w:r>
          </w:p>
        </w:tc>
        <w:tc>
          <w:tcPr>
            <w:tcW w:type="pct" w:w="550"/>
            <w:shd w:fill="1C3A5C" w:val="clear"/>
            <w:tcMar>
              <w:top w:type="dxa" w:w="80"/>
              <w:left w:type="dxa" w:w="120"/>
              <w:bottom w:type="dxa" w:w="80"/>
              <w:right w:type="dxa" w:w="120"/>
            </w:tcMar>
          </w:tcPr>
          <w:p>
            <w:r>
              <w:rPr>
                <w:b/>
                <w:bCs/>
                <w:color w:val="FFFFFF"/>
                <w:sz w:val="19"/>
                <w:szCs w:val="19"/>
              </w:rPr>
              <w:t xml:space="preserve">CAR medio</w:t>
            </w:r>
          </w:p>
        </w:tc>
        <w:tc>
          <w:tcPr>
            <w:tcW w:type="pct" w:w="650"/>
            <w:shd w:fill="1C3A5C" w:val="clear"/>
            <w:tcMar>
              <w:top w:type="dxa" w:w="80"/>
              <w:left w:type="dxa" w:w="120"/>
              <w:bottom w:type="dxa" w:w="80"/>
              <w:right w:type="dxa" w:w="120"/>
            </w:tcMar>
          </w:tcPr>
          <w:p>
            <w:r>
              <w:rPr>
                <w:b/>
                <w:bCs/>
                <w:color w:val="FFFFFF"/>
                <w:sz w:val="19"/>
                <w:szCs w:val="19"/>
              </w:rPr>
              <w:t xml:space="preserve">Eventos con suba</w:t>
            </w:r>
          </w:p>
        </w:tc>
        <w:tc>
          <w:tcPr>
            <w:tcW w:type="pct" w:w="550"/>
            <w:shd w:fill="1C3A5C" w:val="clear"/>
            <w:tcMar>
              <w:top w:type="dxa" w:w="80"/>
              <w:left w:type="dxa" w:w="120"/>
              <w:bottom w:type="dxa" w:w="80"/>
              <w:right w:type="dxa" w:w="120"/>
            </w:tcMar>
          </w:tcPr>
          <w:p>
            <w:r>
              <w:rPr>
                <w:b/>
                <w:bCs/>
                <w:color w:val="FFFFFF"/>
                <w:sz w:val="19"/>
                <w:szCs w:val="19"/>
              </w:rPr>
              <w:t xml:space="preserve">p (test t)</w:t>
            </w:r>
          </w:p>
        </w:tc>
        <w:tc>
          <w:tcPr>
            <w:tcW w:type="pct" w:w="550"/>
            <w:shd w:fill="1C3A5C" w:val="clear"/>
            <w:tcMar>
              <w:top w:type="dxa" w:w="80"/>
              <w:left w:type="dxa" w:w="120"/>
              <w:bottom w:type="dxa" w:w="80"/>
              <w:right w:type="dxa" w:w="120"/>
            </w:tcMar>
          </w:tcPr>
          <w:p>
            <w:r>
              <w:rPr>
                <w:b/>
                <w:bCs/>
                <w:color w:val="FFFFFF"/>
                <w:sz w:val="19"/>
                <w:szCs w:val="19"/>
              </w:rPr>
              <w:t xml:space="preserve">p (signo)</w:t>
            </w:r>
          </w:p>
        </w:tc>
        <w:tc>
          <w:tcPr>
            <w:tcW w:type="pct" w:w="550"/>
            <w:shd w:fill="1C3A5C" w:val="clear"/>
            <w:tcMar>
              <w:top w:type="dxa" w:w="80"/>
              <w:left w:type="dxa" w:w="120"/>
              <w:bottom w:type="dxa" w:w="80"/>
              <w:right w:type="dxa" w:w="120"/>
            </w:tcMar>
          </w:tcPr>
          <w:p>
            <w:r>
              <w:rPr>
                <w:b/>
                <w:bCs/>
                <w:color w:val="FFFFFF"/>
                <w:sz w:val="19"/>
                <w:szCs w:val="19"/>
              </w:rPr>
              <w:t xml:space="preserve">p (azar)</w:t>
            </w:r>
          </w:p>
        </w:tc>
        <w:tc>
          <w:tcPr>
            <w:tcW w:type="pct" w:w="1200"/>
            <w:shd w:fill="1C3A5C" w:val="clear"/>
            <w:tcMar>
              <w:top w:type="dxa" w:w="80"/>
              <w:left w:type="dxa" w:w="120"/>
              <w:bottom w:type="dxa" w:w="80"/>
              <w:right w:type="dxa" w:w="120"/>
            </w:tcMar>
          </w:tcPr>
          <w:p>
            <w:r>
              <w:rPr>
                <w:b/>
                <w:bCs/>
                <w:color w:val="FFFFFF"/>
                <w:sz w:val="19"/>
                <w:szCs w:val="19"/>
              </w:rPr>
              <w:t xml:space="preserve">Volumen anormal (p azar)</w:t>
            </w:r>
          </w:p>
        </w:tc>
      </w:tr>
      <w:tr>
        <w:trPr>
          <w:cantSplit/>
        </w:trPr>
        <w:tc>
          <w:tcPr>
            <w:tcW w:type="pct" w:w="950"/>
            <w:shd w:fill="FFFFFF" w:val="clear"/>
            <w:tcMar>
              <w:top w:type="dxa" w:w="70"/>
              <w:left w:type="dxa" w:w="120"/>
              <w:bottom w:type="dxa" w:w="70"/>
              <w:right w:type="dxa" w:w="120"/>
            </w:tcMar>
          </w:tcPr>
          <w:p>
            <w:r>
              <w:rPr>
                <w:sz w:val="19"/>
                <w:szCs w:val="19"/>
              </w:rPr>
              <w:t xml:space="preserve">antes [−3, −1]</w:t>
            </w:r>
          </w:p>
        </w:tc>
        <w:tc>
          <w:tcPr>
            <w:tcW w:type="pct" w:w="550"/>
            <w:shd w:fill="FFFFFF" w:val="clear"/>
            <w:tcMar>
              <w:top w:type="dxa" w:w="70"/>
              <w:left w:type="dxa" w:w="120"/>
              <w:bottom w:type="dxa" w:w="70"/>
              <w:right w:type="dxa" w:w="120"/>
            </w:tcMar>
          </w:tcPr>
          <w:p>
            <w:r>
              <w:rPr>
                <w:sz w:val="19"/>
                <w:szCs w:val="19"/>
              </w:rPr>
              <w:t xml:space="preserve">+3,19%</w:t>
            </w:r>
          </w:p>
        </w:tc>
        <w:tc>
          <w:tcPr>
            <w:tcW w:type="pct" w:w="650"/>
            <w:shd w:fill="FFFFFF" w:val="clear"/>
            <w:tcMar>
              <w:top w:type="dxa" w:w="70"/>
              <w:left w:type="dxa" w:w="120"/>
              <w:bottom w:type="dxa" w:w="70"/>
              <w:right w:type="dxa" w:w="120"/>
            </w:tcMar>
          </w:tcPr>
          <w:p>
            <w:r>
              <w:rPr>
                <w:sz w:val="19"/>
                <w:szCs w:val="19"/>
              </w:rPr>
              <w:t xml:space="preserve">5 de 7</w:t>
            </w:r>
          </w:p>
        </w:tc>
        <w:tc>
          <w:tcPr>
            <w:tcW w:type="pct" w:w="550"/>
            <w:shd w:fill="FFFFFF" w:val="clear"/>
            <w:tcMar>
              <w:top w:type="dxa" w:w="70"/>
              <w:left w:type="dxa" w:w="120"/>
              <w:bottom w:type="dxa" w:w="70"/>
              <w:right w:type="dxa" w:w="120"/>
            </w:tcMar>
          </w:tcPr>
          <w:p>
            <w:r>
              <w:rPr>
                <w:sz w:val="19"/>
                <w:szCs w:val="19"/>
              </w:rPr>
              <w:t xml:space="preserve">0,188</w:t>
            </w:r>
          </w:p>
        </w:tc>
        <w:tc>
          <w:tcPr>
            <w:tcW w:type="pct" w:w="550"/>
            <w:shd w:fill="FFFFFF" w:val="clear"/>
            <w:tcMar>
              <w:top w:type="dxa" w:w="70"/>
              <w:left w:type="dxa" w:w="120"/>
              <w:bottom w:type="dxa" w:w="70"/>
              <w:right w:type="dxa" w:w="120"/>
            </w:tcMar>
          </w:tcPr>
          <w:p>
            <w:r>
              <w:rPr>
                <w:sz w:val="19"/>
                <w:szCs w:val="19"/>
              </w:rPr>
              <w:t xml:space="preserve">0,453</w:t>
            </w:r>
          </w:p>
        </w:tc>
        <w:tc>
          <w:tcPr>
            <w:tcW w:type="pct" w:w="550"/>
            <w:shd w:fill="FFFFFF" w:val="clear"/>
            <w:tcMar>
              <w:top w:type="dxa" w:w="70"/>
              <w:left w:type="dxa" w:w="120"/>
              <w:bottom w:type="dxa" w:w="70"/>
              <w:right w:type="dxa" w:w="120"/>
            </w:tcMar>
          </w:tcPr>
          <w:p>
            <w:r>
              <w:rPr>
                <w:sz w:val="19"/>
                <w:szCs w:val="19"/>
              </w:rPr>
              <w:t xml:space="preserve">0,037</w:t>
            </w:r>
          </w:p>
        </w:tc>
        <w:tc>
          <w:tcPr>
            <w:tcW w:type="pct" w:w="1200"/>
            <w:shd w:fill="FFFFFF" w:val="clear"/>
            <w:tcMar>
              <w:top w:type="dxa" w:w="70"/>
              <w:left w:type="dxa" w:w="120"/>
              <w:bottom w:type="dxa" w:w="70"/>
              <w:right w:type="dxa" w:w="120"/>
            </w:tcMar>
          </w:tcPr>
          <w:p>
            <w:r>
              <w:rPr>
                <w:sz w:val="19"/>
                <w:szCs w:val="19"/>
              </w:rPr>
              <w:t xml:space="preserve">0,24 (p 0,031)</w:t>
            </w:r>
          </w:p>
        </w:tc>
      </w:tr>
      <w:tr>
        <w:trPr>
          <w:cantSplit/>
        </w:trPr>
        <w:tc>
          <w:tcPr>
            <w:tcW w:type="pct" w:w="950"/>
            <w:shd w:fill="FAFCFD" w:val="clear"/>
            <w:tcMar>
              <w:top w:type="dxa" w:w="70"/>
              <w:left w:type="dxa" w:w="120"/>
              <w:bottom w:type="dxa" w:w="70"/>
              <w:right w:type="dxa" w:w="120"/>
            </w:tcMar>
          </w:tcPr>
          <w:p>
            <w:r>
              <w:rPr>
                <w:sz w:val="19"/>
                <w:szCs w:val="19"/>
              </w:rPr>
              <w:t xml:space="preserve">día [0]</w:t>
            </w:r>
          </w:p>
        </w:tc>
        <w:tc>
          <w:tcPr>
            <w:tcW w:type="pct" w:w="550"/>
            <w:shd w:fill="FAFCFD" w:val="clear"/>
            <w:tcMar>
              <w:top w:type="dxa" w:w="70"/>
              <w:left w:type="dxa" w:w="120"/>
              <w:bottom w:type="dxa" w:w="70"/>
              <w:right w:type="dxa" w:w="120"/>
            </w:tcMar>
          </w:tcPr>
          <w:p>
            <w:r>
              <w:rPr>
                <w:sz w:val="19"/>
                <w:szCs w:val="19"/>
              </w:rPr>
              <w:t xml:space="preserve">+2,01%</w:t>
            </w:r>
          </w:p>
        </w:tc>
        <w:tc>
          <w:tcPr>
            <w:tcW w:type="pct" w:w="650"/>
            <w:shd w:fill="FAFCFD" w:val="clear"/>
            <w:tcMar>
              <w:top w:type="dxa" w:w="70"/>
              <w:left w:type="dxa" w:w="120"/>
              <w:bottom w:type="dxa" w:w="70"/>
              <w:right w:type="dxa" w:w="120"/>
            </w:tcMar>
          </w:tcPr>
          <w:p>
            <w:r>
              <w:rPr>
                <w:sz w:val="19"/>
                <w:szCs w:val="19"/>
              </w:rPr>
              <w:t xml:space="preserve">7 de 7</w:t>
            </w:r>
          </w:p>
        </w:tc>
        <w:tc>
          <w:tcPr>
            <w:tcW w:type="pct" w:w="550"/>
            <w:shd w:fill="FAFCFD" w:val="clear"/>
            <w:tcMar>
              <w:top w:type="dxa" w:w="70"/>
              <w:left w:type="dxa" w:w="120"/>
              <w:bottom w:type="dxa" w:w="70"/>
              <w:right w:type="dxa" w:w="120"/>
            </w:tcMar>
          </w:tcPr>
          <w:p>
            <w:r>
              <w:rPr>
                <w:sz w:val="19"/>
                <w:szCs w:val="19"/>
              </w:rPr>
              <w:t xml:space="preserve">0,009</w:t>
            </w:r>
          </w:p>
        </w:tc>
        <w:tc>
          <w:tcPr>
            <w:tcW w:type="pct" w:w="550"/>
            <w:shd w:fill="FAFCFD" w:val="clear"/>
            <w:tcMar>
              <w:top w:type="dxa" w:w="70"/>
              <w:left w:type="dxa" w:w="120"/>
              <w:bottom w:type="dxa" w:w="70"/>
              <w:right w:type="dxa" w:w="120"/>
            </w:tcMar>
          </w:tcPr>
          <w:p>
            <w:r>
              <w:rPr>
                <w:sz w:val="19"/>
                <w:szCs w:val="19"/>
              </w:rPr>
              <w:t xml:space="preserve">0,016</w:t>
            </w:r>
          </w:p>
        </w:tc>
        <w:tc>
          <w:tcPr>
            <w:tcW w:type="pct" w:w="550"/>
            <w:shd w:fill="FAFCFD" w:val="clear"/>
            <w:tcMar>
              <w:top w:type="dxa" w:w="70"/>
              <w:left w:type="dxa" w:w="120"/>
              <w:bottom w:type="dxa" w:w="70"/>
              <w:right w:type="dxa" w:w="120"/>
            </w:tcMar>
          </w:tcPr>
          <w:p>
            <w:r>
              <w:rPr>
                <w:sz w:val="19"/>
                <w:szCs w:val="19"/>
              </w:rPr>
              <w:t xml:space="preserve">0,018</w:t>
            </w:r>
          </w:p>
        </w:tc>
        <w:tc>
          <w:tcPr>
            <w:tcW w:type="pct" w:w="1200"/>
            <w:shd w:fill="FAFCFD" w:val="clear"/>
            <w:tcMar>
              <w:top w:type="dxa" w:w="70"/>
              <w:left w:type="dxa" w:w="120"/>
              <w:bottom w:type="dxa" w:w="70"/>
              <w:right w:type="dxa" w:w="120"/>
            </w:tcMar>
          </w:tcPr>
          <w:p>
            <w:r>
              <w:rPr>
                <w:sz w:val="19"/>
                <w:szCs w:val="19"/>
              </w:rPr>
              <w:t xml:space="preserve">0,27 (p 0,060)</w:t>
            </w:r>
          </w:p>
        </w:tc>
      </w:tr>
      <w:tr>
        <w:trPr>
          <w:cantSplit/>
        </w:trPr>
        <w:tc>
          <w:tcPr>
            <w:tcW w:type="pct" w:w="950"/>
            <w:shd w:fill="FFFFFF" w:val="clear"/>
            <w:tcMar>
              <w:top w:type="dxa" w:w="70"/>
              <w:left w:type="dxa" w:w="120"/>
              <w:bottom w:type="dxa" w:w="70"/>
              <w:right w:type="dxa" w:w="120"/>
            </w:tcMar>
          </w:tcPr>
          <w:p>
            <w:r>
              <w:rPr>
                <w:sz w:val="19"/>
                <w:szCs w:val="19"/>
              </w:rPr>
              <w:t xml:space="preserve">después [+1, +5]</w:t>
            </w:r>
          </w:p>
        </w:tc>
        <w:tc>
          <w:tcPr>
            <w:tcW w:type="pct" w:w="550"/>
            <w:shd w:fill="FFFFFF" w:val="clear"/>
            <w:tcMar>
              <w:top w:type="dxa" w:w="70"/>
              <w:left w:type="dxa" w:w="120"/>
              <w:bottom w:type="dxa" w:w="70"/>
              <w:right w:type="dxa" w:w="120"/>
            </w:tcMar>
          </w:tcPr>
          <w:p>
            <w:r>
              <w:rPr>
                <w:sz w:val="19"/>
                <w:szCs w:val="19"/>
              </w:rPr>
              <w:t xml:space="preserve">-2,80%</w:t>
            </w:r>
          </w:p>
        </w:tc>
        <w:tc>
          <w:tcPr>
            <w:tcW w:type="pct" w:w="650"/>
            <w:shd w:fill="FFFFFF" w:val="clear"/>
            <w:tcMar>
              <w:top w:type="dxa" w:w="70"/>
              <w:left w:type="dxa" w:w="120"/>
              <w:bottom w:type="dxa" w:w="70"/>
              <w:right w:type="dxa" w:w="120"/>
            </w:tcMar>
          </w:tcPr>
          <w:p>
            <w:r>
              <w:rPr>
                <w:sz w:val="19"/>
                <w:szCs w:val="19"/>
              </w:rPr>
              <w:t xml:space="preserve">3 de 7</w:t>
            </w:r>
          </w:p>
        </w:tc>
        <w:tc>
          <w:tcPr>
            <w:tcW w:type="pct" w:w="550"/>
            <w:shd w:fill="FFFFFF" w:val="clear"/>
            <w:tcMar>
              <w:top w:type="dxa" w:w="70"/>
              <w:left w:type="dxa" w:w="120"/>
              <w:bottom w:type="dxa" w:w="70"/>
              <w:right w:type="dxa" w:w="120"/>
            </w:tcMar>
          </w:tcPr>
          <w:p>
            <w:r>
              <w:rPr>
                <w:sz w:val="19"/>
                <w:szCs w:val="19"/>
              </w:rPr>
              <w:t xml:space="preserve">0,345</w:t>
            </w:r>
          </w:p>
        </w:tc>
        <w:tc>
          <w:tcPr>
            <w:tcW w:type="pct" w:w="550"/>
            <w:shd w:fill="FFFFFF" w:val="clear"/>
            <w:tcMar>
              <w:top w:type="dxa" w:w="70"/>
              <w:left w:type="dxa" w:w="120"/>
              <w:bottom w:type="dxa" w:w="70"/>
              <w:right w:type="dxa" w:w="120"/>
            </w:tcMar>
          </w:tcPr>
          <w:p>
            <w:r>
              <w:rPr>
                <w:sz w:val="19"/>
                <w:szCs w:val="19"/>
              </w:rPr>
              <w:t xml:space="preserve">1,000</w:t>
            </w:r>
          </w:p>
        </w:tc>
        <w:tc>
          <w:tcPr>
            <w:tcW w:type="pct" w:w="550"/>
            <w:shd w:fill="FFFFFF" w:val="clear"/>
            <w:tcMar>
              <w:top w:type="dxa" w:w="70"/>
              <w:left w:type="dxa" w:w="120"/>
              <w:bottom w:type="dxa" w:w="70"/>
              <w:right w:type="dxa" w:w="120"/>
            </w:tcMar>
          </w:tcPr>
          <w:p>
            <w:r>
              <w:rPr>
                <w:sz w:val="19"/>
                <w:szCs w:val="19"/>
              </w:rPr>
              <w:t xml:space="preserve">0,306</w:t>
            </w:r>
          </w:p>
        </w:tc>
        <w:tc>
          <w:tcPr>
            <w:tcW w:type="pct" w:w="1200"/>
            <w:shd w:fill="FFFFFF" w:val="clear"/>
            <w:tcMar>
              <w:top w:type="dxa" w:w="70"/>
              <w:left w:type="dxa" w:w="120"/>
              <w:bottom w:type="dxa" w:w="70"/>
              <w:right w:type="dxa" w:w="120"/>
            </w:tcMar>
          </w:tcPr>
          <w:p>
            <w:r>
              <w:rPr>
                <w:sz w:val="19"/>
                <w:szCs w:val="19"/>
              </w:rPr>
              <w:t xml:space="preserve">-0,03 (p 0,996)</w:t>
            </w:r>
          </w:p>
        </w:tc>
      </w:tr>
      <w:tr>
        <w:trPr>
          <w:cantSplit/>
        </w:trPr>
        <w:tc>
          <w:tcPr>
            <w:tcW w:type="pct" w:w="950"/>
            <w:shd w:fill="FAFCFD" w:val="clear"/>
            <w:tcMar>
              <w:top w:type="dxa" w:w="70"/>
              <w:left w:type="dxa" w:w="120"/>
              <w:bottom w:type="dxa" w:w="70"/>
              <w:right w:type="dxa" w:w="120"/>
            </w:tcMar>
          </w:tcPr>
          <w:p>
            <w:r>
              <w:rPr>
                <w:sz w:val="19"/>
                <w:szCs w:val="19"/>
              </w:rPr>
              <w:t xml:space="preserve">total [−3, +5]</w:t>
            </w:r>
          </w:p>
        </w:tc>
        <w:tc>
          <w:tcPr>
            <w:tcW w:type="pct" w:w="550"/>
            <w:shd w:fill="FAFCFD" w:val="clear"/>
            <w:tcMar>
              <w:top w:type="dxa" w:w="70"/>
              <w:left w:type="dxa" w:w="120"/>
              <w:bottom w:type="dxa" w:w="70"/>
              <w:right w:type="dxa" w:w="120"/>
            </w:tcMar>
          </w:tcPr>
          <w:p>
            <w:r>
              <w:rPr>
                <w:sz w:val="19"/>
                <w:szCs w:val="19"/>
              </w:rPr>
              <w:t xml:space="preserve">+2,41%</w:t>
            </w:r>
          </w:p>
        </w:tc>
        <w:tc>
          <w:tcPr>
            <w:tcW w:type="pct" w:w="650"/>
            <w:shd w:fill="FAFCFD" w:val="clear"/>
            <w:tcMar>
              <w:top w:type="dxa" w:w="70"/>
              <w:left w:type="dxa" w:w="120"/>
              <w:bottom w:type="dxa" w:w="70"/>
              <w:right w:type="dxa" w:w="120"/>
            </w:tcMar>
          </w:tcPr>
          <w:p>
            <w:r>
              <w:rPr>
                <w:sz w:val="19"/>
                <w:szCs w:val="19"/>
              </w:rPr>
              <w:t xml:space="preserve">6 de 7</w:t>
            </w:r>
          </w:p>
        </w:tc>
        <w:tc>
          <w:tcPr>
            <w:tcW w:type="pct" w:w="550"/>
            <w:shd w:fill="FAFCFD" w:val="clear"/>
            <w:tcMar>
              <w:top w:type="dxa" w:w="70"/>
              <w:left w:type="dxa" w:w="120"/>
              <w:bottom w:type="dxa" w:w="70"/>
              <w:right w:type="dxa" w:w="120"/>
            </w:tcMar>
          </w:tcPr>
          <w:p>
            <w:r>
              <w:rPr>
                <w:sz w:val="19"/>
                <w:szCs w:val="19"/>
              </w:rPr>
              <w:t xml:space="preserve">0,552</w:t>
            </w:r>
          </w:p>
        </w:tc>
        <w:tc>
          <w:tcPr>
            <w:tcW w:type="pct" w:w="550"/>
            <w:shd w:fill="FAFCFD" w:val="clear"/>
            <w:tcMar>
              <w:top w:type="dxa" w:w="70"/>
              <w:left w:type="dxa" w:w="120"/>
              <w:bottom w:type="dxa" w:w="70"/>
              <w:right w:type="dxa" w:w="120"/>
            </w:tcMar>
          </w:tcPr>
          <w:p>
            <w:r>
              <w:rPr>
                <w:sz w:val="19"/>
                <w:szCs w:val="19"/>
              </w:rPr>
              <w:t xml:space="preserve">0,125</w:t>
            </w:r>
          </w:p>
        </w:tc>
        <w:tc>
          <w:tcPr>
            <w:tcW w:type="pct" w:w="550"/>
            <w:shd w:fill="FAFCFD" w:val="clear"/>
            <w:tcMar>
              <w:top w:type="dxa" w:w="70"/>
              <w:left w:type="dxa" w:w="120"/>
              <w:bottom w:type="dxa" w:w="70"/>
              <w:right w:type="dxa" w:w="120"/>
            </w:tcMar>
          </w:tcPr>
          <w:p>
            <w:r>
              <w:rPr>
                <w:sz w:val="19"/>
                <w:szCs w:val="19"/>
              </w:rPr>
              <w:t xml:space="preserve">0,341</w:t>
            </w:r>
          </w:p>
        </w:tc>
        <w:tc>
          <w:tcPr>
            <w:tcW w:type="pct" w:w="1200"/>
            <w:shd w:fill="FAFCFD" w:val="clear"/>
            <w:tcMar>
              <w:top w:type="dxa" w:w="70"/>
              <w:left w:type="dxa" w:w="120"/>
              <w:bottom w:type="dxa" w:w="70"/>
              <w:right w:type="dxa" w:w="120"/>
            </w:tcMar>
          </w:tcPr>
          <w:p>
            <w:r>
              <w:rPr>
                <w:sz w:val="19"/>
                <w:szCs w:val="19"/>
              </w:rPr>
              <w:t xml:space="preserve">0,09 (p 0,123)</w:t>
            </w:r>
          </w:p>
        </w:tc>
      </w:tr>
    </w:tbl>
    <w:p>
      <w:pPr>
        <w:spacing w:after="160" w:line="300"/>
      </w:pPr>
      <w:r>
        <w:rPr>
          <w:b/>
          <w:bCs/>
        </w:rPr>
        <w:t xml:space="preserve">Tono extremo negativo (9 eventos)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831"/>
        <w:gridCol w:w="1060"/>
        <w:gridCol w:w="1253"/>
        <w:gridCol w:w="1060"/>
        <w:gridCol w:w="1060"/>
        <w:gridCol w:w="1060"/>
        <w:gridCol w:w="2313"/>
      </w:tblGrid>
      <w:tr>
        <w:trPr>
          <w:tblHeader/>
        </w:trPr>
        <w:tc>
          <w:tcPr>
            <w:tcW w:type="pct" w:w="950"/>
            <w:shd w:fill="1C3A5C" w:val="clear"/>
            <w:tcMar>
              <w:top w:type="dxa" w:w="80"/>
              <w:left w:type="dxa" w:w="120"/>
              <w:bottom w:type="dxa" w:w="80"/>
              <w:right w:type="dxa" w:w="120"/>
            </w:tcMar>
          </w:tcPr>
          <w:p>
            <w:r>
              <w:rPr>
                <w:b/>
                <w:bCs/>
                <w:color w:val="FFFFFF"/>
                <w:sz w:val="19"/>
                <w:szCs w:val="19"/>
              </w:rPr>
              <w:t xml:space="preserve">Tramo</w:t>
            </w:r>
          </w:p>
        </w:tc>
        <w:tc>
          <w:tcPr>
            <w:tcW w:type="pct" w:w="550"/>
            <w:shd w:fill="1C3A5C" w:val="clear"/>
            <w:tcMar>
              <w:top w:type="dxa" w:w="80"/>
              <w:left w:type="dxa" w:w="120"/>
              <w:bottom w:type="dxa" w:w="80"/>
              <w:right w:type="dxa" w:w="120"/>
            </w:tcMar>
          </w:tcPr>
          <w:p>
            <w:r>
              <w:rPr>
                <w:b/>
                <w:bCs/>
                <w:color w:val="FFFFFF"/>
                <w:sz w:val="19"/>
                <w:szCs w:val="19"/>
              </w:rPr>
              <w:t xml:space="preserve">CAR medio</w:t>
            </w:r>
          </w:p>
        </w:tc>
        <w:tc>
          <w:tcPr>
            <w:tcW w:type="pct" w:w="650"/>
            <w:shd w:fill="1C3A5C" w:val="clear"/>
            <w:tcMar>
              <w:top w:type="dxa" w:w="80"/>
              <w:left w:type="dxa" w:w="120"/>
              <w:bottom w:type="dxa" w:w="80"/>
              <w:right w:type="dxa" w:w="120"/>
            </w:tcMar>
          </w:tcPr>
          <w:p>
            <w:r>
              <w:rPr>
                <w:b/>
                <w:bCs/>
                <w:color w:val="FFFFFF"/>
                <w:sz w:val="19"/>
                <w:szCs w:val="19"/>
              </w:rPr>
              <w:t xml:space="preserve">Eventos con suba</w:t>
            </w:r>
          </w:p>
        </w:tc>
        <w:tc>
          <w:tcPr>
            <w:tcW w:type="pct" w:w="550"/>
            <w:shd w:fill="1C3A5C" w:val="clear"/>
            <w:tcMar>
              <w:top w:type="dxa" w:w="80"/>
              <w:left w:type="dxa" w:w="120"/>
              <w:bottom w:type="dxa" w:w="80"/>
              <w:right w:type="dxa" w:w="120"/>
            </w:tcMar>
          </w:tcPr>
          <w:p>
            <w:r>
              <w:rPr>
                <w:b/>
                <w:bCs/>
                <w:color w:val="FFFFFF"/>
                <w:sz w:val="19"/>
                <w:szCs w:val="19"/>
              </w:rPr>
              <w:t xml:space="preserve">p (test t)</w:t>
            </w:r>
          </w:p>
        </w:tc>
        <w:tc>
          <w:tcPr>
            <w:tcW w:type="pct" w:w="550"/>
            <w:shd w:fill="1C3A5C" w:val="clear"/>
            <w:tcMar>
              <w:top w:type="dxa" w:w="80"/>
              <w:left w:type="dxa" w:w="120"/>
              <w:bottom w:type="dxa" w:w="80"/>
              <w:right w:type="dxa" w:w="120"/>
            </w:tcMar>
          </w:tcPr>
          <w:p>
            <w:r>
              <w:rPr>
                <w:b/>
                <w:bCs/>
                <w:color w:val="FFFFFF"/>
                <w:sz w:val="19"/>
                <w:szCs w:val="19"/>
              </w:rPr>
              <w:t xml:space="preserve">p (signo)</w:t>
            </w:r>
          </w:p>
        </w:tc>
        <w:tc>
          <w:tcPr>
            <w:tcW w:type="pct" w:w="550"/>
            <w:shd w:fill="1C3A5C" w:val="clear"/>
            <w:tcMar>
              <w:top w:type="dxa" w:w="80"/>
              <w:left w:type="dxa" w:w="120"/>
              <w:bottom w:type="dxa" w:w="80"/>
              <w:right w:type="dxa" w:w="120"/>
            </w:tcMar>
          </w:tcPr>
          <w:p>
            <w:r>
              <w:rPr>
                <w:b/>
                <w:bCs/>
                <w:color w:val="FFFFFF"/>
                <w:sz w:val="19"/>
                <w:szCs w:val="19"/>
              </w:rPr>
              <w:t xml:space="preserve">p (azar)</w:t>
            </w:r>
          </w:p>
        </w:tc>
        <w:tc>
          <w:tcPr>
            <w:tcW w:type="pct" w:w="1200"/>
            <w:shd w:fill="1C3A5C" w:val="clear"/>
            <w:tcMar>
              <w:top w:type="dxa" w:w="80"/>
              <w:left w:type="dxa" w:w="120"/>
              <w:bottom w:type="dxa" w:w="80"/>
              <w:right w:type="dxa" w:w="120"/>
            </w:tcMar>
          </w:tcPr>
          <w:p>
            <w:r>
              <w:rPr>
                <w:b/>
                <w:bCs/>
                <w:color w:val="FFFFFF"/>
                <w:sz w:val="19"/>
                <w:szCs w:val="19"/>
              </w:rPr>
              <w:t xml:space="preserve">Volumen anormal (p azar)</w:t>
            </w:r>
          </w:p>
        </w:tc>
      </w:tr>
      <w:tr>
        <w:trPr>
          <w:cantSplit/>
        </w:trPr>
        <w:tc>
          <w:tcPr>
            <w:tcW w:type="pct" w:w="950"/>
            <w:shd w:fill="FFFFFF" w:val="clear"/>
            <w:tcMar>
              <w:top w:type="dxa" w:w="70"/>
              <w:left w:type="dxa" w:w="120"/>
              <w:bottom w:type="dxa" w:w="70"/>
              <w:right w:type="dxa" w:w="120"/>
            </w:tcMar>
          </w:tcPr>
          <w:p>
            <w:r>
              <w:rPr>
                <w:sz w:val="19"/>
                <w:szCs w:val="19"/>
              </w:rPr>
              <w:t xml:space="preserve">antes [−3, −1]</w:t>
            </w:r>
          </w:p>
        </w:tc>
        <w:tc>
          <w:tcPr>
            <w:tcW w:type="pct" w:w="550"/>
            <w:shd w:fill="FFFFFF" w:val="clear"/>
            <w:tcMar>
              <w:top w:type="dxa" w:w="70"/>
              <w:left w:type="dxa" w:w="120"/>
              <w:bottom w:type="dxa" w:w="70"/>
              <w:right w:type="dxa" w:w="120"/>
            </w:tcMar>
          </w:tcPr>
          <w:p>
            <w:r>
              <w:rPr>
                <w:sz w:val="19"/>
                <w:szCs w:val="19"/>
              </w:rPr>
              <w:t xml:space="preserve">-0,84%</w:t>
            </w:r>
          </w:p>
        </w:tc>
        <w:tc>
          <w:tcPr>
            <w:tcW w:type="pct" w:w="650"/>
            <w:shd w:fill="FFFFFF" w:val="clear"/>
            <w:tcMar>
              <w:top w:type="dxa" w:w="70"/>
              <w:left w:type="dxa" w:w="120"/>
              <w:bottom w:type="dxa" w:w="70"/>
              <w:right w:type="dxa" w:w="120"/>
            </w:tcMar>
          </w:tcPr>
          <w:p>
            <w:r>
              <w:rPr>
                <w:sz w:val="19"/>
                <w:szCs w:val="19"/>
              </w:rPr>
              <w:t xml:space="preserve">4 de 9</w:t>
            </w:r>
          </w:p>
        </w:tc>
        <w:tc>
          <w:tcPr>
            <w:tcW w:type="pct" w:w="550"/>
            <w:shd w:fill="FFFFFF" w:val="clear"/>
            <w:tcMar>
              <w:top w:type="dxa" w:w="70"/>
              <w:left w:type="dxa" w:w="120"/>
              <w:bottom w:type="dxa" w:w="70"/>
              <w:right w:type="dxa" w:w="120"/>
            </w:tcMar>
          </w:tcPr>
          <w:p>
            <w:r>
              <w:rPr>
                <w:sz w:val="19"/>
                <w:szCs w:val="19"/>
              </w:rPr>
              <w:t xml:space="preserve">0,633</w:t>
            </w:r>
          </w:p>
        </w:tc>
        <w:tc>
          <w:tcPr>
            <w:tcW w:type="pct" w:w="550"/>
            <w:shd w:fill="FFFFFF" w:val="clear"/>
            <w:tcMar>
              <w:top w:type="dxa" w:w="70"/>
              <w:left w:type="dxa" w:w="120"/>
              <w:bottom w:type="dxa" w:w="70"/>
              <w:right w:type="dxa" w:w="120"/>
            </w:tcMar>
          </w:tcPr>
          <w:p>
            <w:r>
              <w:rPr>
                <w:sz w:val="19"/>
                <w:szCs w:val="19"/>
              </w:rPr>
              <w:t xml:space="preserve">1,000</w:t>
            </w:r>
          </w:p>
        </w:tc>
        <w:tc>
          <w:tcPr>
            <w:tcW w:type="pct" w:w="550"/>
            <w:shd w:fill="FFFFFF" w:val="clear"/>
            <w:tcMar>
              <w:top w:type="dxa" w:w="70"/>
              <w:left w:type="dxa" w:w="120"/>
              <w:bottom w:type="dxa" w:w="70"/>
              <w:right w:type="dxa" w:w="120"/>
            </w:tcMar>
          </w:tcPr>
          <w:p>
            <w:r>
              <w:rPr>
                <w:sz w:val="19"/>
                <w:szCs w:val="19"/>
              </w:rPr>
              <w:t xml:space="preserve">0,645</w:t>
            </w:r>
          </w:p>
        </w:tc>
        <w:tc>
          <w:tcPr>
            <w:tcW w:type="pct" w:w="1200"/>
            <w:shd w:fill="FFFFFF" w:val="clear"/>
            <w:tcMar>
              <w:top w:type="dxa" w:w="70"/>
              <w:left w:type="dxa" w:w="120"/>
              <w:bottom w:type="dxa" w:w="70"/>
              <w:right w:type="dxa" w:w="120"/>
            </w:tcMar>
          </w:tcPr>
          <w:p>
            <w:r>
              <w:rPr>
                <w:sz w:val="19"/>
                <w:szCs w:val="19"/>
              </w:rPr>
              <w:t xml:space="preserve">-0,11 (p 0,355)</w:t>
            </w:r>
          </w:p>
        </w:tc>
      </w:tr>
      <w:tr>
        <w:trPr>
          <w:cantSplit/>
        </w:trPr>
        <w:tc>
          <w:tcPr>
            <w:tcW w:type="pct" w:w="950"/>
            <w:shd w:fill="FAFCFD" w:val="clear"/>
            <w:tcMar>
              <w:top w:type="dxa" w:w="70"/>
              <w:left w:type="dxa" w:w="120"/>
              <w:bottom w:type="dxa" w:w="70"/>
              <w:right w:type="dxa" w:w="120"/>
            </w:tcMar>
          </w:tcPr>
          <w:p>
            <w:r>
              <w:rPr>
                <w:sz w:val="19"/>
                <w:szCs w:val="19"/>
              </w:rPr>
              <w:t xml:space="preserve">día [0]</w:t>
            </w:r>
          </w:p>
        </w:tc>
        <w:tc>
          <w:tcPr>
            <w:tcW w:type="pct" w:w="550"/>
            <w:shd w:fill="FAFCFD" w:val="clear"/>
            <w:tcMar>
              <w:top w:type="dxa" w:w="70"/>
              <w:left w:type="dxa" w:w="120"/>
              <w:bottom w:type="dxa" w:w="70"/>
              <w:right w:type="dxa" w:w="120"/>
            </w:tcMar>
          </w:tcPr>
          <w:p>
            <w:r>
              <w:rPr>
                <w:sz w:val="19"/>
                <w:szCs w:val="19"/>
              </w:rPr>
              <w:t xml:space="preserve">-0,01%</w:t>
            </w:r>
          </w:p>
        </w:tc>
        <w:tc>
          <w:tcPr>
            <w:tcW w:type="pct" w:w="650"/>
            <w:shd w:fill="FAFCFD" w:val="clear"/>
            <w:tcMar>
              <w:top w:type="dxa" w:w="70"/>
              <w:left w:type="dxa" w:w="120"/>
              <w:bottom w:type="dxa" w:w="70"/>
              <w:right w:type="dxa" w:w="120"/>
            </w:tcMar>
          </w:tcPr>
          <w:p>
            <w:r>
              <w:rPr>
                <w:sz w:val="19"/>
                <w:szCs w:val="19"/>
              </w:rPr>
              <w:t xml:space="preserve">4 de 9</w:t>
            </w:r>
          </w:p>
        </w:tc>
        <w:tc>
          <w:tcPr>
            <w:tcW w:type="pct" w:w="550"/>
            <w:shd w:fill="FAFCFD" w:val="clear"/>
            <w:tcMar>
              <w:top w:type="dxa" w:w="70"/>
              <w:left w:type="dxa" w:w="120"/>
              <w:bottom w:type="dxa" w:w="70"/>
              <w:right w:type="dxa" w:w="120"/>
            </w:tcMar>
          </w:tcPr>
          <w:p>
            <w:r>
              <w:rPr>
                <w:sz w:val="19"/>
                <w:szCs w:val="19"/>
              </w:rPr>
              <w:t xml:space="preserve">0,988</w:t>
            </w:r>
          </w:p>
        </w:tc>
        <w:tc>
          <w:tcPr>
            <w:tcW w:type="pct" w:w="550"/>
            <w:shd w:fill="FAFCFD" w:val="clear"/>
            <w:tcMar>
              <w:top w:type="dxa" w:w="70"/>
              <w:left w:type="dxa" w:w="120"/>
              <w:bottom w:type="dxa" w:w="70"/>
              <w:right w:type="dxa" w:w="120"/>
            </w:tcMar>
          </w:tcPr>
          <w:p>
            <w:r>
              <w:rPr>
                <w:sz w:val="19"/>
                <w:szCs w:val="19"/>
              </w:rPr>
              <w:t xml:space="preserve">1,000</w:t>
            </w:r>
          </w:p>
        </w:tc>
        <w:tc>
          <w:tcPr>
            <w:tcW w:type="pct" w:w="550"/>
            <w:shd w:fill="FAFCFD" w:val="clear"/>
            <w:tcMar>
              <w:top w:type="dxa" w:w="70"/>
              <w:left w:type="dxa" w:w="120"/>
              <w:bottom w:type="dxa" w:w="70"/>
              <w:right w:type="dxa" w:w="120"/>
            </w:tcMar>
          </w:tcPr>
          <w:p>
            <w:r>
              <w:rPr>
                <w:sz w:val="19"/>
                <w:szCs w:val="19"/>
              </w:rPr>
              <w:t xml:space="preserve">0,915</w:t>
            </w:r>
          </w:p>
        </w:tc>
        <w:tc>
          <w:tcPr>
            <w:tcW w:type="pct" w:w="1200"/>
            <w:shd w:fill="FAFCFD" w:val="clear"/>
            <w:tcMar>
              <w:top w:type="dxa" w:w="70"/>
              <w:left w:type="dxa" w:w="120"/>
              <w:bottom w:type="dxa" w:w="70"/>
              <w:right w:type="dxa" w:w="120"/>
            </w:tcMar>
          </w:tcPr>
          <w:p>
            <w:r>
              <w:rPr>
                <w:sz w:val="19"/>
                <w:szCs w:val="19"/>
              </w:rPr>
              <w:t xml:space="preserve">-0,19 (p 0,254)</w:t>
            </w:r>
          </w:p>
        </w:tc>
      </w:tr>
      <w:tr>
        <w:trPr>
          <w:cantSplit/>
        </w:trPr>
        <w:tc>
          <w:tcPr>
            <w:tcW w:type="pct" w:w="950"/>
            <w:shd w:fill="FFFFFF" w:val="clear"/>
            <w:tcMar>
              <w:top w:type="dxa" w:w="70"/>
              <w:left w:type="dxa" w:w="120"/>
              <w:bottom w:type="dxa" w:w="70"/>
              <w:right w:type="dxa" w:w="120"/>
            </w:tcMar>
          </w:tcPr>
          <w:p>
            <w:r>
              <w:rPr>
                <w:sz w:val="19"/>
                <w:szCs w:val="19"/>
              </w:rPr>
              <w:t xml:space="preserve">después [+1, +5]</w:t>
            </w:r>
          </w:p>
        </w:tc>
        <w:tc>
          <w:tcPr>
            <w:tcW w:type="pct" w:w="550"/>
            <w:shd w:fill="FFFFFF" w:val="clear"/>
            <w:tcMar>
              <w:top w:type="dxa" w:w="70"/>
              <w:left w:type="dxa" w:w="120"/>
              <w:bottom w:type="dxa" w:w="70"/>
              <w:right w:type="dxa" w:w="120"/>
            </w:tcMar>
          </w:tcPr>
          <w:p>
            <w:r>
              <w:rPr>
                <w:sz w:val="19"/>
                <w:szCs w:val="19"/>
              </w:rPr>
              <w:t xml:space="preserve">+1,27%</w:t>
            </w:r>
          </w:p>
        </w:tc>
        <w:tc>
          <w:tcPr>
            <w:tcW w:type="pct" w:w="650"/>
            <w:shd w:fill="FFFFFF" w:val="clear"/>
            <w:tcMar>
              <w:top w:type="dxa" w:w="70"/>
              <w:left w:type="dxa" w:w="120"/>
              <w:bottom w:type="dxa" w:w="70"/>
              <w:right w:type="dxa" w:w="120"/>
            </w:tcMar>
          </w:tcPr>
          <w:p>
            <w:r>
              <w:rPr>
                <w:sz w:val="19"/>
                <w:szCs w:val="19"/>
              </w:rPr>
              <w:t xml:space="preserve">5 de 9</w:t>
            </w:r>
          </w:p>
        </w:tc>
        <w:tc>
          <w:tcPr>
            <w:tcW w:type="pct" w:w="550"/>
            <w:shd w:fill="FFFFFF" w:val="clear"/>
            <w:tcMar>
              <w:top w:type="dxa" w:w="70"/>
              <w:left w:type="dxa" w:w="120"/>
              <w:bottom w:type="dxa" w:w="70"/>
              <w:right w:type="dxa" w:w="120"/>
            </w:tcMar>
          </w:tcPr>
          <w:p>
            <w:r>
              <w:rPr>
                <w:sz w:val="19"/>
                <w:szCs w:val="19"/>
              </w:rPr>
              <w:t xml:space="preserve">0,420</w:t>
            </w:r>
          </w:p>
        </w:tc>
        <w:tc>
          <w:tcPr>
            <w:tcW w:type="pct" w:w="550"/>
            <w:shd w:fill="FFFFFF" w:val="clear"/>
            <w:tcMar>
              <w:top w:type="dxa" w:w="70"/>
              <w:left w:type="dxa" w:w="120"/>
              <w:bottom w:type="dxa" w:w="70"/>
              <w:right w:type="dxa" w:w="120"/>
            </w:tcMar>
          </w:tcPr>
          <w:p>
            <w:r>
              <w:rPr>
                <w:sz w:val="19"/>
                <w:szCs w:val="19"/>
              </w:rPr>
              <w:t xml:space="preserve">1,000</w:t>
            </w:r>
          </w:p>
        </w:tc>
        <w:tc>
          <w:tcPr>
            <w:tcW w:type="pct" w:w="550"/>
            <w:shd w:fill="FFFFFF" w:val="clear"/>
            <w:tcMar>
              <w:top w:type="dxa" w:w="70"/>
              <w:left w:type="dxa" w:w="120"/>
              <w:bottom w:type="dxa" w:w="70"/>
              <w:right w:type="dxa" w:w="120"/>
            </w:tcMar>
          </w:tcPr>
          <w:p>
            <w:r>
              <w:rPr>
                <w:sz w:val="19"/>
                <w:szCs w:val="19"/>
              </w:rPr>
              <w:t xml:space="preserve">0,370</w:t>
            </w:r>
          </w:p>
        </w:tc>
        <w:tc>
          <w:tcPr>
            <w:tcW w:type="pct" w:w="1200"/>
            <w:shd w:fill="FFFFFF" w:val="clear"/>
            <w:tcMar>
              <w:top w:type="dxa" w:w="70"/>
              <w:left w:type="dxa" w:w="120"/>
              <w:bottom w:type="dxa" w:w="70"/>
              <w:right w:type="dxa" w:w="120"/>
            </w:tcMar>
          </w:tcPr>
          <w:p>
            <w:r>
              <w:rPr>
                <w:sz w:val="19"/>
                <w:szCs w:val="19"/>
              </w:rPr>
              <w:t xml:space="preserve">-0,17 (p 0,105)</w:t>
            </w:r>
          </w:p>
        </w:tc>
      </w:tr>
      <w:tr>
        <w:trPr>
          <w:cantSplit/>
        </w:trPr>
        <w:tc>
          <w:tcPr>
            <w:tcW w:type="pct" w:w="950"/>
            <w:shd w:fill="FAFCFD" w:val="clear"/>
            <w:tcMar>
              <w:top w:type="dxa" w:w="70"/>
              <w:left w:type="dxa" w:w="120"/>
              <w:bottom w:type="dxa" w:w="70"/>
              <w:right w:type="dxa" w:w="120"/>
            </w:tcMar>
          </w:tcPr>
          <w:p>
            <w:r>
              <w:rPr>
                <w:sz w:val="19"/>
                <w:szCs w:val="19"/>
              </w:rPr>
              <w:t xml:space="preserve">total [−3, +5]</w:t>
            </w:r>
          </w:p>
        </w:tc>
        <w:tc>
          <w:tcPr>
            <w:tcW w:type="pct" w:w="550"/>
            <w:shd w:fill="FAFCFD" w:val="clear"/>
            <w:tcMar>
              <w:top w:type="dxa" w:w="70"/>
              <w:left w:type="dxa" w:w="120"/>
              <w:bottom w:type="dxa" w:w="70"/>
              <w:right w:type="dxa" w:w="120"/>
            </w:tcMar>
          </w:tcPr>
          <w:p>
            <w:r>
              <w:rPr>
                <w:sz w:val="19"/>
                <w:szCs w:val="19"/>
              </w:rPr>
              <w:t xml:space="preserve">+0,43%</w:t>
            </w:r>
          </w:p>
        </w:tc>
        <w:tc>
          <w:tcPr>
            <w:tcW w:type="pct" w:w="650"/>
            <w:shd w:fill="FAFCFD" w:val="clear"/>
            <w:tcMar>
              <w:top w:type="dxa" w:w="70"/>
              <w:left w:type="dxa" w:w="120"/>
              <w:bottom w:type="dxa" w:w="70"/>
              <w:right w:type="dxa" w:w="120"/>
            </w:tcMar>
          </w:tcPr>
          <w:p>
            <w:r>
              <w:rPr>
                <w:sz w:val="19"/>
                <w:szCs w:val="19"/>
              </w:rPr>
              <w:t xml:space="preserve">4 de 9</w:t>
            </w:r>
          </w:p>
        </w:tc>
        <w:tc>
          <w:tcPr>
            <w:tcW w:type="pct" w:w="550"/>
            <w:shd w:fill="FAFCFD" w:val="clear"/>
            <w:tcMar>
              <w:top w:type="dxa" w:w="70"/>
              <w:left w:type="dxa" w:w="120"/>
              <w:bottom w:type="dxa" w:w="70"/>
              <w:right w:type="dxa" w:w="120"/>
            </w:tcMar>
          </w:tcPr>
          <w:p>
            <w:r>
              <w:rPr>
                <w:sz w:val="19"/>
                <w:szCs w:val="19"/>
              </w:rPr>
              <w:t xml:space="preserve">0,855</w:t>
            </w:r>
          </w:p>
        </w:tc>
        <w:tc>
          <w:tcPr>
            <w:tcW w:type="pct" w:w="550"/>
            <w:shd w:fill="FAFCFD" w:val="clear"/>
            <w:tcMar>
              <w:top w:type="dxa" w:w="70"/>
              <w:left w:type="dxa" w:w="120"/>
              <w:bottom w:type="dxa" w:w="70"/>
              <w:right w:type="dxa" w:w="120"/>
            </w:tcMar>
          </w:tcPr>
          <w:p>
            <w:r>
              <w:rPr>
                <w:sz w:val="19"/>
                <w:szCs w:val="19"/>
              </w:rPr>
              <w:t xml:space="preserve">1,000</w:t>
            </w:r>
          </w:p>
        </w:tc>
        <w:tc>
          <w:tcPr>
            <w:tcW w:type="pct" w:w="550"/>
            <w:shd w:fill="FAFCFD" w:val="clear"/>
            <w:tcMar>
              <w:top w:type="dxa" w:w="70"/>
              <w:left w:type="dxa" w:w="120"/>
              <w:bottom w:type="dxa" w:w="70"/>
              <w:right w:type="dxa" w:w="120"/>
            </w:tcMar>
          </w:tcPr>
          <w:p>
            <w:r>
              <w:rPr>
                <w:sz w:val="19"/>
                <w:szCs w:val="19"/>
              </w:rPr>
              <w:t xml:space="preserve">0,705</w:t>
            </w:r>
          </w:p>
        </w:tc>
        <w:tc>
          <w:tcPr>
            <w:tcW w:type="pct" w:w="1200"/>
            <w:shd w:fill="FAFCFD" w:val="clear"/>
            <w:tcMar>
              <w:top w:type="dxa" w:w="70"/>
              <w:left w:type="dxa" w:w="120"/>
              <w:bottom w:type="dxa" w:w="70"/>
              <w:right w:type="dxa" w:w="120"/>
            </w:tcMar>
          </w:tcPr>
          <w:p>
            <w:r>
              <w:rPr>
                <w:sz w:val="19"/>
                <w:szCs w:val="19"/>
              </w:rPr>
              <w:t xml:space="preserve">-0,15 (p 0,070)</w:t>
            </w:r>
          </w:p>
        </w:tc>
      </w:tr>
    </w:tbl>
    <w:p>
      <w:pPr>
        <w:spacing w:after="160"/>
        <w:jc w:val="center"/>
      </w:pPr>
      <w:r>
        <w:drawing>
          <wp:inline distT="0" distB="0" distL="0" distR="0">
            <wp:extent cx="5619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47900"/>
                    </a:xfrm>
                    <a:prstGeom prst="rect">
                      <a:avLst/>
                    </a:prstGeom>
                  </pic:spPr>
                </pic:pic>
              </a:graphicData>
            </a:graphic>
          </wp:inline>
        </w:drawing>
      </w:r>
    </w:p>
    <w:p>
      <w:pPr>
        <w:spacing w:after="160" w:line="300"/>
      </w:pPr>
      <w:r>
        <w:rPr>
          <w:i/>
          <w:iCs/>
          <w:color w:val="5C6B7A"/>
          <w:sz w:val="18"/>
          <w:szCs w:val="18"/>
        </w:rPr>
        <w:t xml:space="preserve">Retorno anormal acumulado promedio del Merval desde 3 ruedas antes hasta 5 después de los eventos. La banda gris es el 95% de lo que da el azar con la misma cantidad de fechas.</w:t>
      </w:r>
    </w:p>
    <w:p>
      <w:pPr>
        <w:spacing w:after="160" w:line="300"/>
      </w:pPr>
      <w:r>
        <w:t xml:space="preserve">En las ruedas de tono extremo positivo, el Merval sube +2,01% el mismo día, en 7 de 7 eventos (p del test t 0,009, contra el azar 0,018). Y ya venía subiendo: +3,19% en las tres ruedas previas (contra el azar, p = 0,037). Después del evento no hay nada: -2,80%, que no se distingue del azar. En las ruedas de tono extremo negativo no aparece ningún movimiento.</w:t>
      </w:r>
    </w:p>
    <w:p>
      <w:pPr>
        <w:spacing w:after="160" w:line="300"/>
      </w:pPr>
      <w:r>
        <w:t xml:space="preserve">Como control, dejando solo el primero de cada grupo de eventos solapados quedan 4 eventos positivos: la suba del día se mantiene (+2,40%) y sigue siendo distinta del azar (p = 0,034), aunque con tan pocos eventos el test t da 0,061.</w:t>
      </w:r>
    </w:p>
    <w:p>
      <w:pPr>
        <w:spacing w:after="160" w:line="300"/>
      </w:pPr>
      <w:r>
        <w:rPr>
          <w:b/>
          <w:bCs/>
        </w:rPr>
        <w:t xml:space="preserve">El volumen. </w:t>
      </w:r>
      <w:r>
        <w:t xml:space="preserve">El monto operado anormal del mercado (última columna; 0 es lo habitual, +0,69 el doble) acompaña al precio: en los eventos positivos ya estaba 0,24 por encima de lo habitual en las tres ruedas previas (contra el azar, p = 0,031) y 0,27 el mismo día (p = 0,060); después vuelve a lo normal. En los eventos negativos no se distingue del azar. El test t, que no usa el azar como referencia, no llega al 5% en ningún tramo.</w:t>
      </w:r>
    </w:p>
    <w:p>
      <w:pPr>
        <w:pStyle w:val="Heading1"/>
        <w:keepNext/>
        <w:spacing w:after="160" w:before="360"/>
      </w:pPr>
      <w:r>
        <w:t xml:space="preserve">5. Resultado B: cada empresa en sus ruedas de tono propio extremo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542"/>
        <w:gridCol w:w="2120"/>
        <w:gridCol w:w="1349"/>
        <w:gridCol w:w="1349"/>
        <w:gridCol w:w="1349"/>
        <w:gridCol w:w="1928"/>
      </w:tblGrid>
      <w:tr>
        <w:trPr>
          <w:tblHeader/>
        </w:trPr>
        <w:tc>
          <w:tcPr>
            <w:tcW w:type="pct" w:w="800"/>
            <w:shd w:fill="1C3A5C" w:val="clear"/>
            <w:tcMar>
              <w:top w:type="dxa" w:w="80"/>
              <w:left w:type="dxa" w:w="120"/>
              <w:bottom w:type="dxa" w:w="80"/>
              <w:right w:type="dxa" w:w="120"/>
            </w:tcMar>
          </w:tcPr>
          <w:p>
            <w:r>
              <w:rPr>
                <w:b/>
                <w:bCs/>
                <w:color w:val="FFFFFF"/>
                <w:sz w:val="19"/>
                <w:szCs w:val="19"/>
              </w:rPr>
              <w:t xml:space="preserve">Eventos</w:t>
            </w:r>
          </w:p>
        </w:tc>
        <w:tc>
          <w:tcPr>
            <w:tcW w:type="pct" w:w="1100"/>
            <w:shd w:fill="1C3A5C" w:val="clear"/>
            <w:tcMar>
              <w:top w:type="dxa" w:w="80"/>
              <w:left w:type="dxa" w:w="120"/>
              <w:bottom w:type="dxa" w:w="80"/>
              <w:right w:type="dxa" w:w="120"/>
            </w:tcMar>
          </w:tcPr>
          <w:p>
            <w:r>
              <w:rPr>
                <w:b/>
                <w:bCs/>
                <w:color w:val="FFFFFF"/>
                <w:sz w:val="19"/>
                <w:szCs w:val="19"/>
              </w:rPr>
              <w:t xml:space="preserve">Tramo</w:t>
            </w:r>
          </w:p>
        </w:tc>
        <w:tc>
          <w:tcPr>
            <w:tcW w:type="pct" w:w="700"/>
            <w:shd w:fill="1C3A5C" w:val="clear"/>
            <w:tcMar>
              <w:top w:type="dxa" w:w="80"/>
              <w:left w:type="dxa" w:w="120"/>
              <w:bottom w:type="dxa" w:w="80"/>
              <w:right w:type="dxa" w:w="120"/>
            </w:tcMar>
          </w:tcPr>
          <w:p>
            <w:r>
              <w:rPr>
                <w:b/>
                <w:bCs/>
                <w:color w:val="FFFFFF"/>
                <w:sz w:val="19"/>
                <w:szCs w:val="19"/>
              </w:rPr>
              <w:t xml:space="preserve">CAR medio</w:t>
            </w:r>
          </w:p>
        </w:tc>
        <w:tc>
          <w:tcPr>
            <w:tcW w:type="pct" w:w="700"/>
            <w:shd w:fill="1C3A5C" w:val="clear"/>
            <w:tcMar>
              <w:top w:type="dxa" w:w="80"/>
              <w:left w:type="dxa" w:w="120"/>
              <w:bottom w:type="dxa" w:w="80"/>
              <w:right w:type="dxa" w:w="120"/>
            </w:tcMar>
          </w:tcPr>
          <w:p>
            <w:r>
              <w:rPr>
                <w:b/>
                <w:bCs/>
                <w:color w:val="FFFFFF"/>
                <w:sz w:val="19"/>
                <w:szCs w:val="19"/>
              </w:rPr>
              <w:t xml:space="preserve">Con suba</w:t>
            </w:r>
          </w:p>
        </w:tc>
        <w:tc>
          <w:tcPr>
            <w:tcW w:type="pct" w:w="700"/>
            <w:shd w:fill="1C3A5C" w:val="clear"/>
            <w:tcMar>
              <w:top w:type="dxa" w:w="80"/>
              <w:left w:type="dxa" w:w="120"/>
              <w:bottom w:type="dxa" w:w="80"/>
              <w:right w:type="dxa" w:w="120"/>
            </w:tcMar>
          </w:tcPr>
          <w:p>
            <w:r>
              <w:rPr>
                <w:b/>
                <w:bCs/>
                <w:color w:val="FFFFFF"/>
                <w:sz w:val="19"/>
                <w:szCs w:val="19"/>
              </w:rPr>
              <w:t xml:space="preserve">p (test t)</w:t>
            </w:r>
          </w:p>
        </w:tc>
        <w:tc>
          <w:tcPr>
            <w:tcW w:type="pct" w:w="1000"/>
            <w:shd w:fill="1C3A5C" w:val="clear"/>
            <w:tcMar>
              <w:top w:type="dxa" w:w="80"/>
              <w:left w:type="dxa" w:w="120"/>
              <w:bottom w:type="dxa" w:w="80"/>
              <w:right w:type="dxa" w:w="120"/>
            </w:tcMar>
          </w:tcPr>
          <w:p>
            <w:r>
              <w:rPr>
                <w:b/>
                <w:bCs/>
                <w:color w:val="FFFFFF"/>
                <w:sz w:val="19"/>
                <w:szCs w:val="19"/>
              </w:rPr>
              <w:t xml:space="preserve">Volumen anormal</w:t>
            </w:r>
          </w:p>
        </w:tc>
      </w:tr>
      <w:tr>
        <w:trPr>
          <w:cantSplit/>
        </w:trPr>
        <w:tc>
          <w:tcPr>
            <w:tcW w:type="pct" w:w="800"/>
            <w:shd w:fill="FFFFFF" w:val="clear"/>
            <w:tcMar>
              <w:top w:type="dxa" w:w="70"/>
              <w:left w:type="dxa" w:w="120"/>
              <w:bottom w:type="dxa" w:w="70"/>
              <w:right w:type="dxa" w:w="120"/>
            </w:tcMar>
          </w:tcPr>
          <w:p>
            <w:r>
              <w:rPr>
                <w:sz w:val="19"/>
                <w:szCs w:val="19"/>
              </w:rPr>
              <w:t xml:space="preserve">positivos (62)</w:t>
            </w:r>
          </w:p>
        </w:tc>
        <w:tc>
          <w:tcPr>
            <w:tcW w:type="pct" w:w="1100"/>
            <w:shd w:fill="FFFFFF" w:val="clear"/>
            <w:tcMar>
              <w:top w:type="dxa" w:w="70"/>
              <w:left w:type="dxa" w:w="120"/>
              <w:bottom w:type="dxa" w:w="70"/>
              <w:right w:type="dxa" w:w="120"/>
            </w:tcMar>
          </w:tcPr>
          <w:p>
            <w:r>
              <w:rPr>
                <w:sz w:val="19"/>
                <w:szCs w:val="19"/>
              </w:rPr>
              <w:t xml:space="preserve">antes [−3, −1]</w:t>
            </w:r>
          </w:p>
        </w:tc>
        <w:tc>
          <w:tcPr>
            <w:tcW w:type="pct" w:w="700"/>
            <w:shd w:fill="FFFFFF" w:val="clear"/>
            <w:tcMar>
              <w:top w:type="dxa" w:w="70"/>
              <w:left w:type="dxa" w:w="120"/>
              <w:bottom w:type="dxa" w:w="70"/>
              <w:right w:type="dxa" w:w="120"/>
            </w:tcMar>
          </w:tcPr>
          <w:p>
            <w:r>
              <w:rPr>
                <w:sz w:val="19"/>
                <w:szCs w:val="19"/>
              </w:rPr>
              <w:t xml:space="preserve">+1,24%</w:t>
            </w:r>
          </w:p>
        </w:tc>
        <w:tc>
          <w:tcPr>
            <w:tcW w:type="pct" w:w="700"/>
            <w:shd w:fill="FFFFFF" w:val="clear"/>
            <w:tcMar>
              <w:top w:type="dxa" w:w="70"/>
              <w:left w:type="dxa" w:w="120"/>
              <w:bottom w:type="dxa" w:w="70"/>
              <w:right w:type="dxa" w:w="120"/>
            </w:tcMar>
          </w:tcPr>
          <w:p>
            <w:r>
              <w:rPr>
                <w:sz w:val="19"/>
                <w:szCs w:val="19"/>
              </w:rPr>
              <w:t xml:space="preserve">34 de 62</w:t>
            </w:r>
          </w:p>
        </w:tc>
        <w:tc>
          <w:tcPr>
            <w:tcW w:type="pct" w:w="700"/>
            <w:shd w:fill="FFFFFF" w:val="clear"/>
            <w:tcMar>
              <w:top w:type="dxa" w:w="70"/>
              <w:left w:type="dxa" w:w="120"/>
              <w:bottom w:type="dxa" w:w="70"/>
              <w:right w:type="dxa" w:w="120"/>
            </w:tcMar>
          </w:tcPr>
          <w:p>
            <w:r>
              <w:rPr>
                <w:sz w:val="19"/>
                <w:szCs w:val="19"/>
              </w:rPr>
              <w:t xml:space="preserve">0,029</w:t>
            </w:r>
          </w:p>
        </w:tc>
        <w:tc>
          <w:tcPr>
            <w:tcW w:type="pct" w:w="1000"/>
            <w:shd w:fill="FFFFFF" w:val="clear"/>
            <w:tcMar>
              <w:top w:type="dxa" w:w="70"/>
              <w:left w:type="dxa" w:w="120"/>
              <w:bottom w:type="dxa" w:w="70"/>
              <w:right w:type="dxa" w:w="120"/>
            </w:tcMar>
          </w:tcPr>
          <w:p>
            <w:r>
              <w:rPr>
                <w:sz w:val="19"/>
                <w:szCs w:val="19"/>
              </w:rPr>
              <w:t xml:space="preserve">0,015 (p 0,805)</w:t>
            </w:r>
          </w:p>
        </w:tc>
      </w:tr>
      <w:tr>
        <w:trPr>
          <w:cantSplit/>
        </w:trPr>
        <w:tc>
          <w:tcPr>
            <w:tcW w:type="pct" w:w="800"/>
            <w:shd w:fill="FAFCFD" w:val="clear"/>
            <w:tcMar>
              <w:top w:type="dxa" w:w="70"/>
              <w:left w:type="dxa" w:w="120"/>
              <w:bottom w:type="dxa" w:w="70"/>
              <w:right w:type="dxa" w:w="120"/>
            </w:tcMar>
          </w:tcPr>
          <w:p>
            <w:r>
              <w:rPr>
                <w:sz w:val="19"/>
                <w:szCs w:val="19"/>
              </w:rPr>
              <w:t xml:space="preserve"/>
            </w:r>
          </w:p>
        </w:tc>
        <w:tc>
          <w:tcPr>
            <w:tcW w:type="pct" w:w="1100"/>
            <w:shd w:fill="FAFCFD" w:val="clear"/>
            <w:tcMar>
              <w:top w:type="dxa" w:w="70"/>
              <w:left w:type="dxa" w:w="120"/>
              <w:bottom w:type="dxa" w:w="70"/>
              <w:right w:type="dxa" w:w="120"/>
            </w:tcMar>
          </w:tcPr>
          <w:p>
            <w:r>
              <w:rPr>
                <w:sz w:val="19"/>
                <w:szCs w:val="19"/>
              </w:rPr>
              <w:t xml:space="preserve">día [0]</w:t>
            </w:r>
          </w:p>
        </w:tc>
        <w:tc>
          <w:tcPr>
            <w:tcW w:type="pct" w:w="700"/>
            <w:shd w:fill="FAFCFD" w:val="clear"/>
            <w:tcMar>
              <w:top w:type="dxa" w:w="70"/>
              <w:left w:type="dxa" w:w="120"/>
              <w:bottom w:type="dxa" w:w="70"/>
              <w:right w:type="dxa" w:w="120"/>
            </w:tcMar>
          </w:tcPr>
          <w:p>
            <w:r>
              <w:rPr>
                <w:sz w:val="19"/>
                <w:szCs w:val="19"/>
              </w:rPr>
              <w:t xml:space="preserve">+0,33%</w:t>
            </w:r>
          </w:p>
        </w:tc>
        <w:tc>
          <w:tcPr>
            <w:tcW w:type="pct" w:w="700"/>
            <w:shd w:fill="FAFCFD" w:val="clear"/>
            <w:tcMar>
              <w:top w:type="dxa" w:w="70"/>
              <w:left w:type="dxa" w:w="120"/>
              <w:bottom w:type="dxa" w:w="70"/>
              <w:right w:type="dxa" w:w="120"/>
            </w:tcMar>
          </w:tcPr>
          <w:p>
            <w:r>
              <w:rPr>
                <w:sz w:val="19"/>
                <w:szCs w:val="19"/>
              </w:rPr>
              <w:t xml:space="preserve">33 de 62</w:t>
            </w:r>
          </w:p>
        </w:tc>
        <w:tc>
          <w:tcPr>
            <w:tcW w:type="pct" w:w="700"/>
            <w:shd w:fill="FAFCFD" w:val="clear"/>
            <w:tcMar>
              <w:top w:type="dxa" w:w="70"/>
              <w:left w:type="dxa" w:w="120"/>
              <w:bottom w:type="dxa" w:w="70"/>
              <w:right w:type="dxa" w:w="120"/>
            </w:tcMar>
          </w:tcPr>
          <w:p>
            <w:r>
              <w:rPr>
                <w:sz w:val="19"/>
                <w:szCs w:val="19"/>
              </w:rPr>
              <w:t xml:space="preserve">0,155</w:t>
            </w:r>
          </w:p>
        </w:tc>
        <w:tc>
          <w:tcPr>
            <w:tcW w:type="pct" w:w="1000"/>
            <w:shd w:fill="FAFCFD" w:val="clear"/>
            <w:tcMar>
              <w:top w:type="dxa" w:w="70"/>
              <w:left w:type="dxa" w:w="120"/>
              <w:bottom w:type="dxa" w:w="70"/>
              <w:right w:type="dxa" w:w="120"/>
            </w:tcMar>
          </w:tcPr>
          <w:p>
            <w:r>
              <w:rPr>
                <w:sz w:val="19"/>
                <w:szCs w:val="19"/>
              </w:rPr>
              <w:t xml:space="preserve">-0,077 (p 0,336)</w:t>
            </w:r>
          </w:p>
        </w:tc>
      </w:tr>
      <w:tr>
        <w:trPr>
          <w:cantSplit/>
        </w:trPr>
        <w:tc>
          <w:tcPr>
            <w:tcW w:type="pct" w:w="800"/>
            <w:shd w:fill="FFFFFF" w:val="clear"/>
            <w:tcMar>
              <w:top w:type="dxa" w:w="70"/>
              <w:left w:type="dxa" w:w="120"/>
              <w:bottom w:type="dxa" w:w="70"/>
              <w:right w:type="dxa" w:w="120"/>
            </w:tcMar>
          </w:tcPr>
          <w:p>
            <w:r>
              <w:rPr>
                <w:sz w:val="19"/>
                <w:szCs w:val="19"/>
              </w:rPr>
              <w:t xml:space="preserve"/>
            </w:r>
          </w:p>
        </w:tc>
        <w:tc>
          <w:tcPr>
            <w:tcW w:type="pct" w:w="1100"/>
            <w:shd w:fill="FFFFFF" w:val="clear"/>
            <w:tcMar>
              <w:top w:type="dxa" w:w="70"/>
              <w:left w:type="dxa" w:w="120"/>
              <w:bottom w:type="dxa" w:w="70"/>
              <w:right w:type="dxa" w:w="120"/>
            </w:tcMar>
          </w:tcPr>
          <w:p>
            <w:r>
              <w:rPr>
                <w:sz w:val="19"/>
                <w:szCs w:val="19"/>
              </w:rPr>
              <w:t xml:space="preserve">después [+1, +5]</w:t>
            </w:r>
          </w:p>
        </w:tc>
        <w:tc>
          <w:tcPr>
            <w:tcW w:type="pct" w:w="700"/>
            <w:shd w:fill="FFFFFF" w:val="clear"/>
            <w:tcMar>
              <w:top w:type="dxa" w:w="70"/>
              <w:left w:type="dxa" w:w="120"/>
              <w:bottom w:type="dxa" w:w="70"/>
              <w:right w:type="dxa" w:w="120"/>
            </w:tcMar>
          </w:tcPr>
          <w:p>
            <w:r>
              <w:rPr>
                <w:sz w:val="19"/>
                <w:szCs w:val="19"/>
              </w:rPr>
              <w:t xml:space="preserve">-0,14%</w:t>
            </w:r>
          </w:p>
        </w:tc>
        <w:tc>
          <w:tcPr>
            <w:tcW w:type="pct" w:w="700"/>
            <w:shd w:fill="FFFFFF" w:val="clear"/>
            <w:tcMar>
              <w:top w:type="dxa" w:w="70"/>
              <w:left w:type="dxa" w:w="120"/>
              <w:bottom w:type="dxa" w:w="70"/>
              <w:right w:type="dxa" w:w="120"/>
            </w:tcMar>
          </w:tcPr>
          <w:p>
            <w:r>
              <w:rPr>
                <w:sz w:val="19"/>
                <w:szCs w:val="19"/>
              </w:rPr>
              <w:t xml:space="preserve">31 de 62</w:t>
            </w:r>
          </w:p>
        </w:tc>
        <w:tc>
          <w:tcPr>
            <w:tcW w:type="pct" w:w="700"/>
            <w:shd w:fill="FFFFFF" w:val="clear"/>
            <w:tcMar>
              <w:top w:type="dxa" w:w="70"/>
              <w:left w:type="dxa" w:w="120"/>
              <w:bottom w:type="dxa" w:w="70"/>
              <w:right w:type="dxa" w:w="120"/>
            </w:tcMar>
          </w:tcPr>
          <w:p>
            <w:r>
              <w:rPr>
                <w:sz w:val="19"/>
                <w:szCs w:val="19"/>
              </w:rPr>
              <w:t xml:space="preserve">0,822</w:t>
            </w:r>
          </w:p>
        </w:tc>
        <w:tc>
          <w:tcPr>
            <w:tcW w:type="pct" w:w="1000"/>
            <w:shd w:fill="FFFFFF" w:val="clear"/>
            <w:tcMar>
              <w:top w:type="dxa" w:w="70"/>
              <w:left w:type="dxa" w:w="120"/>
              <w:bottom w:type="dxa" w:w="70"/>
              <w:right w:type="dxa" w:w="120"/>
            </w:tcMar>
          </w:tcPr>
          <w:p>
            <w:r>
              <w:rPr>
                <w:sz w:val="19"/>
                <w:szCs w:val="19"/>
              </w:rPr>
              <w:t xml:space="preserve">-0,042 (p 0,311)</w:t>
            </w:r>
          </w:p>
        </w:tc>
      </w:tr>
      <w:tr>
        <w:trPr>
          <w:cantSplit/>
        </w:trPr>
        <w:tc>
          <w:tcPr>
            <w:tcW w:type="pct" w:w="800"/>
            <w:shd w:fill="FAFCFD" w:val="clear"/>
            <w:tcMar>
              <w:top w:type="dxa" w:w="70"/>
              <w:left w:type="dxa" w:w="120"/>
              <w:bottom w:type="dxa" w:w="70"/>
              <w:right w:type="dxa" w:w="120"/>
            </w:tcMar>
          </w:tcPr>
          <w:p>
            <w:r>
              <w:rPr>
                <w:sz w:val="19"/>
                <w:szCs w:val="19"/>
              </w:rPr>
              <w:t xml:space="preserve"/>
            </w:r>
          </w:p>
        </w:tc>
        <w:tc>
          <w:tcPr>
            <w:tcW w:type="pct" w:w="1100"/>
            <w:shd w:fill="FAFCFD" w:val="clear"/>
            <w:tcMar>
              <w:top w:type="dxa" w:w="70"/>
              <w:left w:type="dxa" w:w="120"/>
              <w:bottom w:type="dxa" w:w="70"/>
              <w:right w:type="dxa" w:w="120"/>
            </w:tcMar>
          </w:tcPr>
          <w:p>
            <w:r>
              <w:rPr>
                <w:sz w:val="19"/>
                <w:szCs w:val="19"/>
              </w:rPr>
              <w:t xml:space="preserve">total [−3, +5]</w:t>
            </w:r>
          </w:p>
        </w:tc>
        <w:tc>
          <w:tcPr>
            <w:tcW w:type="pct" w:w="700"/>
            <w:shd w:fill="FAFCFD" w:val="clear"/>
            <w:tcMar>
              <w:top w:type="dxa" w:w="70"/>
              <w:left w:type="dxa" w:w="120"/>
              <w:bottom w:type="dxa" w:w="70"/>
              <w:right w:type="dxa" w:w="120"/>
            </w:tcMar>
          </w:tcPr>
          <w:p>
            <w:r>
              <w:rPr>
                <w:sz w:val="19"/>
                <w:szCs w:val="19"/>
              </w:rPr>
              <w:t xml:space="preserve">+1,43%</w:t>
            </w:r>
          </w:p>
        </w:tc>
        <w:tc>
          <w:tcPr>
            <w:tcW w:type="pct" w:w="700"/>
            <w:shd w:fill="FAFCFD" w:val="clear"/>
            <w:tcMar>
              <w:top w:type="dxa" w:w="70"/>
              <w:left w:type="dxa" w:w="120"/>
              <w:bottom w:type="dxa" w:w="70"/>
              <w:right w:type="dxa" w:w="120"/>
            </w:tcMar>
          </w:tcPr>
          <w:p>
            <w:r>
              <w:rPr>
                <w:sz w:val="19"/>
                <w:szCs w:val="19"/>
              </w:rPr>
              <w:t xml:space="preserve">36 de 62</w:t>
            </w:r>
          </w:p>
        </w:tc>
        <w:tc>
          <w:tcPr>
            <w:tcW w:type="pct" w:w="700"/>
            <w:shd w:fill="FAFCFD" w:val="clear"/>
            <w:tcMar>
              <w:top w:type="dxa" w:w="70"/>
              <w:left w:type="dxa" w:w="120"/>
              <w:bottom w:type="dxa" w:w="70"/>
              <w:right w:type="dxa" w:w="120"/>
            </w:tcMar>
          </w:tcPr>
          <w:p>
            <w:r>
              <w:rPr>
                <w:sz w:val="19"/>
                <w:szCs w:val="19"/>
              </w:rPr>
              <w:t xml:space="preserve">0,145</w:t>
            </w:r>
          </w:p>
        </w:tc>
        <w:tc>
          <w:tcPr>
            <w:tcW w:type="pct" w:w="1000"/>
            <w:shd w:fill="FAFCFD" w:val="clear"/>
            <w:tcMar>
              <w:top w:type="dxa" w:w="70"/>
              <w:left w:type="dxa" w:w="120"/>
              <w:bottom w:type="dxa" w:w="70"/>
              <w:right w:type="dxa" w:w="120"/>
            </w:tcMar>
          </w:tcPr>
          <w:p>
            <w:r>
              <w:rPr>
                <w:sz w:val="19"/>
                <w:szCs w:val="19"/>
              </w:rPr>
              <w:t xml:space="preserve">-0,026 (p 0,533)</w:t>
            </w:r>
          </w:p>
        </w:tc>
      </w:tr>
      <w:tr>
        <w:trPr>
          <w:cantSplit/>
        </w:trPr>
        <w:tc>
          <w:tcPr>
            <w:tcW w:type="pct" w:w="800"/>
            <w:shd w:fill="FFFFFF" w:val="clear"/>
            <w:tcMar>
              <w:top w:type="dxa" w:w="70"/>
              <w:left w:type="dxa" w:w="120"/>
              <w:bottom w:type="dxa" w:w="70"/>
              <w:right w:type="dxa" w:w="120"/>
            </w:tcMar>
          </w:tcPr>
          <w:p>
            <w:r>
              <w:rPr>
                <w:sz w:val="19"/>
                <w:szCs w:val="19"/>
              </w:rPr>
              <w:t xml:space="preserve">negativos (26)</w:t>
            </w:r>
          </w:p>
        </w:tc>
        <w:tc>
          <w:tcPr>
            <w:tcW w:type="pct" w:w="1100"/>
            <w:shd w:fill="FFFFFF" w:val="clear"/>
            <w:tcMar>
              <w:top w:type="dxa" w:w="70"/>
              <w:left w:type="dxa" w:w="120"/>
              <w:bottom w:type="dxa" w:w="70"/>
              <w:right w:type="dxa" w:w="120"/>
            </w:tcMar>
          </w:tcPr>
          <w:p>
            <w:r>
              <w:rPr>
                <w:sz w:val="19"/>
                <w:szCs w:val="19"/>
              </w:rPr>
              <w:t xml:space="preserve">antes [−3, −1]</w:t>
            </w:r>
          </w:p>
        </w:tc>
        <w:tc>
          <w:tcPr>
            <w:tcW w:type="pct" w:w="700"/>
            <w:shd w:fill="FFFFFF" w:val="clear"/>
            <w:tcMar>
              <w:top w:type="dxa" w:w="70"/>
              <w:left w:type="dxa" w:w="120"/>
              <w:bottom w:type="dxa" w:w="70"/>
              <w:right w:type="dxa" w:w="120"/>
            </w:tcMar>
          </w:tcPr>
          <w:p>
            <w:r>
              <w:rPr>
                <w:sz w:val="19"/>
                <w:szCs w:val="19"/>
              </w:rPr>
              <w:t xml:space="preserve">-2,12%</w:t>
            </w:r>
          </w:p>
        </w:tc>
        <w:tc>
          <w:tcPr>
            <w:tcW w:type="pct" w:w="700"/>
            <w:shd w:fill="FFFFFF" w:val="clear"/>
            <w:tcMar>
              <w:top w:type="dxa" w:w="70"/>
              <w:left w:type="dxa" w:w="120"/>
              <w:bottom w:type="dxa" w:w="70"/>
              <w:right w:type="dxa" w:w="120"/>
            </w:tcMar>
          </w:tcPr>
          <w:p>
            <w:r>
              <w:rPr>
                <w:sz w:val="19"/>
                <w:szCs w:val="19"/>
              </w:rPr>
              <w:t xml:space="preserve">9 de 26</w:t>
            </w:r>
          </w:p>
        </w:tc>
        <w:tc>
          <w:tcPr>
            <w:tcW w:type="pct" w:w="700"/>
            <w:shd w:fill="FFFFFF" w:val="clear"/>
            <w:tcMar>
              <w:top w:type="dxa" w:w="70"/>
              <w:left w:type="dxa" w:w="120"/>
              <w:bottom w:type="dxa" w:w="70"/>
              <w:right w:type="dxa" w:w="120"/>
            </w:tcMar>
          </w:tcPr>
          <w:p>
            <w:r>
              <w:rPr>
                <w:sz w:val="19"/>
                <w:szCs w:val="19"/>
              </w:rPr>
              <w:t xml:space="preserve">0,061</w:t>
            </w:r>
          </w:p>
        </w:tc>
        <w:tc>
          <w:tcPr>
            <w:tcW w:type="pct" w:w="1000"/>
            <w:shd w:fill="FFFFFF" w:val="clear"/>
            <w:tcMar>
              <w:top w:type="dxa" w:w="70"/>
              <w:left w:type="dxa" w:w="120"/>
              <w:bottom w:type="dxa" w:w="70"/>
              <w:right w:type="dxa" w:w="120"/>
            </w:tcMar>
          </w:tcPr>
          <w:p>
            <w:r>
              <w:rPr>
                <w:sz w:val="19"/>
                <w:szCs w:val="19"/>
              </w:rPr>
              <w:t xml:space="preserve">-0,016 (p 0,876)</w:t>
            </w:r>
          </w:p>
        </w:tc>
      </w:tr>
      <w:tr>
        <w:trPr>
          <w:cantSplit/>
        </w:trPr>
        <w:tc>
          <w:tcPr>
            <w:tcW w:type="pct" w:w="800"/>
            <w:shd w:fill="FAFCFD" w:val="clear"/>
            <w:tcMar>
              <w:top w:type="dxa" w:w="70"/>
              <w:left w:type="dxa" w:w="120"/>
              <w:bottom w:type="dxa" w:w="70"/>
              <w:right w:type="dxa" w:w="120"/>
            </w:tcMar>
          </w:tcPr>
          <w:p>
            <w:r>
              <w:rPr>
                <w:sz w:val="19"/>
                <w:szCs w:val="19"/>
              </w:rPr>
              <w:t xml:space="preserve"/>
            </w:r>
          </w:p>
        </w:tc>
        <w:tc>
          <w:tcPr>
            <w:tcW w:type="pct" w:w="1100"/>
            <w:shd w:fill="FAFCFD" w:val="clear"/>
            <w:tcMar>
              <w:top w:type="dxa" w:w="70"/>
              <w:left w:type="dxa" w:w="120"/>
              <w:bottom w:type="dxa" w:w="70"/>
              <w:right w:type="dxa" w:w="120"/>
            </w:tcMar>
          </w:tcPr>
          <w:p>
            <w:r>
              <w:rPr>
                <w:sz w:val="19"/>
                <w:szCs w:val="19"/>
              </w:rPr>
              <w:t xml:space="preserve">día [0]</w:t>
            </w:r>
          </w:p>
        </w:tc>
        <w:tc>
          <w:tcPr>
            <w:tcW w:type="pct" w:w="700"/>
            <w:shd w:fill="FAFCFD" w:val="clear"/>
            <w:tcMar>
              <w:top w:type="dxa" w:w="70"/>
              <w:left w:type="dxa" w:w="120"/>
              <w:bottom w:type="dxa" w:w="70"/>
              <w:right w:type="dxa" w:w="120"/>
            </w:tcMar>
          </w:tcPr>
          <w:p>
            <w:r>
              <w:rPr>
                <w:sz w:val="19"/>
                <w:szCs w:val="19"/>
              </w:rPr>
              <w:t xml:space="preserve">-0,33%</w:t>
            </w:r>
          </w:p>
        </w:tc>
        <w:tc>
          <w:tcPr>
            <w:tcW w:type="pct" w:w="700"/>
            <w:shd w:fill="FAFCFD" w:val="clear"/>
            <w:tcMar>
              <w:top w:type="dxa" w:w="70"/>
              <w:left w:type="dxa" w:w="120"/>
              <w:bottom w:type="dxa" w:w="70"/>
              <w:right w:type="dxa" w:w="120"/>
            </w:tcMar>
          </w:tcPr>
          <w:p>
            <w:r>
              <w:rPr>
                <w:sz w:val="19"/>
                <w:szCs w:val="19"/>
              </w:rPr>
              <w:t xml:space="preserve">14 de 26</w:t>
            </w:r>
          </w:p>
        </w:tc>
        <w:tc>
          <w:tcPr>
            <w:tcW w:type="pct" w:w="700"/>
            <w:shd w:fill="FAFCFD" w:val="clear"/>
            <w:tcMar>
              <w:top w:type="dxa" w:w="70"/>
              <w:left w:type="dxa" w:w="120"/>
              <w:bottom w:type="dxa" w:w="70"/>
              <w:right w:type="dxa" w:w="120"/>
            </w:tcMar>
          </w:tcPr>
          <w:p>
            <w:r>
              <w:rPr>
                <w:sz w:val="19"/>
                <w:szCs w:val="19"/>
              </w:rPr>
              <w:t xml:space="preserve">0,525</w:t>
            </w:r>
          </w:p>
        </w:tc>
        <w:tc>
          <w:tcPr>
            <w:tcW w:type="pct" w:w="1000"/>
            <w:shd w:fill="FAFCFD" w:val="clear"/>
            <w:tcMar>
              <w:top w:type="dxa" w:w="70"/>
              <w:left w:type="dxa" w:w="120"/>
              <w:bottom w:type="dxa" w:w="70"/>
              <w:right w:type="dxa" w:w="120"/>
            </w:tcMar>
          </w:tcPr>
          <w:p>
            <w:r>
              <w:rPr>
                <w:sz w:val="19"/>
                <w:szCs w:val="19"/>
              </w:rPr>
              <w:t xml:space="preserve">0,029 (p 0,837)</w:t>
            </w:r>
          </w:p>
        </w:tc>
      </w:tr>
      <w:tr>
        <w:trPr>
          <w:cantSplit/>
        </w:trPr>
        <w:tc>
          <w:tcPr>
            <w:tcW w:type="pct" w:w="800"/>
            <w:shd w:fill="FFFFFF" w:val="clear"/>
            <w:tcMar>
              <w:top w:type="dxa" w:w="70"/>
              <w:left w:type="dxa" w:w="120"/>
              <w:bottom w:type="dxa" w:w="70"/>
              <w:right w:type="dxa" w:w="120"/>
            </w:tcMar>
          </w:tcPr>
          <w:p>
            <w:r>
              <w:rPr>
                <w:sz w:val="19"/>
                <w:szCs w:val="19"/>
              </w:rPr>
              <w:t xml:space="preserve"/>
            </w:r>
          </w:p>
        </w:tc>
        <w:tc>
          <w:tcPr>
            <w:tcW w:type="pct" w:w="1100"/>
            <w:shd w:fill="FFFFFF" w:val="clear"/>
            <w:tcMar>
              <w:top w:type="dxa" w:w="70"/>
              <w:left w:type="dxa" w:w="120"/>
              <w:bottom w:type="dxa" w:w="70"/>
              <w:right w:type="dxa" w:w="120"/>
            </w:tcMar>
          </w:tcPr>
          <w:p>
            <w:r>
              <w:rPr>
                <w:sz w:val="19"/>
                <w:szCs w:val="19"/>
              </w:rPr>
              <w:t xml:space="preserve">después [+1, +5]</w:t>
            </w:r>
          </w:p>
        </w:tc>
        <w:tc>
          <w:tcPr>
            <w:tcW w:type="pct" w:w="700"/>
            <w:shd w:fill="FFFFFF" w:val="clear"/>
            <w:tcMar>
              <w:top w:type="dxa" w:w="70"/>
              <w:left w:type="dxa" w:w="120"/>
              <w:bottom w:type="dxa" w:w="70"/>
              <w:right w:type="dxa" w:w="120"/>
            </w:tcMar>
          </w:tcPr>
          <w:p>
            <w:r>
              <w:rPr>
                <w:sz w:val="19"/>
                <w:szCs w:val="19"/>
              </w:rPr>
              <w:t xml:space="preserve">+2,96%</w:t>
            </w:r>
          </w:p>
        </w:tc>
        <w:tc>
          <w:tcPr>
            <w:tcW w:type="pct" w:w="700"/>
            <w:shd w:fill="FFFFFF" w:val="clear"/>
            <w:tcMar>
              <w:top w:type="dxa" w:w="70"/>
              <w:left w:type="dxa" w:w="120"/>
              <w:bottom w:type="dxa" w:w="70"/>
              <w:right w:type="dxa" w:w="120"/>
            </w:tcMar>
          </w:tcPr>
          <w:p>
            <w:r>
              <w:rPr>
                <w:sz w:val="19"/>
                <w:szCs w:val="19"/>
              </w:rPr>
              <w:t xml:space="preserve">16 de 26</w:t>
            </w:r>
          </w:p>
        </w:tc>
        <w:tc>
          <w:tcPr>
            <w:tcW w:type="pct" w:w="700"/>
            <w:shd w:fill="FFFFFF" w:val="clear"/>
            <w:tcMar>
              <w:top w:type="dxa" w:w="70"/>
              <w:left w:type="dxa" w:w="120"/>
              <w:bottom w:type="dxa" w:w="70"/>
              <w:right w:type="dxa" w:w="120"/>
            </w:tcMar>
          </w:tcPr>
          <w:p>
            <w:r>
              <w:rPr>
                <w:sz w:val="19"/>
                <w:szCs w:val="19"/>
              </w:rPr>
              <w:t xml:space="preserve">0,099</w:t>
            </w:r>
          </w:p>
        </w:tc>
        <w:tc>
          <w:tcPr>
            <w:tcW w:type="pct" w:w="1000"/>
            <w:shd w:fill="FFFFFF" w:val="clear"/>
            <w:tcMar>
              <w:top w:type="dxa" w:w="70"/>
              <w:left w:type="dxa" w:w="120"/>
              <w:bottom w:type="dxa" w:w="70"/>
              <w:right w:type="dxa" w:w="120"/>
            </w:tcMar>
          </w:tcPr>
          <w:p>
            <w:r>
              <w:rPr>
                <w:sz w:val="19"/>
                <w:szCs w:val="19"/>
              </w:rPr>
              <w:t xml:space="preserve">-0,055 (p 0,465)</w:t>
            </w:r>
          </w:p>
        </w:tc>
      </w:tr>
      <w:tr>
        <w:trPr>
          <w:cantSplit/>
        </w:trPr>
        <w:tc>
          <w:tcPr>
            <w:tcW w:type="pct" w:w="800"/>
            <w:shd w:fill="FAFCFD" w:val="clear"/>
            <w:tcMar>
              <w:top w:type="dxa" w:w="70"/>
              <w:left w:type="dxa" w:w="120"/>
              <w:bottom w:type="dxa" w:w="70"/>
              <w:right w:type="dxa" w:w="120"/>
            </w:tcMar>
          </w:tcPr>
          <w:p>
            <w:r>
              <w:rPr>
                <w:sz w:val="19"/>
                <w:szCs w:val="19"/>
              </w:rPr>
              <w:t xml:space="preserve"/>
            </w:r>
          </w:p>
        </w:tc>
        <w:tc>
          <w:tcPr>
            <w:tcW w:type="pct" w:w="1100"/>
            <w:shd w:fill="FAFCFD" w:val="clear"/>
            <w:tcMar>
              <w:top w:type="dxa" w:w="70"/>
              <w:left w:type="dxa" w:w="120"/>
              <w:bottom w:type="dxa" w:w="70"/>
              <w:right w:type="dxa" w:w="120"/>
            </w:tcMar>
          </w:tcPr>
          <w:p>
            <w:r>
              <w:rPr>
                <w:sz w:val="19"/>
                <w:szCs w:val="19"/>
              </w:rPr>
              <w:t xml:space="preserve">total [−3, +5]</w:t>
            </w:r>
          </w:p>
        </w:tc>
        <w:tc>
          <w:tcPr>
            <w:tcW w:type="pct" w:w="700"/>
            <w:shd w:fill="FAFCFD" w:val="clear"/>
            <w:tcMar>
              <w:top w:type="dxa" w:w="70"/>
              <w:left w:type="dxa" w:w="120"/>
              <w:bottom w:type="dxa" w:w="70"/>
              <w:right w:type="dxa" w:w="120"/>
            </w:tcMar>
          </w:tcPr>
          <w:p>
            <w:r>
              <w:rPr>
                <w:sz w:val="19"/>
                <w:szCs w:val="19"/>
              </w:rPr>
              <w:t xml:space="preserve">+0,50%</w:t>
            </w:r>
          </w:p>
        </w:tc>
        <w:tc>
          <w:tcPr>
            <w:tcW w:type="pct" w:w="700"/>
            <w:shd w:fill="FAFCFD" w:val="clear"/>
            <w:tcMar>
              <w:top w:type="dxa" w:w="70"/>
              <w:left w:type="dxa" w:w="120"/>
              <w:bottom w:type="dxa" w:w="70"/>
              <w:right w:type="dxa" w:w="120"/>
            </w:tcMar>
          </w:tcPr>
          <w:p>
            <w:r>
              <w:rPr>
                <w:sz w:val="19"/>
                <w:szCs w:val="19"/>
              </w:rPr>
              <w:t xml:space="preserve">11 de 26</w:t>
            </w:r>
          </w:p>
        </w:tc>
        <w:tc>
          <w:tcPr>
            <w:tcW w:type="pct" w:w="700"/>
            <w:shd w:fill="FAFCFD" w:val="clear"/>
            <w:tcMar>
              <w:top w:type="dxa" w:w="70"/>
              <w:left w:type="dxa" w:w="120"/>
              <w:bottom w:type="dxa" w:w="70"/>
              <w:right w:type="dxa" w:w="120"/>
            </w:tcMar>
          </w:tcPr>
          <w:p>
            <w:r>
              <w:rPr>
                <w:sz w:val="19"/>
                <w:szCs w:val="19"/>
              </w:rPr>
              <w:t xml:space="preserve">0,794</w:t>
            </w:r>
          </w:p>
        </w:tc>
        <w:tc>
          <w:tcPr>
            <w:tcW w:type="pct" w:w="1000"/>
            <w:shd w:fill="FAFCFD" w:val="clear"/>
            <w:tcMar>
              <w:top w:type="dxa" w:w="70"/>
              <w:left w:type="dxa" w:w="120"/>
              <w:bottom w:type="dxa" w:w="70"/>
              <w:right w:type="dxa" w:w="120"/>
            </w:tcMar>
          </w:tcPr>
          <w:p>
            <w:r>
              <w:rPr>
                <w:sz w:val="19"/>
                <w:szCs w:val="19"/>
              </w:rPr>
              <w:t xml:space="preserve">-0,033 (p 0,633)</w:t>
            </w:r>
          </w:p>
        </w:tc>
      </w:tr>
    </w:tbl>
    <w:p>
      <w:pPr>
        <w:spacing w:after="160"/>
        <w:jc w:val="center"/>
      </w:pPr>
      <w:r>
        <w:drawing>
          <wp:inline distT="0" distB="0" distL="0" distR="0">
            <wp:extent cx="476250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05075"/>
                    </a:xfrm>
                    <a:prstGeom prst="rect">
                      <a:avLst/>
                    </a:prstGeom>
                  </pic:spPr>
                </pic:pic>
              </a:graphicData>
            </a:graphic>
          </wp:inline>
        </w:drawing>
      </w:r>
    </w:p>
    <w:p>
      <w:pPr>
        <w:spacing w:after="160" w:line="300"/>
      </w:pPr>
      <w:r>
        <w:t xml:space="preserve">Cuando se habla de una empresa de forma muy positiva, su acción ya había subido +1,24% más que el mercado en las tres ruedas previas (p = 0,029), y después no pasa nada (-0,14%). Con el tono muy negativo, la acción venía de bajar -2,12% (p = 0,061) y después rebota +2,96%, pero ninguno de los dos llega al 5%. El volumen de la empresa no cambia. Se excluyeron 13 eventos cuya ventana incluía un día electoral.</w:t>
      </w:r>
    </w:p>
    <w:p>
      <w:pPr>
        <w:pStyle w:val="Heading1"/>
        <w:keepNext/>
        <w:spacing w:after="160" w:before="360"/>
      </w:pPr>
      <w:r>
        <w:t xml:space="preserve">6. Cómo encaja con U6</w:t>
      </w:r>
    </w:p>
    <w:p>
      <w:pPr>
        <w:spacing w:after="160" w:line="300"/>
        <w:ind w:left="360" w:hanging="240"/>
      </w:pPr>
      <w:r>
        <w:t xml:space="preserve">•  </w:t>
      </w:r>
      <w:r>
        <w:rPr>
          <w:b/>
          <w:bCs/>
        </w:rPr>
        <w:t xml:space="preserve">El precio y el volumen se mueven antes o junto con las noticias, no después. </w:t>
      </w:r>
      <w:r>
        <w:t xml:space="preserve">Es lo mismo que mostró Granger: el retorno anticipa el tono, y el tono no anticipa el retorno.</w:t>
      </w:r>
    </w:p>
    <w:p>
      <w:pPr>
        <w:spacing w:after="160" w:line="300"/>
        <w:ind w:left="360" w:hanging="240"/>
      </w:pPr>
      <w:r>
        <w:t xml:space="preserve">•  </w:t>
      </w:r>
      <w:r>
        <w:rPr>
          <w:b/>
          <w:bCs/>
        </w:rPr>
        <w:t xml:space="preserve">El mismo día hay movimiento conjunto. </w:t>
      </w:r>
      <w:r>
        <w:t xml:space="preserve">Las ruedas de tono muy positivo son ruedas de suba del Merval. Con datos diarios no se puede saber quién movió a quién dentro de la rueda; lo que sí se ve es que, pasada esa rueda, el tono no deja nada por anticipar.</w:t>
      </w:r>
    </w:p>
    <w:p>
      <w:pPr>
        <w:spacing w:after="160" w:line="300"/>
        <w:ind w:left="360" w:hanging="240"/>
      </w:pPr>
      <w:r>
        <w:t xml:space="preserve">•  </w:t>
      </w:r>
      <w:r>
        <w:rPr>
          <w:b/>
          <w:bCs/>
        </w:rPr>
        <w:t xml:space="preserve">La asimetría. </w:t>
      </w:r>
      <w:r>
        <w:t xml:space="preserve">El efecto aparece con el tono positivo y no con el negativo. Con 7 y 9 eventos no se puede afirmar que sea una diferencia real; queda como observación.</w:t>
      </w:r>
    </w:p>
    <w:p>
      <w:pPr>
        <w:pStyle w:val="Heading1"/>
        <w:keepNext/>
        <w:spacing w:after="160" w:before="360"/>
      </w:pPr>
      <w:r>
        <w:t xml:space="preserve">7.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Todos los eventos del mercado tienen ventana de estimación y de evento completas</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Se usan los 18 eventos de U2 (shocks del mismo signo en ruedas seguidas = un evento)</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Ningún evento por empresa se solapa con el anterior de la misma empresa</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El sorteo de fechas al azar usa solo ruedas con ventanas completas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Retornos anormales de una fecha al azar promedian cerca de 0 (control del modelo)</w:t>
            </w:r>
          </w:p>
        </w:tc>
        <w:tc>
          <w:tcPr>
            <w:tcW w:type="pct" w:w="900"/>
            <w:shd w:fill="FFFFFF"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8.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470"/>
        <w:gridCol w:w="6168"/>
      </w:tblGrid>
      <w:tr>
        <w:trPr>
          <w:tblHeader/>
        </w:trPr>
        <w:tc>
          <w:tcPr>
            <w:tcW w:type="pct" w:w="1800"/>
            <w:shd w:fill="1C3A5C" w:val="clear"/>
            <w:tcMar>
              <w:top w:type="dxa" w:w="80"/>
              <w:left w:type="dxa" w:w="120"/>
              <w:bottom w:type="dxa" w:w="80"/>
              <w:right w:type="dxa" w:w="120"/>
            </w:tcMar>
          </w:tcPr>
          <w:p>
            <w:r>
              <w:rPr>
                <w:b/>
                <w:bCs/>
                <w:color w:val="FFFFFF"/>
                <w:sz w:val="19"/>
                <w:szCs w:val="19"/>
              </w:rPr>
              <w:t xml:space="preserve">Archivo</w:t>
            </w:r>
          </w:p>
        </w:tc>
        <w:tc>
          <w:tcPr>
            <w:tcW w:type="pct" w:w="32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8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eventos_mercado.csv</w:t>
            </w:r>
          </w:p>
        </w:tc>
        <w:tc>
          <w:tcPr>
            <w:tcW w:type="pct" w:w="3200"/>
            <w:shd w:fill="FFFFFF" w:val="clear"/>
            <w:tcMar>
              <w:top w:type="dxa" w:w="70"/>
              <w:left w:type="dxa" w:w="120"/>
              <w:bottom w:type="dxa" w:w="70"/>
              <w:right w:type="dxa" w:w="120"/>
            </w:tcMar>
          </w:tcPr>
          <w:p>
            <w:r>
              <w:rPr>
                <w:sz w:val="19"/>
                <w:szCs w:val="19"/>
              </w:rPr>
              <w:t xml:space="preserve">Cada evento del mercado: rueda, tipo, si es electoral o tiene una elección en la ventana, si se solapa, CAR y volumen por tramo</w:t>
            </w:r>
          </w:p>
        </w:tc>
      </w:tr>
      <w:tr>
        <w:trPr>
          <w:cantSplit/>
        </w:trPr>
        <w:tc>
          <w:tcPr>
            <w:tcW w:type="pct" w:w="18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resultados_mercado.csv</w:t>
            </w:r>
          </w:p>
        </w:tc>
        <w:tc>
          <w:tcPr>
            <w:tcW w:type="pct" w:w="3200"/>
            <w:shd w:fill="FAFCFD" w:val="clear"/>
            <w:tcMar>
              <w:top w:type="dxa" w:w="70"/>
              <w:left w:type="dxa" w:w="120"/>
              <w:bottom w:type="dxa" w:w="70"/>
              <w:right w:type="dxa" w:w="120"/>
            </w:tcMar>
          </w:tcPr>
          <w:p>
            <w:r>
              <w:rPr>
                <w:sz w:val="19"/>
                <w:szCs w:val="19"/>
              </w:rPr>
              <w:t xml:space="preserve">Promedios y tests por tipo de evento y tramo, con todos los eventos y sin los solapados</w:t>
            </w:r>
          </w:p>
        </w:tc>
      </w:tr>
      <w:tr>
        <w:trPr>
          <w:cantSplit/>
        </w:trPr>
        <w:tc>
          <w:tcPr>
            <w:tcW w:type="pct" w:w="18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eventos_empresa.csv</w:t>
            </w:r>
            <w:r>
              <w:t xml:space="preserve">, </w:t>
            </w:r>
            <w:r>
              <w:rPr>
                <w:rFonts w:ascii="Consolas" w:cs="Consolas" w:eastAsia="Consolas" w:hAnsi="Consolas"/>
                <w:color w:val="1C3A5C"/>
                <w:sz w:val="19"/>
                <w:szCs w:val="19"/>
              </w:rPr>
              <w:t xml:space="preserve">resultados_empresa.csv</w:t>
            </w:r>
          </w:p>
        </w:tc>
        <w:tc>
          <w:tcPr>
            <w:tcW w:type="pct" w:w="3200"/>
            <w:shd w:fill="FFFFFF" w:val="clear"/>
            <w:tcMar>
              <w:top w:type="dxa" w:w="70"/>
              <w:left w:type="dxa" w:w="120"/>
              <w:bottom w:type="dxa" w:w="70"/>
              <w:right w:type="dxa" w:w="120"/>
            </w:tcMar>
          </w:tcPr>
          <w:p>
            <w:r>
              <w:rPr>
                <w:sz w:val="19"/>
                <w:szCs w:val="19"/>
              </w:rPr>
              <w:t xml:space="preserve">Lo mismo para los eventos de tono propio de las empresas, con el β de cada modelo de mercado</w:t>
            </w:r>
          </w:p>
        </w:tc>
      </w:tr>
      <w:tr>
        <w:trPr>
          <w:cantSplit/>
        </w:trPr>
        <w:tc>
          <w:tcPr>
            <w:tcW w:type="pct" w:w="1800"/>
            <w:shd w:fill="FAFCFD" w:val="clear"/>
            <w:tcMar>
              <w:top w:type="dxa" w:w="70"/>
              <w:left w:type="dxa" w:w="120"/>
              <w:bottom w:type="dxa" w:w="70"/>
              <w:right w:type="dxa" w:w="120"/>
            </w:tcMar>
          </w:tcPr>
          <w:p>
            <w:r>
              <w:rPr>
                <w:rFonts w:ascii="Consolas" w:cs="Consolas" w:eastAsia="Consolas" w:hAnsi="Consolas"/>
                <w:color w:val="1C3A5C"/>
                <w:sz w:val="19"/>
                <w:szCs w:val="19"/>
              </w:rPr>
              <w:t xml:space="preserve">dias_electorales.csv</w:t>
            </w:r>
          </w:p>
        </w:tc>
        <w:tc>
          <w:tcPr>
            <w:tcW w:type="pct" w:w="3200"/>
            <w:shd w:fill="FAFCFD" w:val="clear"/>
            <w:tcMar>
              <w:top w:type="dxa" w:w="70"/>
              <w:left w:type="dxa" w:w="120"/>
              <w:bottom w:type="dxa" w:w="70"/>
              <w:right w:type="dxa" w:w="120"/>
            </w:tcMar>
          </w:tcPr>
          <w:p>
            <w:r>
              <w:rPr>
                <w:sz w:val="19"/>
                <w:szCs w:val="19"/>
              </w:rPr>
              <w:t xml:space="preserve">El CAR del Merval alrededor de los dos días electorales</w:t>
            </w:r>
          </w:p>
        </w:tc>
      </w:tr>
      <w:tr>
        <w:trPr>
          <w:cantSplit/>
        </w:trPr>
        <w:tc>
          <w:tcPr>
            <w:tcW w:type="pct" w:w="18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resumen_u7.csv</w:t>
            </w:r>
            <w:r>
              <w:t xml:space="preserve">, </w:t>
            </w:r>
            <w:r>
              <w:rPr>
                <w:rFonts w:ascii="Consolas" w:cs="Consolas" w:eastAsia="Consolas" w:hAnsi="Consolas"/>
                <w:color w:val="1C3A5C"/>
                <w:sz w:val="19"/>
                <w:szCs w:val="19"/>
              </w:rPr>
              <w:t xml:space="preserve">verificaciones.csv</w:t>
            </w:r>
          </w:p>
        </w:tc>
        <w:tc>
          <w:tcPr>
            <w:tcW w:type="pct" w:w="32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8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u7_mercado.png</w:t>
            </w:r>
            <w:r>
              <w:t xml:space="preserve">, </w:t>
            </w:r>
            <w:r>
              <w:rPr>
                <w:rFonts w:ascii="Consolas" w:cs="Consolas" w:eastAsia="Consolas" w:hAnsi="Consolas"/>
                <w:color w:val="1C3A5C"/>
                <w:sz w:val="19"/>
                <w:szCs w:val="19"/>
              </w:rPr>
              <w:t xml:space="preserve">u7_empresa.png</w:t>
            </w:r>
          </w:p>
        </w:tc>
        <w:tc>
          <w:tcPr>
            <w:tcW w:type="pct" w:w="3200"/>
            <w:shd w:fill="FAFCFD" w:val="clear"/>
            <w:tcMar>
              <w:top w:type="dxa" w:w="70"/>
              <w:left w:type="dxa" w:w="120"/>
              <w:bottom w:type="dxa" w:w="70"/>
              <w:right w:type="dxa" w:w="120"/>
            </w:tcMar>
          </w:tcPr>
          <w:p>
            <w:r>
              <w:rPr>
                <w:sz w:val="19"/>
                <w:szCs w:val="19"/>
              </w:rPr>
              <w:t xml:space="preserve">Las figuras</w:t>
            </w:r>
          </w:p>
        </w:tc>
      </w:tr>
    </w:tbl>
    <w:p>
      <w:pPr>
        <w:pStyle w:val="Heading1"/>
        <w:keepNext/>
        <w:spacing w:after="160" w:before="360"/>
      </w:pPr>
      <w:r>
        <w:t xml:space="preserve">9. Limitaciones</w:t>
      </w:r>
    </w:p>
    <w:p>
      <w:pPr>
        <w:spacing w:after="160" w:line="300"/>
        <w:ind w:left="360" w:hanging="240"/>
      </w:pPr>
      <w:r>
        <w:t xml:space="preserve">•  Hay pocos eventos del mercado (7 positivos y 9 negativos), y la mitad se solapan con otro. Por eso se usa también la comparación contra el azar.</w:t>
      </w:r>
    </w:p>
    <w:p>
      <w:pPr>
        <w:spacing w:after="160" w:line="300"/>
        <w:ind w:left="360" w:hanging="240"/>
      </w:pPr>
      <w:r>
        <w:t xml:space="preserve">•  Las ruedas de tono extremo son las puntas de la variación normal del tono, no días excepcionales (U2). En U8 se repite con el umbral 3, que deja solo las más extremas.</w:t>
      </w:r>
    </w:p>
    <w:p>
      <w:pPr>
        <w:spacing w:after="160" w:line="300"/>
        <w:ind w:left="360" w:hanging="240"/>
      </w:pPr>
      <w:r>
        <w:t xml:space="preserve">•  El retorno anormal del Merval se mide contra su promedio reciente (modelo de media constante), porque no hay un índice externo con el cual compararlo.</w:t>
      </w:r>
    </w:p>
    <w:p>
      <w:pPr>
        <w:spacing w:after="160" w:line="300"/>
        <w:ind w:left="360" w:hanging="240"/>
      </w:pPr>
      <w:r>
        <w:t xml:space="preserve">•  Los retornos están en pesos nominales.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U7 · Event study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d53a3d7a8f32955c7b33501abf697bb1f9340db.png"/><Relationship Id="rId10" Type="http://schemas.openxmlformats.org/officeDocument/2006/relationships/image" Target="media/7540e69fafda74283f784c6e8eef8994427743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2026-10-24T05:40:17.867Z</dcterms:created>
  <dcterms:modified xsi:type="dcterms:W3CDTF">2026-10-24T05:40:17.868Z</dcterms:modified>
</cp:coreProperties>
</file>

<file path=docProps/custom.xml><?xml version="1.0" encoding="utf-8"?>
<Properties xmlns="http://schemas.openxmlformats.org/officeDocument/2006/custom-properties" xmlns:vt="http://schemas.openxmlformats.org/officeDocument/2006/docPropsVTypes"/>
</file>